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0F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2627"/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Synergistic Charge Separation in Engineered 2D CoTiO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/TiO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omposites for Superior Photocatalysis</w:t>
      </w:r>
    </w:p>
    <w:p w14:paraId="5F422095">
      <w:pPr>
        <w:pStyle w:val="6"/>
        <w:spacing w:line="360" w:lineRule="auto"/>
        <w:ind w:firstLine="0" w:firstLineChars="0"/>
        <w:jc w:val="center"/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Min Deng</w:t>
      </w:r>
      <w:r>
        <w:rPr>
          <w:rFonts w:ascii="Times New Roman" w:hAnsi="Times New Roman" w:eastAsia="等线" w:cs="Times New Roman"/>
          <w:b/>
          <w:i/>
          <w:iCs/>
          <w:kern w:val="0"/>
          <w:sz w:val="24"/>
          <w:szCs w:val="20"/>
          <w:vertAlign w:val="superscript"/>
          <w14:ligatures w14:val="none"/>
        </w:rPr>
        <w:t>#</w:t>
      </w:r>
      <w:r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, Shasha Zhang</w:t>
      </w:r>
      <w:r>
        <w:rPr>
          <w:rFonts w:ascii="Times New Roman" w:hAnsi="Times New Roman" w:eastAsia="等线" w:cs="Times New Roman"/>
          <w:b/>
          <w:i/>
          <w:iCs/>
          <w:kern w:val="0"/>
          <w:sz w:val="24"/>
          <w:szCs w:val="20"/>
          <w:vertAlign w:val="superscript"/>
          <w14:ligatures w14:val="none"/>
        </w:rPr>
        <w:t>#</w:t>
      </w:r>
      <w:r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Jiayi Liang, </w:t>
      </w:r>
      <w:r>
        <w:rPr>
          <w:rFonts w:hint="eastAsia"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Ziyuan Li</w:t>
      </w:r>
      <w:r>
        <w:rPr>
          <w:rFonts w:hint="eastAsia"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Hongbo Jiang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ym w:font="Symbol" w:char="F02A"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, Weiwei Zhao, Jingman Pang</w:t>
      </w:r>
      <w:r>
        <w:rPr>
          <w:rFonts w:hint="eastAsia" w:ascii="Times New Roman" w:hAnsi="Times New Roman" w:cs="Times New Roman" w:eastAsiaTheme="minorEastAsia"/>
          <w:b/>
          <w:i/>
          <w:iCs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, Yan Wang</w:t>
      </w:r>
    </w:p>
    <w:p w14:paraId="06E8E892">
      <w:pPr>
        <w:spacing w:line="360" w:lineRule="auto"/>
        <w:ind w:left="1760" w:right="-6" w:hanging="1760" w:hangingChars="800"/>
        <w:jc w:val="left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College of Chemistry and Materials Engineering, Baoji University of Arts and Sciences, 1 Hi-Tech Avenue, Baoji, Shaanxi, 721013 PR China</w:t>
      </w:r>
    </w:p>
    <w:p w14:paraId="53ACB30A">
      <w:pPr>
        <w:autoSpaceDE w:val="0"/>
        <w:autoSpaceDN w:val="0"/>
        <w:adjustRightInd w:val="0"/>
        <w:snapToGrid w:val="0"/>
        <w:spacing w:line="360" w:lineRule="auto"/>
        <w:ind w:firstLine="240" w:firstLineChars="100"/>
        <w:jc w:val="left"/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7F37817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等线" w:cs="Times New Roman"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 xml:space="preserve"># 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These authors contributed equally to this work</w:t>
      </w:r>
    </w:p>
    <w:p w14:paraId="302EE6DB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ym w:font="Symbol" w:char="F02A"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Corresponding authors</w:t>
      </w:r>
    </w:p>
    <w:p w14:paraId="125B33C8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E-mail addresses: hongbojiang2011@163.com (H. B. Jiang)</w:t>
      </w:r>
    </w:p>
    <w:p w14:paraId="73608266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439AB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4102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Physical characterization</w:t>
      </w:r>
    </w:p>
    <w:p w14:paraId="14E9D8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The crystal structure of the samples was analyzed by powder X-ray diffraction (XRD) using a Dmax Ultima IV diffractometer (Japan) with Cu Kα radiation (λ = 0.15418 nm). The XRD patterns were recorded in a scanning range from 5° to 60° at a rate of 5°/min. Raman spectroscopy was employed to investigate molecular vibrational modes, using a Renishaw inVia laser micro-Raman spectrometer with a 532 nm visible laser as the excitation source. Fourier transform infrared (FT-IR) spectroscopy measurements were carried out using a PerkinElmer Spectrum 3 (USA) spectrometer to identify characteristic functional groups and corresponding vibrational modes in the synthesized composites. Morphological features and particle size distributions were characterized through field-emission scanning electron microscopy (FE-SEM) using a Quanta250 FEG system (FEI). X-ray photoelectron spectroscopy (XPS) measurements were performed on a Nexsa spectrometer (Thermo Fisher Inc.) to determine the chemical composition and valence states of elements in the samples. The analysis was conducted with a pass energy of 100 eV and a step size of 0.1 eV. Transmission electron microscopy (TEM) was used to examine the doping sites and types, operating at an acceleration voltage of 300 kV. High-resolution transmission electron microscopy (HRTEM) measurements were conducted using a JEOL JEM-3010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in order to determine the crystallographic characteristics of the samples. </w:t>
      </w:r>
    </w:p>
    <w:p w14:paraId="1B86F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hotocatalytic Catalytic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108FF7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he photocatalytic activities were evaluated by the degradation of various dyes, including methyl orange (MO), rhodamine B (RhB), methylene blue (MB), green dyes, and blue dyes.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RhB was chosen as the representative organic pollutant to explore the catalytic properties of CoTiO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/TiO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composites.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The experimental setup consisted of a 300 W LED lamp to simulate ultraviolet irradiation and an ultrasonic device to create piezocatalytic conditions.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All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reactions were carried out in a thermostatic magnetic stirrer set at 25 °C.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To avoid interference from peroxymonosulfate (PMS) dosage, a fixed amount of 0.005 g PMS was used in all experiments.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Specifically, a certain amount of CoTiO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/TiO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catalyst with different Ba/Ti molar ratios was added to 50 mL of 20 mg/L RhB solution. Similar to the optimization techniques described in Reference 0, the performance of the catalysts was improved by adjusting the molar ratios of various components.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First,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the mixture was magnetically stirred in the dark for 30 min to achieve the adsorption - desorption equilibrium of RhB on the catalyst surface.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en, 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he catalytic reaction was initiated by illuminating the sample with a 300 W LED lamp for 30 minutes.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During the reaction, 3.0 mL aliquots were taken every 5 minutes using a syringe, filtered through a 0.22 μm membrane, and the filtrate was transferred to a quartz cuvette for analysis. The residual concentration of RhB was measured using a UV - 8000A ultraviolet - visible spectrophotometer at its maximum absorption wavelength. The degradation efficiency (Y) was calculated according to the following equation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1847AB6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Y=(C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Ct)/C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×100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(1)</w:t>
      </w:r>
    </w:p>
    <w:p w14:paraId="1ABC75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where 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is the initial concentration of the dye, and 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is the residual concentration of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RhB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at time t.</w:t>
      </w:r>
    </w:p>
    <w:p w14:paraId="0803BB4B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675" cy="3121660"/>
            <wp:effectExtent l="0" t="0" r="3175" b="2540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B0A97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SEM images of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CoTiO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TiO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at different ratios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at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600 °C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A24B4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53E0"/>
    <w:rsid w:val="22AB4A92"/>
    <w:rsid w:val="2B2253E0"/>
    <w:rsid w:val="609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71e7dc79-1ff7-45e8-997d-0ebda3762b91"/>
    <w:basedOn w:val="2"/>
    <w:next w:val="6"/>
    <w:qFormat/>
    <w:uiPriority w:val="0"/>
    <w:pPr>
      <w:adjustRightInd w:val="0"/>
      <w:spacing w:before="0" w:after="0" w:line="288" w:lineRule="auto"/>
      <w:ind w:firstLine="200" w:firstLineChars="200"/>
      <w:jc w:val="left"/>
    </w:pPr>
    <w:rPr>
      <w:rFonts w:ascii="微软雅黑" w:hAnsi="微软雅黑" w:eastAsia="微软雅黑"/>
      <w:color w:val="000000"/>
      <w:sz w:val="28"/>
      <w:szCs w:val="28"/>
    </w:rPr>
  </w:style>
  <w:style w:type="paragraph" w:customStyle="1" w:styleId="6">
    <w:name w:val="acbfdd8b-e11b-4d36-88ff-6049b138f862"/>
    <w:basedOn w:val="1"/>
    <w:qFormat/>
    <w:uiPriority w:val="0"/>
    <w:pPr>
      <w:adjustRightInd w:val="0"/>
      <w:spacing w:line="288" w:lineRule="auto"/>
      <w:ind w:firstLine="200" w:firstLineChars="200"/>
      <w:jc w:val="left"/>
    </w:pPr>
    <w:rPr>
      <w:rFonts w:ascii="微软雅黑" w:hAnsi="微软雅黑" w:eastAsia="微软雅黑"/>
      <w:color w:val="000000"/>
      <w:sz w:val="22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3148</Characters>
  <Lines>0</Lines>
  <Paragraphs>0</Paragraphs>
  <TotalTime>0</TotalTime>
  <ScaleCrop>false</ScaleCrop>
  <LinksUpToDate>false</LinksUpToDate>
  <CharactersWithSpaces>3737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2026-01-31T07:57:00Z</dcterms:created>
  <dc:creator>趙  衛星</dc:creator>
  <cp:lastModifiedBy>趙  衛星</cp:lastModifiedBy>
  <dcterms:modified xsi:type="dcterms:W3CDTF">2026-02-05T01:14:30Z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63FE4A3C2B5042B4B65852378927F83C_11</vt:lpwstr>
  </property>
  <property fmtid="{D5CDD505-2E9C-101B-9397-08002B2CF9AE}" pid="4" name="KSOTemplateDocerSaveRecord">
    <vt:lpwstr>eyJoZGlkIjoiMjc5ZTY1ZjRlZmYzNTlkYTdkMDhhNzMxODdkZGM4OWIiLCJ1c2VySWQiOiI3Nzg3NDM0NjEifQ==</vt:lpwstr>
  </property>
</Properties>
</file>