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4DC33" w14:textId="77777777" w:rsidR="00D1317D" w:rsidRPr="004C7CAF" w:rsidRDefault="00D1317D" w:rsidP="00D1317D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</w:rPr>
      </w:pPr>
      <w:r w:rsidRPr="004C7CAF">
        <w:rPr>
          <w:rFonts w:ascii="Times New Roman" w:eastAsia="Times New Roman" w:hAnsi="Times New Roman" w:cs="Times New Roman"/>
          <w:b/>
          <w:bCs/>
          <w:sz w:val="24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4"/>
        </w:rPr>
        <w:t>material</w:t>
      </w:r>
    </w:p>
    <w:p w14:paraId="3EA06CFD" w14:textId="77777777" w:rsidR="00D1317D" w:rsidRDefault="00D1317D" w:rsidP="00D1317D">
      <w:pPr>
        <w:spacing w:line="360" w:lineRule="auto"/>
        <w:rPr>
          <w:rFonts w:ascii="Times New Roman" w:hAnsi="Times New Roman" w:cs="Times New Roman"/>
          <w:sz w:val="24"/>
        </w:rPr>
      </w:pPr>
      <w:r w:rsidRPr="005212D8">
        <w:rPr>
          <w:rFonts w:ascii="Times New Roman" w:eastAsia="Times New Roman" w:hAnsi="Times New Roman" w:cs="Times New Roman"/>
          <w:sz w:val="24"/>
        </w:rPr>
        <w:t xml:space="preserve">Supplementary Table S1 contains the complete per-gene RNA expression dataset (TPM values and fold-change metrics) underlying the transcriptomic comparisons between MRI-negative and MRI-positive tumor regions. Supplementary Figure S1 presents an additional representative cT1c case (age 66 years, </w:t>
      </w:r>
      <w:r>
        <w:rPr>
          <w:rFonts w:ascii="Times New Roman" w:hAnsi="Times New Roman" w:cs="Times New Roman" w:hint="eastAsia"/>
          <w:sz w:val="24"/>
        </w:rPr>
        <w:t>prostate-specific antigen (</w:t>
      </w:r>
      <w:r w:rsidRPr="005212D8">
        <w:rPr>
          <w:rFonts w:ascii="Times New Roman" w:eastAsia="Times New Roman" w:hAnsi="Times New Roman" w:cs="Times New Roman"/>
          <w:sz w:val="24"/>
        </w:rPr>
        <w:t>PSA</w:t>
      </w:r>
      <w:r>
        <w:rPr>
          <w:rFonts w:ascii="Times New Roman" w:hAnsi="Times New Roman" w:cs="Times New Roman" w:hint="eastAsia"/>
          <w:sz w:val="24"/>
        </w:rPr>
        <w:t>)</w:t>
      </w:r>
      <w:r w:rsidRPr="005212D8">
        <w:rPr>
          <w:rFonts w:ascii="Times New Roman" w:eastAsia="Times New Roman" w:hAnsi="Times New Roman" w:cs="Times New Roman"/>
          <w:sz w:val="24"/>
        </w:rPr>
        <w:t xml:space="preserve"> 6.7 ng/mL, Gleason Grade Group 3) with IL5RA-positive tumor cells in MRI-invisible disease. Supplementary Figure S2 presents an additional representative pT3b case (age 58 years, PSA 8.7 ng/mL, Gleason Grade Group 3) demonstrating IL5RA expression in tumor cells invading the seminal vesicle.</w:t>
      </w:r>
    </w:p>
    <w:p w14:paraId="2B82054C" w14:textId="77777777" w:rsidR="00D1317D" w:rsidRDefault="00D1317D" w:rsidP="00D1317D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B1EE52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17D"/>
    <w:rsid w:val="00195413"/>
    <w:rsid w:val="003D0186"/>
    <w:rsid w:val="00540CCD"/>
    <w:rsid w:val="007278E4"/>
    <w:rsid w:val="00A3738C"/>
    <w:rsid w:val="00BC6C35"/>
    <w:rsid w:val="00CB270D"/>
    <w:rsid w:val="00CF7583"/>
    <w:rsid w:val="00D1317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B4FEC"/>
  <w15:chartTrackingRefBased/>
  <w15:docId w15:val="{A474198B-BB9E-4E0F-8B21-C7BCF3E8B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17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317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17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17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17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17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17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317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317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317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1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1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1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1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1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1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31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31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31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317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31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317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31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317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31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317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31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31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31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31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559</Characters>
  <Application>Microsoft Office Word</Application>
  <DocSecurity>0</DocSecurity>
  <Lines>9</Lines>
  <Paragraphs>2</Paragraphs>
  <ScaleCrop>false</ScaleCrop>
  <Company>Springer Nature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2026-04-15T14:06:00Z</dcterms:created>
  <dcterms:modified xsi:type="dcterms:W3CDTF">2026-04-15T14:06:00Z</dcterms:modified>
</cp:coreProperties>
</file>