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7CAE7" w14:textId="77777777" w:rsidR="000F24C9" w:rsidRPr="005016AB" w:rsidRDefault="000F24C9" w:rsidP="00125E72">
      <w:pPr>
        <w:spacing w:line="480" w:lineRule="auto"/>
        <w:jc w:val="both"/>
        <w:rPr>
          <w:rFonts w:ascii="Arial" w:hAnsi="Arial" w:cs="Arial"/>
          <w:sz w:val="22"/>
          <w:szCs w:val="22"/>
        </w:rPr>
      </w:pPr>
      <w:r w:rsidRPr="005016AB">
        <w:rPr>
          <w:rFonts w:ascii="Arial" w:hAnsi="Arial" w:cs="Arial"/>
          <w:noProof/>
          <w:sz w:val="22"/>
          <w:szCs w:val="22"/>
        </w:rPr>
        <w:drawing>
          <wp:inline distT="0" distB="0" distL="0" distR="0" wp14:anchorId="63C500A7" wp14:editId="72DF0825">
            <wp:extent cx="5729605" cy="4375150"/>
            <wp:effectExtent l="0" t="0" r="4445" b="6350"/>
            <wp:docPr id="231479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9605" cy="4375150"/>
                    </a:xfrm>
                    <a:prstGeom prst="rect">
                      <a:avLst/>
                    </a:prstGeom>
                    <a:noFill/>
                    <a:ln>
                      <a:noFill/>
                    </a:ln>
                  </pic:spPr>
                </pic:pic>
              </a:graphicData>
            </a:graphic>
          </wp:inline>
        </w:drawing>
      </w:r>
    </w:p>
    <w:p w14:paraId="4D10F055" w14:textId="74FBACD9" w:rsidR="00AD2E81" w:rsidRPr="00125E72" w:rsidRDefault="00F36773" w:rsidP="00125E72">
      <w:pPr>
        <w:spacing w:line="360" w:lineRule="auto"/>
        <w:jc w:val="both"/>
        <w:rPr>
          <w:rFonts w:ascii="Arial" w:hAnsi="Arial" w:cs="Arial"/>
          <w:sz w:val="20"/>
          <w:szCs w:val="20"/>
        </w:rPr>
      </w:pPr>
      <w:r w:rsidRPr="00125E72">
        <w:rPr>
          <w:rFonts w:ascii="Arial" w:hAnsi="Arial" w:cs="Arial"/>
          <w:b/>
          <w:bCs/>
          <w:sz w:val="20"/>
          <w:szCs w:val="20"/>
        </w:rPr>
        <w:t xml:space="preserve">Supplementary </w:t>
      </w:r>
      <w:r w:rsidR="009F721D" w:rsidRPr="00125E72">
        <w:rPr>
          <w:rFonts w:ascii="Arial" w:hAnsi="Arial" w:cs="Arial"/>
          <w:b/>
          <w:bCs/>
          <w:sz w:val="20"/>
          <w:szCs w:val="20"/>
        </w:rPr>
        <w:t>F</w:t>
      </w:r>
      <w:r w:rsidRPr="00125E72">
        <w:rPr>
          <w:rFonts w:ascii="Arial" w:hAnsi="Arial" w:cs="Arial"/>
          <w:b/>
          <w:bCs/>
          <w:sz w:val="20"/>
          <w:szCs w:val="20"/>
        </w:rPr>
        <w:t xml:space="preserve">igure 1. Ch25h immunofluorescence in mouse ICH. </w:t>
      </w:r>
      <w:r w:rsidR="009F721D" w:rsidRPr="00125E72">
        <w:rPr>
          <w:rFonts w:ascii="Arial" w:hAnsi="Arial" w:cs="Arial"/>
          <w:sz w:val="20"/>
          <w:szCs w:val="20"/>
        </w:rPr>
        <w:t xml:space="preserve">Representative images of Ch25h (red), Iba1 (green) and DAPI (blue) in the contralateral and ipsilateral hemispheres at 6 h, 1 or 3 days after intracerebral haemorrhage (ICH) in mice. </w:t>
      </w:r>
      <w:r w:rsidR="00ED5A84" w:rsidRPr="00125E72">
        <w:rPr>
          <w:rFonts w:ascii="Arial" w:hAnsi="Arial" w:cs="Arial"/>
          <w:sz w:val="20"/>
          <w:szCs w:val="20"/>
        </w:rPr>
        <w:t xml:space="preserve">White arrows indicate Ch25h+ Iba+ cells. Yellow arrows indicate red blood cell clusters with pale green/white </w:t>
      </w:r>
      <w:proofErr w:type="spellStart"/>
      <w:r w:rsidR="00ED5A84" w:rsidRPr="00125E72">
        <w:rPr>
          <w:rFonts w:ascii="Arial" w:hAnsi="Arial" w:cs="Arial"/>
          <w:sz w:val="20"/>
          <w:szCs w:val="20"/>
        </w:rPr>
        <w:t>autofluorescent</w:t>
      </w:r>
      <w:proofErr w:type="spellEnd"/>
      <w:r w:rsidR="00ED5A84" w:rsidRPr="00125E72">
        <w:rPr>
          <w:rFonts w:ascii="Arial" w:hAnsi="Arial" w:cs="Arial"/>
          <w:sz w:val="20"/>
          <w:szCs w:val="20"/>
        </w:rPr>
        <w:t xml:space="preserve"> cells. </w:t>
      </w:r>
      <w:r w:rsidR="009F721D" w:rsidRPr="00125E72">
        <w:rPr>
          <w:rFonts w:ascii="Arial" w:hAnsi="Arial" w:cs="Arial"/>
          <w:sz w:val="20"/>
          <w:szCs w:val="20"/>
        </w:rPr>
        <w:t>Scale bars = 20 µm.</w:t>
      </w:r>
    </w:p>
    <w:p w14:paraId="7622E8FB" w14:textId="77777777" w:rsidR="00AD2E81" w:rsidRPr="00125E72" w:rsidRDefault="00AD2E81" w:rsidP="00125E72">
      <w:pPr>
        <w:spacing w:line="360" w:lineRule="auto"/>
        <w:jc w:val="both"/>
        <w:rPr>
          <w:rFonts w:ascii="Arial" w:hAnsi="Arial" w:cs="Arial"/>
          <w:sz w:val="20"/>
          <w:szCs w:val="20"/>
        </w:rPr>
      </w:pPr>
      <w:r w:rsidRPr="00125E72">
        <w:rPr>
          <w:rFonts w:ascii="Arial" w:hAnsi="Arial" w:cs="Arial"/>
          <w:sz w:val="20"/>
          <w:szCs w:val="20"/>
        </w:rPr>
        <w:br w:type="page"/>
      </w:r>
    </w:p>
    <w:p w14:paraId="54294E0A" w14:textId="23A2180C" w:rsidR="00AA6039" w:rsidRPr="00125E72" w:rsidRDefault="00340F07" w:rsidP="00125E72">
      <w:pPr>
        <w:spacing w:line="360" w:lineRule="auto"/>
        <w:jc w:val="both"/>
        <w:rPr>
          <w:rFonts w:ascii="Arial" w:hAnsi="Arial" w:cs="Arial"/>
          <w:sz w:val="20"/>
          <w:szCs w:val="20"/>
        </w:rPr>
      </w:pPr>
      <w:r w:rsidRPr="00125E72">
        <w:rPr>
          <w:rFonts w:ascii="Arial" w:hAnsi="Arial" w:cs="Arial"/>
          <w:noProof/>
          <w:sz w:val="20"/>
          <w:szCs w:val="20"/>
        </w:rPr>
        <w:lastRenderedPageBreak/>
        <w:drawing>
          <wp:inline distT="0" distB="0" distL="0" distR="0" wp14:anchorId="1C815C8D" wp14:editId="032DDE48">
            <wp:extent cx="5731510" cy="1483360"/>
            <wp:effectExtent l="0" t="0" r="2540" b="2540"/>
            <wp:docPr id="159560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08527" name=""/>
                    <pic:cNvPicPr/>
                  </pic:nvPicPr>
                  <pic:blipFill>
                    <a:blip r:embed="rId6"/>
                    <a:stretch>
                      <a:fillRect/>
                    </a:stretch>
                  </pic:blipFill>
                  <pic:spPr>
                    <a:xfrm>
                      <a:off x="0" y="0"/>
                      <a:ext cx="5731510" cy="1483360"/>
                    </a:xfrm>
                    <a:prstGeom prst="rect">
                      <a:avLst/>
                    </a:prstGeom>
                  </pic:spPr>
                </pic:pic>
              </a:graphicData>
            </a:graphic>
          </wp:inline>
        </w:drawing>
      </w:r>
    </w:p>
    <w:p w14:paraId="4321FE21" w14:textId="2BF73F5D" w:rsidR="00AD2E81" w:rsidRPr="00125E72" w:rsidRDefault="00034EBC" w:rsidP="00125E72">
      <w:pPr>
        <w:spacing w:line="360" w:lineRule="auto"/>
        <w:jc w:val="both"/>
        <w:rPr>
          <w:rFonts w:ascii="Arial" w:hAnsi="Arial" w:cs="Arial"/>
          <w:sz w:val="20"/>
          <w:szCs w:val="20"/>
        </w:rPr>
      </w:pPr>
      <w:r w:rsidRPr="00125E72">
        <w:rPr>
          <w:rFonts w:ascii="Arial" w:hAnsi="Arial" w:cs="Arial"/>
          <w:b/>
          <w:bCs/>
          <w:sz w:val="20"/>
          <w:szCs w:val="20"/>
        </w:rPr>
        <w:t xml:space="preserve">Supplementary </w:t>
      </w:r>
      <w:r w:rsidR="00F36773" w:rsidRPr="00125E72">
        <w:rPr>
          <w:rFonts w:ascii="Arial" w:hAnsi="Arial" w:cs="Arial"/>
          <w:b/>
          <w:bCs/>
          <w:sz w:val="20"/>
          <w:szCs w:val="20"/>
        </w:rPr>
        <w:t>F</w:t>
      </w:r>
      <w:r w:rsidRPr="00125E72">
        <w:rPr>
          <w:rFonts w:ascii="Arial" w:hAnsi="Arial" w:cs="Arial"/>
          <w:b/>
          <w:bCs/>
          <w:sz w:val="20"/>
          <w:szCs w:val="20"/>
        </w:rPr>
        <w:t xml:space="preserve">igure 2. </w:t>
      </w:r>
      <w:r w:rsidR="00664742" w:rsidRPr="00125E72">
        <w:rPr>
          <w:rFonts w:ascii="Arial" w:hAnsi="Arial" w:cs="Arial"/>
          <w:b/>
          <w:bCs/>
          <w:sz w:val="20"/>
          <w:szCs w:val="20"/>
        </w:rPr>
        <w:t xml:space="preserve">Characterisation of </w:t>
      </w:r>
      <w:r w:rsidR="00664742" w:rsidRPr="00125E72">
        <w:rPr>
          <w:rFonts w:ascii="Arial" w:hAnsi="Arial" w:cs="Arial"/>
          <w:b/>
          <w:bCs/>
          <w:i/>
          <w:iCs/>
          <w:sz w:val="20"/>
          <w:szCs w:val="20"/>
        </w:rPr>
        <w:t>in vitro</w:t>
      </w:r>
      <w:r w:rsidR="00664742" w:rsidRPr="00125E72">
        <w:rPr>
          <w:rFonts w:ascii="Arial" w:hAnsi="Arial" w:cs="Arial"/>
          <w:b/>
          <w:bCs/>
          <w:sz w:val="20"/>
          <w:szCs w:val="20"/>
        </w:rPr>
        <w:t xml:space="preserve"> ICH models. </w:t>
      </w:r>
      <w:proofErr w:type="spellStart"/>
      <w:proofErr w:type="gramStart"/>
      <w:r w:rsidR="00664742" w:rsidRPr="00125E72">
        <w:rPr>
          <w:rFonts w:ascii="Arial" w:hAnsi="Arial" w:cs="Arial"/>
          <w:b/>
          <w:bCs/>
          <w:sz w:val="20"/>
          <w:szCs w:val="20"/>
        </w:rPr>
        <w:t>a,b</w:t>
      </w:r>
      <w:proofErr w:type="spellEnd"/>
      <w:proofErr w:type="gramEnd"/>
      <w:r w:rsidR="00664742" w:rsidRPr="00125E72">
        <w:rPr>
          <w:rFonts w:ascii="Arial" w:hAnsi="Arial" w:cs="Arial"/>
          <w:sz w:val="20"/>
          <w:szCs w:val="20"/>
        </w:rPr>
        <w:t xml:space="preserve">, </w:t>
      </w:r>
      <w:r w:rsidR="00461F2B" w:rsidRPr="00125E72">
        <w:rPr>
          <w:rFonts w:ascii="Arial" w:hAnsi="Arial" w:cs="Arial"/>
          <w:sz w:val="20"/>
          <w:szCs w:val="20"/>
        </w:rPr>
        <w:t>Cell death analysis measured by</w:t>
      </w:r>
      <w:r w:rsidR="005B53E5" w:rsidRPr="00125E72">
        <w:rPr>
          <w:rFonts w:ascii="Arial" w:hAnsi="Arial" w:cs="Arial"/>
          <w:sz w:val="20"/>
          <w:szCs w:val="20"/>
        </w:rPr>
        <w:t xml:space="preserve"> lactate dehydrogenase</w:t>
      </w:r>
      <w:r w:rsidR="00461F2B" w:rsidRPr="00125E72">
        <w:rPr>
          <w:rFonts w:ascii="Arial" w:hAnsi="Arial" w:cs="Arial"/>
          <w:sz w:val="20"/>
          <w:szCs w:val="20"/>
        </w:rPr>
        <w:t xml:space="preserve"> </w:t>
      </w:r>
      <w:r w:rsidR="005B53E5" w:rsidRPr="00125E72">
        <w:rPr>
          <w:rFonts w:ascii="Arial" w:hAnsi="Arial" w:cs="Arial"/>
          <w:sz w:val="20"/>
          <w:szCs w:val="20"/>
        </w:rPr>
        <w:t>(</w:t>
      </w:r>
      <w:r w:rsidR="00461F2B" w:rsidRPr="00125E72">
        <w:rPr>
          <w:rFonts w:ascii="Arial" w:hAnsi="Arial" w:cs="Arial"/>
          <w:sz w:val="20"/>
          <w:szCs w:val="20"/>
        </w:rPr>
        <w:t>LDH</w:t>
      </w:r>
      <w:r w:rsidR="005B53E5" w:rsidRPr="00125E72">
        <w:rPr>
          <w:rFonts w:ascii="Arial" w:hAnsi="Arial" w:cs="Arial"/>
          <w:sz w:val="20"/>
          <w:szCs w:val="20"/>
        </w:rPr>
        <w:t>)</w:t>
      </w:r>
      <w:r w:rsidR="00461F2B" w:rsidRPr="00125E72">
        <w:rPr>
          <w:rFonts w:ascii="Arial" w:hAnsi="Arial" w:cs="Arial"/>
          <w:sz w:val="20"/>
          <w:szCs w:val="20"/>
        </w:rPr>
        <w:t xml:space="preserve"> release in BV2 microglial cells (</w:t>
      </w:r>
      <w:r w:rsidR="00461F2B" w:rsidRPr="00125E72">
        <w:rPr>
          <w:rFonts w:ascii="Arial" w:hAnsi="Arial" w:cs="Arial"/>
          <w:b/>
          <w:bCs/>
          <w:sz w:val="20"/>
          <w:szCs w:val="20"/>
        </w:rPr>
        <w:t>a</w:t>
      </w:r>
      <w:r w:rsidR="00461F2B" w:rsidRPr="00125E72">
        <w:rPr>
          <w:rFonts w:ascii="Arial" w:hAnsi="Arial" w:cs="Arial"/>
          <w:sz w:val="20"/>
          <w:szCs w:val="20"/>
        </w:rPr>
        <w:t>) or primary bone-marrow derived murine macrophages</w:t>
      </w:r>
      <w:r w:rsidR="00E75112" w:rsidRPr="00125E72">
        <w:rPr>
          <w:rFonts w:ascii="Arial" w:hAnsi="Arial" w:cs="Arial"/>
          <w:sz w:val="20"/>
          <w:szCs w:val="20"/>
        </w:rPr>
        <w:t xml:space="preserve"> (BMDMs)</w:t>
      </w:r>
      <w:r w:rsidR="00461F2B" w:rsidRPr="00125E72">
        <w:rPr>
          <w:rFonts w:ascii="Arial" w:hAnsi="Arial" w:cs="Arial"/>
          <w:sz w:val="20"/>
          <w:szCs w:val="20"/>
        </w:rPr>
        <w:t xml:space="preserve"> (</w:t>
      </w:r>
      <w:r w:rsidR="00461F2B" w:rsidRPr="00125E72">
        <w:rPr>
          <w:rFonts w:ascii="Arial" w:hAnsi="Arial" w:cs="Arial"/>
          <w:b/>
          <w:bCs/>
          <w:sz w:val="20"/>
          <w:szCs w:val="20"/>
        </w:rPr>
        <w:t>b</w:t>
      </w:r>
      <w:r w:rsidR="00461F2B" w:rsidRPr="00125E72">
        <w:rPr>
          <w:rFonts w:ascii="Arial" w:hAnsi="Arial" w:cs="Arial"/>
          <w:sz w:val="20"/>
          <w:szCs w:val="20"/>
        </w:rPr>
        <w:t>)</w:t>
      </w:r>
      <w:r w:rsidR="00B376C4" w:rsidRPr="00125E72">
        <w:rPr>
          <w:rFonts w:ascii="Arial" w:hAnsi="Arial" w:cs="Arial"/>
          <w:sz w:val="20"/>
          <w:szCs w:val="20"/>
        </w:rPr>
        <w:t xml:space="preserve"> after 6 h of haemin exposure</w:t>
      </w:r>
      <w:r w:rsidR="00872E85" w:rsidRPr="00125E72">
        <w:rPr>
          <w:rFonts w:ascii="Arial" w:hAnsi="Arial" w:cs="Arial"/>
          <w:sz w:val="20"/>
          <w:szCs w:val="20"/>
        </w:rPr>
        <w:t xml:space="preserve"> (100 µM)</w:t>
      </w:r>
      <w:r w:rsidR="00B376C4" w:rsidRPr="00125E72">
        <w:rPr>
          <w:rFonts w:ascii="Arial" w:hAnsi="Arial" w:cs="Arial"/>
          <w:sz w:val="20"/>
          <w:szCs w:val="20"/>
        </w:rPr>
        <w:t xml:space="preserve">. </w:t>
      </w:r>
      <w:proofErr w:type="spellStart"/>
      <w:proofErr w:type="gramStart"/>
      <w:r w:rsidR="00B376C4" w:rsidRPr="00125E72">
        <w:rPr>
          <w:rFonts w:ascii="Arial" w:hAnsi="Arial" w:cs="Arial"/>
          <w:b/>
          <w:bCs/>
          <w:sz w:val="20"/>
          <w:szCs w:val="20"/>
        </w:rPr>
        <w:t>c,d</w:t>
      </w:r>
      <w:proofErr w:type="spellEnd"/>
      <w:proofErr w:type="gramEnd"/>
      <w:r w:rsidR="00B376C4" w:rsidRPr="00125E72">
        <w:rPr>
          <w:rFonts w:ascii="Arial" w:hAnsi="Arial" w:cs="Arial"/>
          <w:sz w:val="20"/>
          <w:szCs w:val="20"/>
        </w:rPr>
        <w:t xml:space="preserve">, </w:t>
      </w:r>
      <w:proofErr w:type="spellStart"/>
      <w:r w:rsidR="00A30995" w:rsidRPr="00125E72">
        <w:rPr>
          <w:rFonts w:ascii="Arial" w:hAnsi="Arial" w:cs="Arial"/>
          <w:sz w:val="20"/>
          <w:szCs w:val="20"/>
        </w:rPr>
        <w:t>pHrodo</w:t>
      </w:r>
      <w:proofErr w:type="spellEnd"/>
      <w:r w:rsidR="00A30995" w:rsidRPr="00125E72">
        <w:rPr>
          <w:rFonts w:ascii="Arial" w:hAnsi="Arial" w:cs="Arial"/>
          <w:sz w:val="20"/>
          <w:szCs w:val="20"/>
        </w:rPr>
        <w:t xml:space="preserve">-based phagocytosis assay </w:t>
      </w:r>
      <w:r w:rsidR="00DA13E1" w:rsidRPr="00125E72">
        <w:rPr>
          <w:rFonts w:ascii="Arial" w:hAnsi="Arial" w:cs="Arial"/>
          <w:sz w:val="20"/>
          <w:szCs w:val="20"/>
        </w:rPr>
        <w:t>confirm</w:t>
      </w:r>
      <w:r w:rsidR="00872E85" w:rsidRPr="00125E72">
        <w:rPr>
          <w:rFonts w:ascii="Arial" w:hAnsi="Arial" w:cs="Arial"/>
          <w:sz w:val="20"/>
          <w:szCs w:val="20"/>
        </w:rPr>
        <w:t>ing</w:t>
      </w:r>
      <w:r w:rsidR="00A30995" w:rsidRPr="00125E72">
        <w:rPr>
          <w:rFonts w:ascii="Arial" w:hAnsi="Arial" w:cs="Arial"/>
          <w:sz w:val="20"/>
          <w:szCs w:val="20"/>
        </w:rPr>
        <w:t xml:space="preserve"> </w:t>
      </w:r>
      <w:r w:rsidR="00DA13E1" w:rsidRPr="00125E72">
        <w:rPr>
          <w:rFonts w:ascii="Arial" w:hAnsi="Arial" w:cs="Arial"/>
          <w:sz w:val="20"/>
          <w:szCs w:val="20"/>
        </w:rPr>
        <w:t xml:space="preserve">BMDMs phagocytosis of </w:t>
      </w:r>
      <w:proofErr w:type="spellStart"/>
      <w:r w:rsidR="00F55CB9" w:rsidRPr="00125E72">
        <w:rPr>
          <w:rFonts w:ascii="Arial" w:hAnsi="Arial" w:cs="Arial"/>
          <w:sz w:val="20"/>
          <w:szCs w:val="20"/>
        </w:rPr>
        <w:t>pHrodo</w:t>
      </w:r>
      <w:proofErr w:type="spellEnd"/>
      <w:r w:rsidR="00F55CB9" w:rsidRPr="00125E72">
        <w:rPr>
          <w:rFonts w:ascii="Arial" w:hAnsi="Arial" w:cs="Arial"/>
          <w:sz w:val="20"/>
          <w:szCs w:val="20"/>
        </w:rPr>
        <w:t xml:space="preserve">-labelled </w:t>
      </w:r>
      <w:r w:rsidR="00DA13E1" w:rsidRPr="00125E72">
        <w:rPr>
          <w:rFonts w:ascii="Arial" w:hAnsi="Arial" w:cs="Arial"/>
          <w:sz w:val="20"/>
          <w:szCs w:val="20"/>
        </w:rPr>
        <w:t>IgG-opsonised red blood cells. R</w:t>
      </w:r>
      <w:r w:rsidR="004B0649" w:rsidRPr="00125E72">
        <w:rPr>
          <w:rFonts w:ascii="Arial" w:hAnsi="Arial" w:cs="Arial"/>
          <w:sz w:val="20"/>
          <w:szCs w:val="20"/>
        </w:rPr>
        <w:t>epresentative images (</w:t>
      </w:r>
      <w:r w:rsidR="004B0649" w:rsidRPr="00125E72">
        <w:rPr>
          <w:rFonts w:ascii="Arial" w:hAnsi="Arial" w:cs="Arial"/>
          <w:b/>
          <w:bCs/>
          <w:sz w:val="20"/>
          <w:szCs w:val="20"/>
        </w:rPr>
        <w:t>c</w:t>
      </w:r>
      <w:r w:rsidR="004B0649" w:rsidRPr="00125E72">
        <w:rPr>
          <w:rFonts w:ascii="Arial" w:hAnsi="Arial" w:cs="Arial"/>
          <w:sz w:val="20"/>
          <w:szCs w:val="20"/>
        </w:rPr>
        <w:t xml:space="preserve">) and </w:t>
      </w:r>
      <w:r w:rsidR="00235B68" w:rsidRPr="00125E72">
        <w:rPr>
          <w:rFonts w:ascii="Arial" w:hAnsi="Arial" w:cs="Arial"/>
          <w:sz w:val="20"/>
          <w:szCs w:val="20"/>
        </w:rPr>
        <w:t xml:space="preserve">quantification </w:t>
      </w:r>
      <w:r w:rsidR="005B5EE0" w:rsidRPr="00125E72">
        <w:rPr>
          <w:rFonts w:ascii="Arial" w:hAnsi="Arial" w:cs="Arial"/>
          <w:sz w:val="20"/>
          <w:szCs w:val="20"/>
        </w:rPr>
        <w:t>(</w:t>
      </w:r>
      <w:r w:rsidR="005B53E5" w:rsidRPr="00125E72">
        <w:rPr>
          <w:rFonts w:ascii="Arial" w:hAnsi="Arial" w:cs="Arial"/>
          <w:b/>
          <w:bCs/>
          <w:sz w:val="20"/>
          <w:szCs w:val="20"/>
        </w:rPr>
        <w:t>d</w:t>
      </w:r>
      <w:r w:rsidR="005B5EE0" w:rsidRPr="00125E72">
        <w:rPr>
          <w:rFonts w:ascii="Arial" w:hAnsi="Arial" w:cs="Arial"/>
          <w:sz w:val="20"/>
          <w:szCs w:val="20"/>
        </w:rPr>
        <w:t xml:space="preserve">) </w:t>
      </w:r>
      <w:r w:rsidR="00235B68" w:rsidRPr="00125E72">
        <w:rPr>
          <w:rFonts w:ascii="Arial" w:hAnsi="Arial" w:cs="Arial"/>
          <w:sz w:val="20"/>
          <w:szCs w:val="20"/>
        </w:rPr>
        <w:t xml:space="preserve">of </w:t>
      </w:r>
      <w:proofErr w:type="spellStart"/>
      <w:r w:rsidR="00235B68" w:rsidRPr="00125E72">
        <w:rPr>
          <w:rFonts w:ascii="Arial" w:hAnsi="Arial" w:cs="Arial"/>
          <w:sz w:val="20"/>
          <w:szCs w:val="20"/>
        </w:rPr>
        <w:t>pHrodo</w:t>
      </w:r>
      <w:proofErr w:type="spellEnd"/>
      <w:r w:rsidR="00235B68" w:rsidRPr="00125E72">
        <w:rPr>
          <w:rFonts w:ascii="Arial" w:hAnsi="Arial" w:cs="Arial"/>
          <w:sz w:val="20"/>
          <w:szCs w:val="20"/>
        </w:rPr>
        <w:t xml:space="preserve">-positive area </w:t>
      </w:r>
      <w:r w:rsidR="004B0649" w:rsidRPr="00125E72">
        <w:rPr>
          <w:rFonts w:ascii="Arial" w:hAnsi="Arial" w:cs="Arial"/>
          <w:sz w:val="20"/>
          <w:szCs w:val="20"/>
        </w:rPr>
        <w:t>(n=10 mice per group</w:t>
      </w:r>
      <w:r w:rsidR="00DA13E1" w:rsidRPr="00125E72">
        <w:rPr>
          <w:rFonts w:ascii="Arial" w:hAnsi="Arial" w:cs="Arial"/>
          <w:sz w:val="20"/>
          <w:szCs w:val="20"/>
        </w:rPr>
        <w:t xml:space="preserve">) </w:t>
      </w:r>
      <w:r w:rsidR="00D52CBD" w:rsidRPr="00125E72">
        <w:rPr>
          <w:rFonts w:ascii="Arial" w:hAnsi="Arial" w:cs="Arial"/>
          <w:sz w:val="20"/>
          <w:szCs w:val="20"/>
        </w:rPr>
        <w:t>are</w:t>
      </w:r>
      <w:r w:rsidR="00DA13E1" w:rsidRPr="00125E72">
        <w:rPr>
          <w:rFonts w:ascii="Arial" w:hAnsi="Arial" w:cs="Arial"/>
          <w:sz w:val="20"/>
          <w:szCs w:val="20"/>
        </w:rPr>
        <w:t xml:space="preserve"> shown. Cy</w:t>
      </w:r>
      <w:r w:rsidR="00D52CBD" w:rsidRPr="00125E72">
        <w:rPr>
          <w:rFonts w:ascii="Arial" w:hAnsi="Arial" w:cs="Arial"/>
          <w:sz w:val="20"/>
          <w:szCs w:val="20"/>
        </w:rPr>
        <w:t>t</w:t>
      </w:r>
      <w:r w:rsidR="00DA13E1" w:rsidRPr="00125E72">
        <w:rPr>
          <w:rFonts w:ascii="Arial" w:hAnsi="Arial" w:cs="Arial"/>
          <w:sz w:val="20"/>
          <w:szCs w:val="20"/>
        </w:rPr>
        <w:t>ochalasin D</w:t>
      </w:r>
      <w:r w:rsidR="00AE487F" w:rsidRPr="00125E72">
        <w:rPr>
          <w:rFonts w:ascii="Arial" w:hAnsi="Arial" w:cs="Arial"/>
          <w:sz w:val="20"/>
          <w:szCs w:val="20"/>
        </w:rPr>
        <w:t xml:space="preserve"> </w:t>
      </w:r>
      <w:r w:rsidR="00E52FFE" w:rsidRPr="00125E72">
        <w:rPr>
          <w:rFonts w:ascii="Arial" w:hAnsi="Arial" w:cs="Arial"/>
          <w:sz w:val="20"/>
          <w:szCs w:val="20"/>
        </w:rPr>
        <w:t>(</w:t>
      </w:r>
      <w:proofErr w:type="spellStart"/>
      <w:r w:rsidR="00E52FFE" w:rsidRPr="00125E72">
        <w:rPr>
          <w:rFonts w:ascii="Arial" w:hAnsi="Arial" w:cs="Arial"/>
          <w:sz w:val="20"/>
          <w:szCs w:val="20"/>
        </w:rPr>
        <w:t>CytD</w:t>
      </w:r>
      <w:proofErr w:type="spellEnd"/>
      <w:r w:rsidR="00E52FFE" w:rsidRPr="00125E72">
        <w:rPr>
          <w:rFonts w:ascii="Arial" w:hAnsi="Arial" w:cs="Arial"/>
          <w:sz w:val="20"/>
          <w:szCs w:val="20"/>
        </w:rPr>
        <w:t xml:space="preserve">) at 10 µM </w:t>
      </w:r>
      <w:r w:rsidR="00F55CB9" w:rsidRPr="00125E72">
        <w:rPr>
          <w:rFonts w:ascii="Arial" w:hAnsi="Arial" w:cs="Arial"/>
          <w:sz w:val="20"/>
          <w:szCs w:val="20"/>
        </w:rPr>
        <w:t>wa</w:t>
      </w:r>
      <w:r w:rsidR="00DA13E1" w:rsidRPr="00125E72">
        <w:rPr>
          <w:rFonts w:ascii="Arial" w:hAnsi="Arial" w:cs="Arial"/>
          <w:sz w:val="20"/>
          <w:szCs w:val="20"/>
        </w:rPr>
        <w:t>s used as a phagocytosis inhibitor.</w:t>
      </w:r>
      <w:r w:rsidR="002E7F96" w:rsidRPr="00125E72">
        <w:rPr>
          <w:rFonts w:ascii="Arial" w:hAnsi="Arial" w:cs="Arial"/>
          <w:sz w:val="20"/>
          <w:szCs w:val="20"/>
        </w:rPr>
        <w:t xml:space="preserve"> </w:t>
      </w:r>
      <w:r w:rsidR="00D1218E" w:rsidRPr="00125E72">
        <w:rPr>
          <w:rFonts w:ascii="Arial" w:hAnsi="Arial" w:cs="Arial"/>
          <w:sz w:val="20"/>
          <w:szCs w:val="20"/>
        </w:rPr>
        <w:t xml:space="preserve">Scale bars = 50 µm. </w:t>
      </w:r>
      <w:r w:rsidR="002E7F96" w:rsidRPr="00125E72">
        <w:rPr>
          <w:rFonts w:ascii="Arial" w:hAnsi="Arial" w:cs="Arial"/>
          <w:sz w:val="20"/>
          <w:szCs w:val="20"/>
        </w:rPr>
        <w:t>Statistics w</w:t>
      </w:r>
      <w:r w:rsidR="00BD7601" w:rsidRPr="00125E72">
        <w:rPr>
          <w:rFonts w:ascii="Arial" w:hAnsi="Arial" w:cs="Arial"/>
          <w:sz w:val="20"/>
          <w:szCs w:val="20"/>
        </w:rPr>
        <w:t>ere</w:t>
      </w:r>
      <w:r w:rsidR="002E7F96" w:rsidRPr="00125E72">
        <w:rPr>
          <w:rFonts w:ascii="Arial" w:hAnsi="Arial" w:cs="Arial"/>
          <w:sz w:val="20"/>
          <w:szCs w:val="20"/>
        </w:rPr>
        <w:t xml:space="preserve"> performed using</w:t>
      </w:r>
      <w:r w:rsidR="00BD7601" w:rsidRPr="00125E72">
        <w:rPr>
          <w:rFonts w:ascii="Arial" w:hAnsi="Arial" w:cs="Arial"/>
          <w:sz w:val="20"/>
          <w:szCs w:val="20"/>
        </w:rPr>
        <w:t xml:space="preserve"> an</w:t>
      </w:r>
      <w:r w:rsidR="002E7F96" w:rsidRPr="00125E72">
        <w:rPr>
          <w:rFonts w:ascii="Arial" w:hAnsi="Arial" w:cs="Arial"/>
          <w:sz w:val="20"/>
          <w:szCs w:val="20"/>
        </w:rPr>
        <w:t xml:space="preserve"> unpaired </w:t>
      </w:r>
      <w:r w:rsidR="002E7F96" w:rsidRPr="00125E72">
        <w:rPr>
          <w:rFonts w:ascii="Arial" w:hAnsi="Arial" w:cs="Arial"/>
          <w:i/>
          <w:iCs/>
          <w:sz w:val="20"/>
          <w:szCs w:val="20"/>
        </w:rPr>
        <w:t>t</w:t>
      </w:r>
      <w:r w:rsidR="002E7F96" w:rsidRPr="00125E72">
        <w:rPr>
          <w:rFonts w:ascii="Arial" w:hAnsi="Arial" w:cs="Arial"/>
          <w:sz w:val="20"/>
          <w:szCs w:val="20"/>
        </w:rPr>
        <w:t>-test (</w:t>
      </w:r>
      <w:proofErr w:type="spellStart"/>
      <w:proofErr w:type="gramStart"/>
      <w:r w:rsidR="002E7F96" w:rsidRPr="00125E72">
        <w:rPr>
          <w:rFonts w:ascii="Arial" w:hAnsi="Arial" w:cs="Arial"/>
          <w:b/>
          <w:bCs/>
          <w:sz w:val="20"/>
          <w:szCs w:val="20"/>
        </w:rPr>
        <w:t>a,b</w:t>
      </w:r>
      <w:proofErr w:type="spellEnd"/>
      <w:proofErr w:type="gramEnd"/>
      <w:r w:rsidR="002E7F96" w:rsidRPr="00125E72">
        <w:rPr>
          <w:rFonts w:ascii="Arial" w:hAnsi="Arial" w:cs="Arial"/>
          <w:sz w:val="20"/>
          <w:szCs w:val="20"/>
        </w:rPr>
        <w:t>)</w:t>
      </w:r>
      <w:r w:rsidR="00BD7601" w:rsidRPr="00125E72">
        <w:rPr>
          <w:rFonts w:ascii="Arial" w:hAnsi="Arial" w:cs="Arial"/>
          <w:sz w:val="20"/>
          <w:szCs w:val="20"/>
        </w:rPr>
        <w:t xml:space="preserve">. </w:t>
      </w:r>
      <w:r w:rsidR="00340F07" w:rsidRPr="00125E72">
        <w:rPr>
          <w:rFonts w:ascii="Arial" w:hAnsi="Arial" w:cs="Arial"/>
          <w:sz w:val="20"/>
          <w:szCs w:val="20"/>
        </w:rPr>
        <w:t xml:space="preserve">Data area </w:t>
      </w:r>
      <w:proofErr w:type="gramStart"/>
      <w:r w:rsidR="00340F07" w:rsidRPr="00125E72">
        <w:rPr>
          <w:rFonts w:ascii="Arial" w:hAnsi="Arial" w:cs="Arial"/>
          <w:sz w:val="20"/>
          <w:szCs w:val="20"/>
        </w:rPr>
        <w:t xml:space="preserve">mean </w:t>
      </w:r>
      <w:r w:rsidR="00BD7601" w:rsidRPr="00125E72">
        <w:rPr>
          <w:rFonts w:ascii="Arial" w:hAnsi="Arial" w:cs="Arial"/>
          <w:sz w:val="20"/>
          <w:szCs w:val="20"/>
        </w:rPr>
        <w:t> ±</w:t>
      </w:r>
      <w:proofErr w:type="gramEnd"/>
      <w:r w:rsidR="00BD7601" w:rsidRPr="00125E72">
        <w:rPr>
          <w:rFonts w:ascii="Arial" w:hAnsi="Arial" w:cs="Arial"/>
          <w:sz w:val="20"/>
          <w:szCs w:val="20"/>
        </w:rPr>
        <w:t> </w:t>
      </w:r>
      <w:r w:rsidR="00340F07" w:rsidRPr="00125E72">
        <w:rPr>
          <w:rFonts w:ascii="Arial" w:hAnsi="Arial" w:cs="Arial"/>
          <w:sz w:val="20"/>
          <w:szCs w:val="20"/>
        </w:rPr>
        <w:t>SEM.</w:t>
      </w:r>
      <w:r w:rsidR="003327A0" w:rsidRPr="00125E72">
        <w:rPr>
          <w:rFonts w:ascii="Arial" w:hAnsi="Arial" w:cs="Arial"/>
          <w:sz w:val="20"/>
          <w:szCs w:val="20"/>
        </w:rPr>
        <w:t xml:space="preserve"> </w:t>
      </w:r>
    </w:p>
    <w:p w14:paraId="1E2DBD99" w14:textId="77777777" w:rsidR="00AD2E81" w:rsidRPr="00125E72" w:rsidRDefault="00AD2E81" w:rsidP="00125E72">
      <w:pPr>
        <w:spacing w:line="360" w:lineRule="auto"/>
        <w:jc w:val="both"/>
        <w:rPr>
          <w:rFonts w:ascii="Arial" w:hAnsi="Arial" w:cs="Arial"/>
          <w:sz w:val="20"/>
          <w:szCs w:val="20"/>
        </w:rPr>
      </w:pPr>
      <w:r w:rsidRPr="00125E72">
        <w:rPr>
          <w:rFonts w:ascii="Arial" w:hAnsi="Arial" w:cs="Arial"/>
          <w:sz w:val="20"/>
          <w:szCs w:val="20"/>
        </w:rPr>
        <w:br w:type="page"/>
      </w:r>
    </w:p>
    <w:p w14:paraId="0ADADD31" w14:textId="02097AE8" w:rsidR="00472A1E" w:rsidRPr="00125E72" w:rsidRDefault="00472A1E" w:rsidP="00125E72">
      <w:pPr>
        <w:spacing w:line="360" w:lineRule="auto"/>
        <w:jc w:val="both"/>
        <w:rPr>
          <w:rFonts w:ascii="Arial" w:hAnsi="Arial" w:cs="Arial"/>
          <w:b/>
          <w:bCs/>
          <w:sz w:val="20"/>
          <w:szCs w:val="20"/>
        </w:rPr>
      </w:pPr>
      <w:r w:rsidRPr="00125E72">
        <w:rPr>
          <w:rFonts w:ascii="Arial" w:hAnsi="Arial" w:cs="Arial"/>
          <w:b/>
          <w:bCs/>
          <w:noProof/>
          <w:sz w:val="20"/>
          <w:szCs w:val="20"/>
        </w:rPr>
        <w:lastRenderedPageBreak/>
        <w:drawing>
          <wp:inline distT="0" distB="0" distL="0" distR="0" wp14:anchorId="5106BF04" wp14:editId="2EBD5CA0">
            <wp:extent cx="5731510" cy="2506345"/>
            <wp:effectExtent l="0" t="0" r="2540" b="8255"/>
            <wp:docPr id="618495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06345"/>
                    </a:xfrm>
                    <a:prstGeom prst="rect">
                      <a:avLst/>
                    </a:prstGeom>
                    <a:noFill/>
                    <a:ln>
                      <a:noFill/>
                    </a:ln>
                  </pic:spPr>
                </pic:pic>
              </a:graphicData>
            </a:graphic>
          </wp:inline>
        </w:drawing>
      </w:r>
    </w:p>
    <w:p w14:paraId="5E3806C1" w14:textId="52337EB0" w:rsidR="008A14FA" w:rsidRPr="00125E72" w:rsidRDefault="008A14FA" w:rsidP="00125E72">
      <w:pPr>
        <w:spacing w:line="360" w:lineRule="auto"/>
        <w:jc w:val="both"/>
        <w:rPr>
          <w:rFonts w:ascii="Arial" w:hAnsi="Arial" w:cs="Arial"/>
          <w:sz w:val="20"/>
          <w:szCs w:val="20"/>
        </w:rPr>
      </w:pPr>
      <w:r w:rsidRPr="00125E72">
        <w:rPr>
          <w:rFonts w:ascii="Arial" w:hAnsi="Arial" w:cs="Arial"/>
          <w:b/>
          <w:bCs/>
          <w:sz w:val="20"/>
          <w:szCs w:val="20"/>
        </w:rPr>
        <w:t xml:space="preserve">Supplementary Figure 3. Molecular docking-derived binding mode of LXRα with its endogenous ligand 25HC. </w:t>
      </w:r>
      <w:r w:rsidR="00472A1E" w:rsidRPr="00125E72">
        <w:rPr>
          <w:rFonts w:ascii="Arial" w:hAnsi="Arial" w:cs="Arial"/>
          <w:sz w:val="20"/>
          <w:szCs w:val="20"/>
        </w:rPr>
        <w:t xml:space="preserve">(Left) Three-dimensional representation of 25HC bound within the ligand-binding pocket of LXRα. The protein surface is shown as a semi-transparent grey surface, with secondary structure elements displayed as a light-blue cartoon; 25HC is shown as an orange stick model. (Zoom-in box) Enlarged view of the local binding environment highlighting predicted interactions between 25HC and surrounding residues. Blue solid lines indicate hydrogen bonds, and grey dashed lines denote hydrophobic contacts. (Right) Tables summarising predicted hydrophobic contacts and hydrogen bonds between 25HC and LXRα, including interacting residues, atom-atom distances, and donor/acceptor assignment for hydrogen bonds. Distances are given in </w:t>
      </w:r>
      <w:proofErr w:type="spellStart"/>
      <w:r w:rsidR="00472A1E" w:rsidRPr="00125E72">
        <w:rPr>
          <w:rFonts w:ascii="Arial" w:hAnsi="Arial" w:cs="Arial"/>
          <w:sz w:val="20"/>
          <w:szCs w:val="20"/>
        </w:rPr>
        <w:t>ångströms</w:t>
      </w:r>
      <w:proofErr w:type="spellEnd"/>
      <w:r w:rsidR="00472A1E" w:rsidRPr="00125E72">
        <w:rPr>
          <w:rFonts w:ascii="Arial" w:hAnsi="Arial" w:cs="Arial"/>
          <w:sz w:val="20"/>
          <w:szCs w:val="20"/>
        </w:rPr>
        <w:t xml:space="preserve"> (Å).</w:t>
      </w:r>
    </w:p>
    <w:p w14:paraId="7917ED00" w14:textId="77777777" w:rsidR="00997E7B" w:rsidRPr="00125E72" w:rsidRDefault="00997E7B" w:rsidP="00125E72">
      <w:pPr>
        <w:spacing w:line="360" w:lineRule="auto"/>
        <w:rPr>
          <w:rFonts w:ascii="Arial" w:hAnsi="Arial" w:cs="Arial"/>
          <w:sz w:val="20"/>
          <w:szCs w:val="20"/>
        </w:rPr>
      </w:pPr>
      <w:r w:rsidRPr="00125E72">
        <w:rPr>
          <w:rFonts w:ascii="Arial" w:hAnsi="Arial" w:cs="Arial"/>
          <w:sz w:val="20"/>
          <w:szCs w:val="20"/>
        </w:rPr>
        <w:br w:type="page"/>
      </w:r>
    </w:p>
    <w:p w14:paraId="22C38DC2" w14:textId="00452E90" w:rsidR="002E7F96" w:rsidRPr="00125E72" w:rsidRDefault="00340F07" w:rsidP="00125E72">
      <w:pPr>
        <w:spacing w:line="360" w:lineRule="auto"/>
        <w:jc w:val="center"/>
        <w:rPr>
          <w:rFonts w:ascii="Arial" w:hAnsi="Arial" w:cs="Arial"/>
          <w:sz w:val="20"/>
          <w:szCs w:val="20"/>
        </w:rPr>
      </w:pPr>
      <w:r w:rsidRPr="00125E72">
        <w:rPr>
          <w:rFonts w:ascii="Arial" w:hAnsi="Arial" w:cs="Arial"/>
          <w:noProof/>
          <w:sz w:val="20"/>
          <w:szCs w:val="20"/>
        </w:rPr>
        <w:lastRenderedPageBreak/>
        <w:drawing>
          <wp:inline distT="0" distB="0" distL="0" distR="0" wp14:anchorId="3C93B6EF" wp14:editId="0F071672">
            <wp:extent cx="3275388" cy="1452623"/>
            <wp:effectExtent l="0" t="0" r="1270" b="0"/>
            <wp:docPr id="29876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66257" name=""/>
                    <pic:cNvPicPr/>
                  </pic:nvPicPr>
                  <pic:blipFill>
                    <a:blip r:embed="rId8"/>
                    <a:stretch>
                      <a:fillRect/>
                    </a:stretch>
                  </pic:blipFill>
                  <pic:spPr>
                    <a:xfrm>
                      <a:off x="0" y="0"/>
                      <a:ext cx="3285894" cy="1457282"/>
                    </a:xfrm>
                    <a:prstGeom prst="rect">
                      <a:avLst/>
                    </a:prstGeom>
                  </pic:spPr>
                </pic:pic>
              </a:graphicData>
            </a:graphic>
          </wp:inline>
        </w:drawing>
      </w:r>
    </w:p>
    <w:p w14:paraId="4D4BD0AA" w14:textId="378ED227" w:rsidR="004750C9" w:rsidRPr="00125E72" w:rsidRDefault="00303C4B" w:rsidP="00125E72">
      <w:pPr>
        <w:spacing w:line="360" w:lineRule="auto"/>
        <w:jc w:val="both"/>
        <w:rPr>
          <w:rFonts w:ascii="Arial" w:hAnsi="Arial" w:cs="Arial"/>
          <w:sz w:val="20"/>
          <w:szCs w:val="20"/>
        </w:rPr>
      </w:pPr>
      <w:r w:rsidRPr="00125E72">
        <w:rPr>
          <w:rFonts w:ascii="Arial" w:hAnsi="Arial" w:cs="Arial"/>
          <w:b/>
          <w:bCs/>
          <w:sz w:val="20"/>
          <w:szCs w:val="20"/>
        </w:rPr>
        <w:t xml:space="preserve">Supplementary Figure </w:t>
      </w:r>
      <w:r w:rsidR="008A14FA" w:rsidRPr="00125E72">
        <w:rPr>
          <w:rFonts w:ascii="Arial" w:hAnsi="Arial" w:cs="Arial"/>
          <w:b/>
          <w:bCs/>
          <w:sz w:val="20"/>
          <w:szCs w:val="20"/>
        </w:rPr>
        <w:t>4</w:t>
      </w:r>
      <w:r w:rsidRPr="00125E72">
        <w:rPr>
          <w:rFonts w:ascii="Arial" w:hAnsi="Arial" w:cs="Arial"/>
          <w:b/>
          <w:bCs/>
          <w:sz w:val="20"/>
          <w:szCs w:val="20"/>
        </w:rPr>
        <w:t>.</w:t>
      </w:r>
      <w:r w:rsidR="00797514" w:rsidRPr="00125E72">
        <w:rPr>
          <w:rFonts w:ascii="Arial" w:hAnsi="Arial" w:cs="Arial"/>
          <w:b/>
          <w:bCs/>
          <w:sz w:val="20"/>
          <w:szCs w:val="20"/>
        </w:rPr>
        <w:t xml:space="preserve"> 25HC treatment improves outcomes at </w:t>
      </w:r>
      <w:r w:rsidR="005B53E5" w:rsidRPr="00125E72">
        <w:rPr>
          <w:rFonts w:ascii="Arial" w:hAnsi="Arial" w:cs="Arial"/>
          <w:b/>
          <w:bCs/>
          <w:sz w:val="20"/>
          <w:szCs w:val="20"/>
        </w:rPr>
        <w:t>24 h</w:t>
      </w:r>
      <w:r w:rsidR="00797514" w:rsidRPr="00125E72">
        <w:rPr>
          <w:rFonts w:ascii="Arial" w:hAnsi="Arial" w:cs="Arial"/>
          <w:b/>
          <w:bCs/>
          <w:sz w:val="20"/>
          <w:szCs w:val="20"/>
        </w:rPr>
        <w:t xml:space="preserve"> post-ICH.</w:t>
      </w:r>
      <w:r w:rsidRPr="00125E72">
        <w:rPr>
          <w:rFonts w:ascii="Arial" w:hAnsi="Arial" w:cs="Arial"/>
          <w:b/>
          <w:bCs/>
          <w:sz w:val="20"/>
          <w:szCs w:val="20"/>
        </w:rPr>
        <w:t xml:space="preserve"> </w:t>
      </w:r>
      <w:r w:rsidR="001D0C72" w:rsidRPr="00125E72">
        <w:rPr>
          <w:rFonts w:ascii="Arial" w:hAnsi="Arial" w:cs="Arial"/>
          <w:sz w:val="20"/>
          <w:szCs w:val="20"/>
        </w:rPr>
        <w:t>Neurological</w:t>
      </w:r>
      <w:r w:rsidR="001D0C72" w:rsidRPr="00125E72">
        <w:rPr>
          <w:rFonts w:ascii="Arial" w:hAnsi="Arial" w:cs="Arial"/>
          <w:b/>
          <w:bCs/>
          <w:sz w:val="20"/>
          <w:szCs w:val="20"/>
        </w:rPr>
        <w:t xml:space="preserve"> </w:t>
      </w:r>
      <w:r w:rsidR="001D0C72" w:rsidRPr="00125E72">
        <w:rPr>
          <w:rFonts w:ascii="Arial" w:hAnsi="Arial" w:cs="Arial"/>
          <w:sz w:val="20"/>
          <w:szCs w:val="20"/>
        </w:rPr>
        <w:t>deficit score (</w:t>
      </w:r>
      <w:r w:rsidR="001D0C72" w:rsidRPr="00125E72">
        <w:rPr>
          <w:rFonts w:ascii="Arial" w:hAnsi="Arial" w:cs="Arial"/>
          <w:b/>
          <w:bCs/>
          <w:sz w:val="20"/>
          <w:szCs w:val="20"/>
        </w:rPr>
        <w:t>a</w:t>
      </w:r>
      <w:r w:rsidR="001D0C72" w:rsidRPr="00125E72">
        <w:rPr>
          <w:rFonts w:ascii="Arial" w:hAnsi="Arial" w:cs="Arial"/>
          <w:sz w:val="20"/>
          <w:szCs w:val="20"/>
        </w:rPr>
        <w:t>) and w</w:t>
      </w:r>
      <w:r w:rsidR="004A7BC1" w:rsidRPr="00125E72">
        <w:rPr>
          <w:rFonts w:ascii="Arial" w:hAnsi="Arial" w:cs="Arial"/>
          <w:sz w:val="20"/>
          <w:szCs w:val="20"/>
        </w:rPr>
        <w:t>eight loss (</w:t>
      </w:r>
      <w:r w:rsidR="001D0C72" w:rsidRPr="00125E72">
        <w:rPr>
          <w:rFonts w:ascii="Arial" w:hAnsi="Arial" w:cs="Arial"/>
          <w:b/>
          <w:bCs/>
          <w:sz w:val="20"/>
          <w:szCs w:val="20"/>
        </w:rPr>
        <w:t>b</w:t>
      </w:r>
      <w:r w:rsidR="004A7BC1" w:rsidRPr="00125E72">
        <w:rPr>
          <w:rFonts w:ascii="Arial" w:hAnsi="Arial" w:cs="Arial"/>
          <w:sz w:val="20"/>
          <w:szCs w:val="20"/>
        </w:rPr>
        <w:t xml:space="preserve">) </w:t>
      </w:r>
      <w:r w:rsidR="0049606B" w:rsidRPr="00125E72">
        <w:rPr>
          <w:rFonts w:ascii="Arial" w:hAnsi="Arial" w:cs="Arial"/>
          <w:sz w:val="20"/>
          <w:szCs w:val="20"/>
        </w:rPr>
        <w:t>in vehicle and 25HC-treated mice (</w:t>
      </w:r>
      <w:r w:rsidR="009C0E83" w:rsidRPr="00125E72">
        <w:rPr>
          <w:rFonts w:ascii="Arial" w:hAnsi="Arial" w:cs="Arial"/>
          <w:sz w:val="20"/>
          <w:szCs w:val="20"/>
        </w:rPr>
        <w:t>50 mg</w:t>
      </w:r>
      <w:r w:rsidR="00B9000A" w:rsidRPr="00125E72">
        <w:rPr>
          <w:rFonts w:ascii="Arial" w:hAnsi="Arial" w:cs="Arial"/>
          <w:sz w:val="20"/>
          <w:szCs w:val="20"/>
        </w:rPr>
        <w:t xml:space="preserve"> </w:t>
      </w:r>
      <w:r w:rsidR="009C0E83" w:rsidRPr="00125E72">
        <w:rPr>
          <w:rFonts w:ascii="Arial" w:hAnsi="Arial" w:cs="Arial"/>
          <w:sz w:val="20"/>
          <w:szCs w:val="20"/>
        </w:rPr>
        <w:t>kg</w:t>
      </w:r>
      <w:r w:rsidR="00B9000A" w:rsidRPr="00125E72">
        <w:rPr>
          <w:rFonts w:ascii="Arial" w:hAnsi="Arial" w:cs="Arial"/>
          <w:sz w:val="20"/>
          <w:szCs w:val="20"/>
          <w:vertAlign w:val="superscript"/>
        </w:rPr>
        <w:t>-1</w:t>
      </w:r>
      <w:r w:rsidR="009C0E83" w:rsidRPr="00125E72">
        <w:rPr>
          <w:rFonts w:ascii="Arial" w:hAnsi="Arial" w:cs="Arial"/>
          <w:sz w:val="20"/>
          <w:szCs w:val="20"/>
        </w:rPr>
        <w:t xml:space="preserve"> </w:t>
      </w:r>
      <w:proofErr w:type="spellStart"/>
      <w:r w:rsidR="009C0E83" w:rsidRPr="00125E72">
        <w:rPr>
          <w:rFonts w:ascii="Arial" w:hAnsi="Arial" w:cs="Arial"/>
          <w:sz w:val="20"/>
          <w:szCs w:val="20"/>
        </w:rPr>
        <w:t>i.p.</w:t>
      </w:r>
      <w:proofErr w:type="spellEnd"/>
      <w:r w:rsidR="009C0E83" w:rsidRPr="00125E72">
        <w:rPr>
          <w:rFonts w:ascii="Arial" w:hAnsi="Arial" w:cs="Arial"/>
          <w:sz w:val="20"/>
          <w:szCs w:val="20"/>
        </w:rPr>
        <w:t xml:space="preserve">, </w:t>
      </w:r>
      <w:r w:rsidR="0049606B" w:rsidRPr="00125E72">
        <w:rPr>
          <w:rFonts w:ascii="Arial" w:hAnsi="Arial" w:cs="Arial"/>
          <w:sz w:val="20"/>
          <w:szCs w:val="20"/>
        </w:rPr>
        <w:t xml:space="preserve">n=4 per group) 1 day after ICH. Statistics were performed using an unpaired </w:t>
      </w:r>
      <w:r w:rsidR="0049606B" w:rsidRPr="00125E72">
        <w:rPr>
          <w:rFonts w:ascii="Arial" w:hAnsi="Arial" w:cs="Arial"/>
          <w:i/>
          <w:iCs/>
          <w:sz w:val="20"/>
          <w:szCs w:val="20"/>
        </w:rPr>
        <w:t>t</w:t>
      </w:r>
      <w:r w:rsidR="0049606B" w:rsidRPr="00125E72">
        <w:rPr>
          <w:rFonts w:ascii="Arial" w:hAnsi="Arial" w:cs="Arial"/>
          <w:sz w:val="20"/>
          <w:szCs w:val="20"/>
        </w:rPr>
        <w:t>-test (</w:t>
      </w:r>
      <w:proofErr w:type="spellStart"/>
      <w:proofErr w:type="gramStart"/>
      <w:r w:rsidR="0049606B" w:rsidRPr="00125E72">
        <w:rPr>
          <w:rFonts w:ascii="Arial" w:hAnsi="Arial" w:cs="Arial"/>
          <w:b/>
          <w:bCs/>
          <w:sz w:val="20"/>
          <w:szCs w:val="20"/>
        </w:rPr>
        <w:t>a,b</w:t>
      </w:r>
      <w:proofErr w:type="spellEnd"/>
      <w:proofErr w:type="gramEnd"/>
      <w:r w:rsidR="0049606B" w:rsidRPr="00125E72">
        <w:rPr>
          <w:rFonts w:ascii="Arial" w:hAnsi="Arial" w:cs="Arial"/>
          <w:sz w:val="20"/>
          <w:szCs w:val="20"/>
        </w:rPr>
        <w:t xml:space="preserve">). </w:t>
      </w:r>
      <w:r w:rsidR="00340F07" w:rsidRPr="00125E72">
        <w:rPr>
          <w:rFonts w:ascii="Arial" w:hAnsi="Arial" w:cs="Arial"/>
          <w:sz w:val="20"/>
          <w:szCs w:val="20"/>
        </w:rPr>
        <w:t>Data are mean</w:t>
      </w:r>
      <w:r w:rsidR="0049606B" w:rsidRPr="00125E72">
        <w:rPr>
          <w:rFonts w:ascii="Arial" w:hAnsi="Arial" w:cs="Arial"/>
          <w:sz w:val="20"/>
          <w:szCs w:val="20"/>
        </w:rPr>
        <w:t> ± </w:t>
      </w:r>
      <w:r w:rsidR="00340F07" w:rsidRPr="00125E72">
        <w:rPr>
          <w:rFonts w:ascii="Arial" w:hAnsi="Arial" w:cs="Arial"/>
          <w:sz w:val="20"/>
          <w:szCs w:val="20"/>
        </w:rPr>
        <w:t>SEM</w:t>
      </w:r>
      <w:r w:rsidR="0049606B" w:rsidRPr="00125E72">
        <w:rPr>
          <w:rFonts w:ascii="Arial" w:hAnsi="Arial" w:cs="Arial"/>
          <w:sz w:val="20"/>
          <w:szCs w:val="20"/>
        </w:rPr>
        <w:t>. * P &lt; 0.05</w:t>
      </w:r>
      <w:r w:rsidR="00340F07" w:rsidRPr="00125E72">
        <w:rPr>
          <w:rFonts w:ascii="Arial" w:hAnsi="Arial" w:cs="Arial"/>
          <w:sz w:val="20"/>
          <w:szCs w:val="20"/>
        </w:rPr>
        <w:t>.</w:t>
      </w:r>
      <w:r w:rsidR="0049606B" w:rsidRPr="00125E72">
        <w:rPr>
          <w:rFonts w:ascii="Arial" w:hAnsi="Arial" w:cs="Arial"/>
          <w:sz w:val="20"/>
          <w:szCs w:val="20"/>
        </w:rPr>
        <w:t xml:space="preserve"> </w:t>
      </w:r>
      <w:r w:rsidR="004750C9" w:rsidRPr="00125E72">
        <w:rPr>
          <w:rFonts w:ascii="Arial" w:hAnsi="Arial" w:cs="Arial"/>
          <w:sz w:val="20"/>
          <w:szCs w:val="20"/>
        </w:rPr>
        <w:br w:type="page"/>
      </w:r>
    </w:p>
    <w:p w14:paraId="608AE96C" w14:textId="4239DAD7" w:rsidR="00A20C62" w:rsidRPr="00125E72" w:rsidRDefault="00A20C62" w:rsidP="00125E72">
      <w:pPr>
        <w:spacing w:line="360" w:lineRule="auto"/>
        <w:jc w:val="both"/>
        <w:rPr>
          <w:rFonts w:ascii="Arial" w:hAnsi="Arial" w:cs="Arial"/>
          <w:sz w:val="20"/>
          <w:szCs w:val="20"/>
        </w:rPr>
      </w:pPr>
      <w:r w:rsidRPr="00125E72">
        <w:rPr>
          <w:rFonts w:ascii="Arial" w:hAnsi="Arial" w:cs="Arial"/>
          <w:noProof/>
          <w:sz w:val="20"/>
          <w:szCs w:val="20"/>
        </w:rPr>
        <w:lastRenderedPageBreak/>
        <w:drawing>
          <wp:inline distT="0" distB="0" distL="0" distR="0" wp14:anchorId="4A92105F" wp14:editId="12EA4D8E">
            <wp:extent cx="5731510" cy="3883025"/>
            <wp:effectExtent l="0" t="0" r="2540" b="3175"/>
            <wp:docPr id="1982247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83025"/>
                    </a:xfrm>
                    <a:prstGeom prst="rect">
                      <a:avLst/>
                    </a:prstGeom>
                    <a:noFill/>
                    <a:ln>
                      <a:noFill/>
                    </a:ln>
                  </pic:spPr>
                </pic:pic>
              </a:graphicData>
            </a:graphic>
          </wp:inline>
        </w:drawing>
      </w:r>
    </w:p>
    <w:p w14:paraId="5E5B63E1" w14:textId="454916F8" w:rsidR="000C4572" w:rsidRPr="00125E72" w:rsidRDefault="003C6AEC" w:rsidP="00125E72">
      <w:pPr>
        <w:spacing w:line="360" w:lineRule="auto"/>
        <w:jc w:val="both"/>
        <w:rPr>
          <w:rFonts w:ascii="Arial" w:hAnsi="Arial" w:cs="Arial"/>
          <w:sz w:val="20"/>
          <w:szCs w:val="20"/>
        </w:rPr>
      </w:pPr>
      <w:r w:rsidRPr="00125E72">
        <w:rPr>
          <w:rFonts w:ascii="Arial" w:hAnsi="Arial" w:cs="Arial"/>
          <w:b/>
          <w:bCs/>
          <w:sz w:val="20"/>
          <w:szCs w:val="20"/>
        </w:rPr>
        <w:t xml:space="preserve">Supplementary Figure </w:t>
      </w:r>
      <w:r w:rsidR="008A14FA" w:rsidRPr="00125E72">
        <w:rPr>
          <w:rFonts w:ascii="Arial" w:hAnsi="Arial" w:cs="Arial"/>
          <w:b/>
          <w:bCs/>
          <w:sz w:val="20"/>
          <w:szCs w:val="20"/>
        </w:rPr>
        <w:t>5</w:t>
      </w:r>
      <w:r w:rsidRPr="00125E72">
        <w:rPr>
          <w:rFonts w:ascii="Arial" w:hAnsi="Arial" w:cs="Arial"/>
          <w:b/>
          <w:bCs/>
          <w:sz w:val="20"/>
          <w:szCs w:val="20"/>
        </w:rPr>
        <w:t xml:space="preserve">. </w:t>
      </w:r>
      <w:r w:rsidR="00D679A1" w:rsidRPr="00125E72">
        <w:rPr>
          <w:rFonts w:ascii="Arial" w:hAnsi="Arial" w:cs="Arial"/>
          <w:b/>
          <w:bCs/>
          <w:sz w:val="20"/>
          <w:szCs w:val="20"/>
        </w:rPr>
        <w:t xml:space="preserve">Coarse cell </w:t>
      </w:r>
      <w:r w:rsidR="0085619D" w:rsidRPr="00125E72">
        <w:rPr>
          <w:rFonts w:ascii="Arial" w:hAnsi="Arial" w:cs="Arial"/>
          <w:b/>
          <w:bCs/>
          <w:sz w:val="20"/>
          <w:szCs w:val="20"/>
        </w:rPr>
        <w:t>clustering and</w:t>
      </w:r>
      <w:r w:rsidR="001871B4" w:rsidRPr="00125E72">
        <w:rPr>
          <w:rFonts w:ascii="Arial" w:hAnsi="Arial" w:cs="Arial"/>
          <w:b/>
          <w:bCs/>
          <w:sz w:val="20"/>
          <w:szCs w:val="20"/>
        </w:rPr>
        <w:t xml:space="preserve"> </w:t>
      </w:r>
      <w:r w:rsidR="001871B4" w:rsidRPr="00125E72">
        <w:rPr>
          <w:rFonts w:ascii="Arial" w:hAnsi="Arial" w:cs="Arial"/>
          <w:b/>
          <w:bCs/>
          <w:i/>
          <w:iCs/>
          <w:sz w:val="20"/>
          <w:szCs w:val="20"/>
        </w:rPr>
        <w:t>Ch25h</w:t>
      </w:r>
      <w:r w:rsidR="001871B4" w:rsidRPr="00125E72">
        <w:rPr>
          <w:rFonts w:ascii="Arial" w:hAnsi="Arial" w:cs="Arial"/>
          <w:b/>
          <w:bCs/>
          <w:sz w:val="20"/>
          <w:szCs w:val="20"/>
        </w:rPr>
        <w:t xml:space="preserve"> expression</w:t>
      </w:r>
      <w:r w:rsidR="0085619D" w:rsidRPr="00125E72">
        <w:rPr>
          <w:rFonts w:ascii="Arial" w:hAnsi="Arial" w:cs="Arial"/>
          <w:b/>
          <w:bCs/>
          <w:sz w:val="20"/>
          <w:szCs w:val="20"/>
        </w:rPr>
        <w:t xml:space="preserve"> in single</w:t>
      </w:r>
      <w:r w:rsidR="00B60CB4" w:rsidRPr="00125E72">
        <w:rPr>
          <w:rFonts w:ascii="Arial" w:hAnsi="Arial" w:cs="Arial"/>
          <w:b/>
          <w:bCs/>
          <w:sz w:val="20"/>
          <w:szCs w:val="20"/>
        </w:rPr>
        <w:t>-</w:t>
      </w:r>
      <w:r w:rsidR="0085619D" w:rsidRPr="00125E72">
        <w:rPr>
          <w:rFonts w:ascii="Arial" w:hAnsi="Arial" w:cs="Arial"/>
          <w:b/>
          <w:bCs/>
          <w:sz w:val="20"/>
          <w:szCs w:val="20"/>
        </w:rPr>
        <w:t>cell RNA-</w:t>
      </w:r>
      <w:proofErr w:type="spellStart"/>
      <w:r w:rsidR="0085619D" w:rsidRPr="00125E72">
        <w:rPr>
          <w:rFonts w:ascii="Arial" w:hAnsi="Arial" w:cs="Arial"/>
          <w:b/>
          <w:bCs/>
          <w:sz w:val="20"/>
          <w:szCs w:val="20"/>
        </w:rPr>
        <w:t>seq</w:t>
      </w:r>
      <w:proofErr w:type="spellEnd"/>
      <w:r w:rsidR="0085619D" w:rsidRPr="00125E72">
        <w:rPr>
          <w:rFonts w:ascii="Arial" w:hAnsi="Arial" w:cs="Arial"/>
          <w:b/>
          <w:bCs/>
          <w:sz w:val="20"/>
          <w:szCs w:val="20"/>
        </w:rPr>
        <w:t xml:space="preserve"> analysis</w:t>
      </w:r>
      <w:r w:rsidR="005B53E5" w:rsidRPr="00125E72">
        <w:rPr>
          <w:rFonts w:ascii="Arial" w:hAnsi="Arial" w:cs="Arial"/>
          <w:b/>
          <w:bCs/>
          <w:sz w:val="20"/>
          <w:szCs w:val="20"/>
        </w:rPr>
        <w:t xml:space="preserve"> 3 days post-ICH</w:t>
      </w:r>
      <w:r w:rsidR="00B4534C" w:rsidRPr="00125E72">
        <w:rPr>
          <w:rFonts w:ascii="Arial" w:hAnsi="Arial" w:cs="Arial"/>
          <w:b/>
          <w:bCs/>
          <w:sz w:val="20"/>
          <w:szCs w:val="20"/>
        </w:rPr>
        <w:t xml:space="preserve">. </w:t>
      </w:r>
      <w:r w:rsidR="00D679A1" w:rsidRPr="00125E72">
        <w:rPr>
          <w:rFonts w:ascii="Arial" w:hAnsi="Arial" w:cs="Arial"/>
          <w:b/>
          <w:bCs/>
          <w:sz w:val="20"/>
          <w:szCs w:val="20"/>
        </w:rPr>
        <w:t>a</w:t>
      </w:r>
      <w:r w:rsidR="003C143C" w:rsidRPr="00125E72">
        <w:rPr>
          <w:rFonts w:ascii="Arial" w:hAnsi="Arial" w:cs="Arial"/>
          <w:sz w:val="20"/>
          <w:szCs w:val="20"/>
        </w:rPr>
        <w:t xml:space="preserve">, </w:t>
      </w:r>
      <w:proofErr w:type="gramStart"/>
      <w:r w:rsidR="00D679A1" w:rsidRPr="00125E72">
        <w:rPr>
          <w:rFonts w:ascii="Arial" w:hAnsi="Arial" w:cs="Arial"/>
          <w:sz w:val="20"/>
          <w:szCs w:val="20"/>
        </w:rPr>
        <w:t>Manually</w:t>
      </w:r>
      <w:proofErr w:type="gramEnd"/>
      <w:r w:rsidR="00D679A1" w:rsidRPr="00125E72">
        <w:rPr>
          <w:rFonts w:ascii="Arial" w:hAnsi="Arial" w:cs="Arial"/>
          <w:sz w:val="20"/>
          <w:szCs w:val="20"/>
        </w:rPr>
        <w:t xml:space="preserve"> s</w:t>
      </w:r>
      <w:r w:rsidR="003C143C" w:rsidRPr="00125E72">
        <w:rPr>
          <w:rFonts w:ascii="Arial" w:hAnsi="Arial" w:cs="Arial"/>
          <w:sz w:val="20"/>
          <w:szCs w:val="20"/>
        </w:rPr>
        <w:t xml:space="preserve">elected marker genes </w:t>
      </w:r>
      <w:r w:rsidR="0099579B" w:rsidRPr="00125E72">
        <w:rPr>
          <w:rFonts w:ascii="Arial" w:hAnsi="Arial" w:cs="Arial"/>
          <w:sz w:val="20"/>
          <w:szCs w:val="20"/>
        </w:rPr>
        <w:t>for</w:t>
      </w:r>
      <w:r w:rsidR="003C143C" w:rsidRPr="00125E72">
        <w:rPr>
          <w:rFonts w:ascii="Arial" w:hAnsi="Arial" w:cs="Arial"/>
          <w:sz w:val="20"/>
          <w:szCs w:val="20"/>
        </w:rPr>
        <w:t xml:space="preserve"> each</w:t>
      </w:r>
      <w:r w:rsidR="0099579B" w:rsidRPr="00125E72">
        <w:rPr>
          <w:rFonts w:ascii="Arial" w:hAnsi="Arial" w:cs="Arial"/>
          <w:sz w:val="20"/>
          <w:szCs w:val="20"/>
        </w:rPr>
        <w:t xml:space="preserve"> coarse</w:t>
      </w:r>
      <w:r w:rsidR="003C143C" w:rsidRPr="00125E72">
        <w:rPr>
          <w:rFonts w:ascii="Arial" w:hAnsi="Arial" w:cs="Arial"/>
          <w:sz w:val="20"/>
          <w:szCs w:val="20"/>
        </w:rPr>
        <w:t xml:space="preserve"> cell type</w:t>
      </w:r>
      <w:r w:rsidR="00D679A1" w:rsidRPr="00125E72">
        <w:rPr>
          <w:rFonts w:ascii="Arial" w:hAnsi="Arial" w:cs="Arial"/>
          <w:sz w:val="20"/>
          <w:szCs w:val="20"/>
        </w:rPr>
        <w:t xml:space="preserve"> found in </w:t>
      </w:r>
      <w:proofErr w:type="spellStart"/>
      <w:r w:rsidR="00D679A1" w:rsidRPr="00125E72">
        <w:rPr>
          <w:rFonts w:ascii="Arial" w:hAnsi="Arial" w:cs="Arial"/>
          <w:sz w:val="20"/>
          <w:szCs w:val="20"/>
        </w:rPr>
        <w:t>scRNA</w:t>
      </w:r>
      <w:proofErr w:type="spellEnd"/>
      <w:r w:rsidR="00D679A1" w:rsidRPr="00125E72">
        <w:rPr>
          <w:rFonts w:ascii="Arial" w:hAnsi="Arial" w:cs="Arial"/>
          <w:sz w:val="20"/>
          <w:szCs w:val="20"/>
        </w:rPr>
        <w:t>-seq</w:t>
      </w:r>
      <w:r w:rsidR="003C143C" w:rsidRPr="00125E72">
        <w:rPr>
          <w:rFonts w:ascii="Arial" w:hAnsi="Arial" w:cs="Arial"/>
          <w:sz w:val="20"/>
          <w:szCs w:val="20"/>
        </w:rPr>
        <w:t>. Dot size indicates the percentage of cells expressing each gene within a cluster, and colour represents the scaled average gene expression (Z-score).</w:t>
      </w:r>
      <w:r w:rsidR="00D679A1" w:rsidRPr="00125E72">
        <w:rPr>
          <w:rFonts w:ascii="Arial" w:hAnsi="Arial" w:cs="Arial"/>
          <w:sz w:val="20"/>
          <w:szCs w:val="20"/>
        </w:rPr>
        <w:t xml:space="preserve"> </w:t>
      </w:r>
      <w:r w:rsidR="00D679A1" w:rsidRPr="00125E72">
        <w:rPr>
          <w:rFonts w:ascii="Arial" w:hAnsi="Arial" w:cs="Arial"/>
          <w:b/>
          <w:bCs/>
          <w:sz w:val="20"/>
          <w:szCs w:val="20"/>
        </w:rPr>
        <w:t>b-d</w:t>
      </w:r>
      <w:r w:rsidR="00D679A1" w:rsidRPr="00125E72">
        <w:rPr>
          <w:rFonts w:ascii="Arial" w:hAnsi="Arial" w:cs="Arial"/>
          <w:sz w:val="20"/>
          <w:szCs w:val="20"/>
        </w:rPr>
        <w:t>, MNN-TSNE representation of cells in control and ICH</w:t>
      </w:r>
      <w:r w:rsidR="006F6BCB" w:rsidRPr="00125E72">
        <w:rPr>
          <w:rFonts w:ascii="Arial" w:hAnsi="Arial" w:cs="Arial"/>
          <w:sz w:val="20"/>
          <w:szCs w:val="20"/>
        </w:rPr>
        <w:t xml:space="preserve"> pooled</w:t>
      </w:r>
      <w:r w:rsidR="00D679A1" w:rsidRPr="00125E72">
        <w:rPr>
          <w:rFonts w:ascii="Arial" w:hAnsi="Arial" w:cs="Arial"/>
          <w:sz w:val="20"/>
          <w:szCs w:val="20"/>
        </w:rPr>
        <w:t xml:space="preserve"> conditions labelled by coarse cell types (</w:t>
      </w:r>
      <w:r w:rsidR="00D679A1" w:rsidRPr="00125E72">
        <w:rPr>
          <w:rFonts w:ascii="Arial" w:hAnsi="Arial" w:cs="Arial"/>
          <w:b/>
          <w:bCs/>
          <w:sz w:val="20"/>
          <w:szCs w:val="20"/>
        </w:rPr>
        <w:t>b</w:t>
      </w:r>
      <w:r w:rsidR="00D679A1" w:rsidRPr="00125E72">
        <w:rPr>
          <w:rFonts w:ascii="Arial" w:hAnsi="Arial" w:cs="Arial"/>
          <w:sz w:val="20"/>
          <w:szCs w:val="20"/>
        </w:rPr>
        <w:t xml:space="preserve">), </w:t>
      </w:r>
      <w:r w:rsidR="00F76E20" w:rsidRPr="00125E72">
        <w:rPr>
          <w:rFonts w:ascii="Arial" w:hAnsi="Arial" w:cs="Arial"/>
          <w:i/>
          <w:iCs/>
          <w:sz w:val="20"/>
          <w:szCs w:val="20"/>
        </w:rPr>
        <w:t>Ch25h</w:t>
      </w:r>
      <w:r w:rsidR="00F76E20" w:rsidRPr="00125E72">
        <w:rPr>
          <w:rFonts w:ascii="Arial" w:hAnsi="Arial" w:cs="Arial"/>
          <w:sz w:val="20"/>
          <w:szCs w:val="20"/>
        </w:rPr>
        <w:t xml:space="preserve"> expression</w:t>
      </w:r>
      <w:r w:rsidR="00D679A1" w:rsidRPr="00125E72">
        <w:rPr>
          <w:rFonts w:ascii="Arial" w:hAnsi="Arial" w:cs="Arial"/>
          <w:sz w:val="20"/>
          <w:szCs w:val="20"/>
        </w:rPr>
        <w:t xml:space="preserve"> (</w:t>
      </w:r>
      <w:r w:rsidR="00D679A1" w:rsidRPr="00125E72">
        <w:rPr>
          <w:rFonts w:ascii="Arial" w:hAnsi="Arial" w:cs="Arial"/>
          <w:b/>
          <w:bCs/>
          <w:sz w:val="20"/>
          <w:szCs w:val="20"/>
        </w:rPr>
        <w:t>c</w:t>
      </w:r>
      <w:r w:rsidR="00D679A1" w:rsidRPr="00125E72">
        <w:rPr>
          <w:rFonts w:ascii="Arial" w:hAnsi="Arial" w:cs="Arial"/>
          <w:sz w:val="20"/>
          <w:szCs w:val="20"/>
        </w:rPr>
        <w:t>), and experimental condition (</w:t>
      </w:r>
      <w:r w:rsidR="00D679A1" w:rsidRPr="00125E72">
        <w:rPr>
          <w:rFonts w:ascii="Arial" w:hAnsi="Arial" w:cs="Arial"/>
          <w:b/>
          <w:bCs/>
          <w:sz w:val="20"/>
          <w:szCs w:val="20"/>
        </w:rPr>
        <w:t>d</w:t>
      </w:r>
      <w:r w:rsidR="00D679A1" w:rsidRPr="00125E72">
        <w:rPr>
          <w:rFonts w:ascii="Arial" w:hAnsi="Arial" w:cs="Arial"/>
          <w:sz w:val="20"/>
          <w:szCs w:val="20"/>
        </w:rPr>
        <w:t>).</w:t>
      </w:r>
      <w:r w:rsidR="003C143C" w:rsidRPr="00125E72">
        <w:rPr>
          <w:rFonts w:ascii="Arial" w:hAnsi="Arial" w:cs="Arial"/>
          <w:sz w:val="20"/>
          <w:szCs w:val="20"/>
        </w:rPr>
        <w:t xml:space="preserve"> </w:t>
      </w:r>
    </w:p>
    <w:p w14:paraId="71114B14" w14:textId="644E8FF5" w:rsidR="00B60CB4" w:rsidRPr="00125E72" w:rsidRDefault="000C4572" w:rsidP="00125E72">
      <w:pPr>
        <w:spacing w:line="360" w:lineRule="auto"/>
        <w:rPr>
          <w:rFonts w:ascii="Arial" w:hAnsi="Arial" w:cs="Arial"/>
          <w:noProof/>
          <w:sz w:val="20"/>
          <w:szCs w:val="20"/>
        </w:rPr>
      </w:pPr>
      <w:r w:rsidRPr="00125E72">
        <w:rPr>
          <w:rFonts w:ascii="Arial" w:hAnsi="Arial" w:cs="Arial"/>
          <w:sz w:val="20"/>
          <w:szCs w:val="20"/>
        </w:rPr>
        <w:br w:type="page"/>
      </w:r>
      <w:r w:rsidR="00894371" w:rsidRPr="00125E72">
        <w:rPr>
          <w:rFonts w:ascii="Arial" w:hAnsi="Arial" w:cs="Arial"/>
          <w:sz w:val="20"/>
          <w:szCs w:val="20"/>
        </w:rPr>
        <w:lastRenderedPageBreak/>
        <w:t>`</w:t>
      </w:r>
      <w:r w:rsidR="00B60CB4" w:rsidRPr="00125E72">
        <w:rPr>
          <w:rFonts w:ascii="Arial" w:hAnsi="Arial" w:cs="Arial"/>
          <w:noProof/>
          <w:sz w:val="20"/>
          <w:szCs w:val="20"/>
        </w:rPr>
        <w:drawing>
          <wp:inline distT="0" distB="0" distL="0" distR="0" wp14:anchorId="16B3214D" wp14:editId="7B7A41C6">
            <wp:extent cx="5731510" cy="4996815"/>
            <wp:effectExtent l="0" t="0" r="2540" b="0"/>
            <wp:docPr id="1573619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996815"/>
                    </a:xfrm>
                    <a:prstGeom prst="rect">
                      <a:avLst/>
                    </a:prstGeom>
                    <a:noFill/>
                    <a:ln>
                      <a:noFill/>
                    </a:ln>
                  </pic:spPr>
                </pic:pic>
              </a:graphicData>
            </a:graphic>
          </wp:inline>
        </w:drawing>
      </w:r>
    </w:p>
    <w:p w14:paraId="00F66D28" w14:textId="094285A7" w:rsidR="00591046" w:rsidRPr="00125E72" w:rsidRDefault="006F6BCB" w:rsidP="00125E72">
      <w:pPr>
        <w:spacing w:line="360" w:lineRule="auto"/>
        <w:rPr>
          <w:rFonts w:ascii="Arial" w:hAnsi="Arial" w:cs="Arial"/>
          <w:sz w:val="20"/>
          <w:szCs w:val="20"/>
        </w:rPr>
      </w:pPr>
      <w:r w:rsidRPr="00125E72">
        <w:rPr>
          <w:rFonts w:ascii="Arial" w:hAnsi="Arial" w:cs="Arial"/>
          <w:b/>
          <w:bCs/>
          <w:sz w:val="20"/>
          <w:szCs w:val="20"/>
        </w:rPr>
        <w:t xml:space="preserve">Supplementary Figure </w:t>
      </w:r>
      <w:r w:rsidR="008A14FA" w:rsidRPr="00125E72">
        <w:rPr>
          <w:rFonts w:ascii="Arial" w:hAnsi="Arial" w:cs="Arial"/>
          <w:b/>
          <w:bCs/>
          <w:sz w:val="20"/>
          <w:szCs w:val="20"/>
        </w:rPr>
        <w:t>6</w:t>
      </w:r>
      <w:r w:rsidRPr="00125E72">
        <w:rPr>
          <w:rFonts w:ascii="Arial" w:hAnsi="Arial" w:cs="Arial"/>
          <w:b/>
          <w:bCs/>
          <w:sz w:val="20"/>
          <w:szCs w:val="20"/>
        </w:rPr>
        <w:t xml:space="preserve">. Myeloid clustering and </w:t>
      </w:r>
      <w:r w:rsidRPr="00125E72">
        <w:rPr>
          <w:rFonts w:ascii="Arial" w:hAnsi="Arial" w:cs="Arial"/>
          <w:b/>
          <w:bCs/>
          <w:i/>
          <w:iCs/>
          <w:sz w:val="20"/>
          <w:szCs w:val="20"/>
        </w:rPr>
        <w:t>Ch25h</w:t>
      </w:r>
      <w:r w:rsidRPr="00125E72">
        <w:rPr>
          <w:rFonts w:ascii="Arial" w:hAnsi="Arial" w:cs="Arial"/>
          <w:b/>
          <w:bCs/>
          <w:sz w:val="20"/>
          <w:szCs w:val="20"/>
        </w:rPr>
        <w:t xml:space="preserve"> expression in single</w:t>
      </w:r>
      <w:r w:rsidR="00B60CB4" w:rsidRPr="00125E72">
        <w:rPr>
          <w:rFonts w:ascii="Arial" w:hAnsi="Arial" w:cs="Arial"/>
          <w:b/>
          <w:bCs/>
          <w:sz w:val="20"/>
          <w:szCs w:val="20"/>
        </w:rPr>
        <w:t>-</w:t>
      </w:r>
      <w:r w:rsidRPr="00125E72">
        <w:rPr>
          <w:rFonts w:ascii="Arial" w:hAnsi="Arial" w:cs="Arial"/>
          <w:b/>
          <w:bCs/>
          <w:sz w:val="20"/>
          <w:szCs w:val="20"/>
        </w:rPr>
        <w:t>cell RNA-</w:t>
      </w:r>
      <w:proofErr w:type="spellStart"/>
      <w:r w:rsidRPr="00125E72">
        <w:rPr>
          <w:rFonts w:ascii="Arial" w:hAnsi="Arial" w:cs="Arial"/>
          <w:b/>
          <w:bCs/>
          <w:sz w:val="20"/>
          <w:szCs w:val="20"/>
        </w:rPr>
        <w:t>seq</w:t>
      </w:r>
      <w:proofErr w:type="spellEnd"/>
      <w:r w:rsidRPr="00125E72">
        <w:rPr>
          <w:rFonts w:ascii="Arial" w:hAnsi="Arial" w:cs="Arial"/>
          <w:b/>
          <w:bCs/>
          <w:sz w:val="20"/>
          <w:szCs w:val="20"/>
        </w:rPr>
        <w:t xml:space="preserve"> analysis.</w:t>
      </w:r>
      <w:r w:rsidR="00591046" w:rsidRPr="00125E72">
        <w:rPr>
          <w:rFonts w:ascii="Arial" w:hAnsi="Arial" w:cs="Arial"/>
          <w:b/>
          <w:bCs/>
          <w:sz w:val="20"/>
          <w:szCs w:val="20"/>
        </w:rPr>
        <w:t xml:space="preserve"> </w:t>
      </w:r>
      <w:proofErr w:type="gramStart"/>
      <w:r w:rsidRPr="00125E72">
        <w:rPr>
          <w:rFonts w:ascii="Arial" w:hAnsi="Arial" w:cs="Arial"/>
          <w:b/>
          <w:bCs/>
          <w:sz w:val="20"/>
          <w:szCs w:val="20"/>
        </w:rPr>
        <w:t>a</w:t>
      </w:r>
      <w:r w:rsidR="00591046" w:rsidRPr="00125E72">
        <w:rPr>
          <w:rFonts w:ascii="Arial" w:hAnsi="Arial" w:cs="Arial"/>
          <w:sz w:val="20"/>
          <w:szCs w:val="20"/>
        </w:rPr>
        <w:t>,</w:t>
      </w:r>
      <w:proofErr w:type="gramEnd"/>
      <w:r w:rsidR="00591046" w:rsidRPr="00125E72">
        <w:rPr>
          <w:rFonts w:ascii="Arial" w:hAnsi="Arial" w:cs="Arial"/>
          <w:sz w:val="20"/>
          <w:szCs w:val="20"/>
        </w:rPr>
        <w:t xml:space="preserve"> Selected marker genes for microglial</w:t>
      </w:r>
      <w:r w:rsidR="00681A0A" w:rsidRPr="00125E72">
        <w:rPr>
          <w:rFonts w:ascii="Arial" w:hAnsi="Arial" w:cs="Arial"/>
          <w:sz w:val="20"/>
          <w:szCs w:val="20"/>
        </w:rPr>
        <w:t xml:space="preserve"> (Mgl)</w:t>
      </w:r>
      <w:r w:rsidR="00591046" w:rsidRPr="00125E72">
        <w:rPr>
          <w:rFonts w:ascii="Arial" w:hAnsi="Arial" w:cs="Arial"/>
          <w:sz w:val="20"/>
          <w:szCs w:val="20"/>
        </w:rPr>
        <w:t xml:space="preserve">, macrophage </w:t>
      </w:r>
      <w:r w:rsidR="00681A0A" w:rsidRPr="00125E72">
        <w:rPr>
          <w:rFonts w:ascii="Arial" w:hAnsi="Arial" w:cs="Arial"/>
          <w:sz w:val="20"/>
          <w:szCs w:val="20"/>
        </w:rPr>
        <w:t xml:space="preserve">(Mac) </w:t>
      </w:r>
      <w:r w:rsidR="00591046" w:rsidRPr="00125E72">
        <w:rPr>
          <w:rFonts w:ascii="Arial" w:hAnsi="Arial" w:cs="Arial"/>
          <w:sz w:val="20"/>
          <w:szCs w:val="20"/>
        </w:rPr>
        <w:t xml:space="preserve">and monocyte cell clusters. Dot size indicates the percentage of cells expressing each gene within a cluster, and colour represents the scaled average gene expression (Z-score). </w:t>
      </w:r>
      <w:r w:rsidRPr="00125E72">
        <w:rPr>
          <w:rFonts w:ascii="Arial" w:hAnsi="Arial" w:cs="Arial"/>
          <w:b/>
          <w:bCs/>
          <w:sz w:val="20"/>
          <w:szCs w:val="20"/>
        </w:rPr>
        <w:t>b</w:t>
      </w:r>
      <w:r w:rsidR="00591046" w:rsidRPr="00125E72">
        <w:rPr>
          <w:rFonts w:ascii="Arial" w:hAnsi="Arial" w:cs="Arial"/>
          <w:sz w:val="20"/>
          <w:szCs w:val="20"/>
        </w:rPr>
        <w:t xml:space="preserve">, MNN-TSNE representation of microglial, macrophage and monocyte cell clusters in </w:t>
      </w:r>
      <w:r w:rsidRPr="00125E72">
        <w:rPr>
          <w:rFonts w:ascii="Arial" w:hAnsi="Arial" w:cs="Arial"/>
          <w:sz w:val="20"/>
          <w:szCs w:val="20"/>
        </w:rPr>
        <w:t>control and ICH pooled conditions</w:t>
      </w:r>
      <w:r w:rsidR="00591046" w:rsidRPr="00125E72">
        <w:rPr>
          <w:rFonts w:ascii="Arial" w:hAnsi="Arial" w:cs="Arial"/>
          <w:sz w:val="20"/>
          <w:szCs w:val="20"/>
        </w:rPr>
        <w:t>.</w:t>
      </w:r>
      <w:r w:rsidRPr="00125E72">
        <w:rPr>
          <w:rFonts w:ascii="Arial" w:hAnsi="Arial" w:cs="Arial"/>
          <w:sz w:val="20"/>
          <w:szCs w:val="20"/>
        </w:rPr>
        <w:t xml:space="preserve"> </w:t>
      </w:r>
      <w:r w:rsidRPr="00125E72">
        <w:rPr>
          <w:rFonts w:ascii="Arial" w:hAnsi="Arial" w:cs="Arial"/>
          <w:b/>
          <w:bCs/>
          <w:sz w:val="20"/>
          <w:szCs w:val="20"/>
        </w:rPr>
        <w:t>c</w:t>
      </w:r>
      <w:r w:rsidR="00DE384E" w:rsidRPr="00125E72">
        <w:rPr>
          <w:rFonts w:ascii="Arial" w:hAnsi="Arial" w:cs="Arial"/>
          <w:sz w:val="20"/>
          <w:szCs w:val="20"/>
        </w:rPr>
        <w:t xml:space="preserve">, Heatmap shows </w:t>
      </w:r>
      <w:proofErr w:type="spellStart"/>
      <w:r w:rsidR="00DE384E" w:rsidRPr="00125E72">
        <w:rPr>
          <w:rFonts w:ascii="Arial" w:hAnsi="Arial" w:cs="Arial"/>
          <w:sz w:val="20"/>
          <w:szCs w:val="20"/>
        </w:rPr>
        <w:t>AUCell</w:t>
      </w:r>
      <w:proofErr w:type="spellEnd"/>
      <w:r w:rsidR="00DE384E" w:rsidRPr="00125E72">
        <w:rPr>
          <w:rFonts w:ascii="Arial" w:hAnsi="Arial" w:cs="Arial"/>
          <w:sz w:val="20"/>
          <w:szCs w:val="20"/>
        </w:rPr>
        <w:t xml:space="preserve"> scores for disease-associated microglia (DAM)</w:t>
      </w:r>
      <w:r w:rsidR="00894371" w:rsidRPr="00125E72">
        <w:rPr>
          <w:rFonts w:ascii="Arial" w:hAnsi="Arial" w:cs="Arial"/>
          <w:sz w:val="20"/>
          <w:szCs w:val="20"/>
        </w:rPr>
        <w:t xml:space="preserve"> and injury-responsive microglia (IRM)</w:t>
      </w:r>
      <w:r w:rsidR="00DE384E" w:rsidRPr="00125E72">
        <w:rPr>
          <w:rFonts w:ascii="Arial" w:hAnsi="Arial" w:cs="Arial"/>
          <w:sz w:val="20"/>
          <w:szCs w:val="20"/>
        </w:rPr>
        <w:t xml:space="preserve"> gene signatures in microglial clusters. Values are shown as row-scaled Z-scores. </w:t>
      </w:r>
      <w:r w:rsidRPr="00125E72">
        <w:rPr>
          <w:rFonts w:ascii="Arial" w:hAnsi="Arial" w:cs="Arial"/>
          <w:b/>
          <w:bCs/>
          <w:sz w:val="20"/>
          <w:szCs w:val="20"/>
        </w:rPr>
        <w:t>d</w:t>
      </w:r>
      <w:r w:rsidRPr="00125E72">
        <w:rPr>
          <w:rFonts w:ascii="Arial" w:hAnsi="Arial" w:cs="Arial"/>
          <w:sz w:val="20"/>
          <w:szCs w:val="20"/>
        </w:rPr>
        <w:t>,</w:t>
      </w:r>
      <w:r w:rsidR="00591046" w:rsidRPr="00125E72">
        <w:rPr>
          <w:rFonts w:ascii="Arial" w:hAnsi="Arial" w:cs="Arial"/>
          <w:sz w:val="20"/>
          <w:szCs w:val="20"/>
        </w:rPr>
        <w:t xml:space="preserve"> </w:t>
      </w:r>
      <w:r w:rsidR="00B60CB4" w:rsidRPr="00125E72">
        <w:rPr>
          <w:rFonts w:ascii="Arial" w:hAnsi="Arial" w:cs="Arial"/>
          <w:sz w:val="20"/>
          <w:szCs w:val="20"/>
        </w:rPr>
        <w:t>Cell number of each macrophage cluster in control and ICH samples (n=4 mice per group). Data are mean ± SEM.</w:t>
      </w:r>
      <w:r w:rsidR="00591046" w:rsidRPr="00125E72">
        <w:rPr>
          <w:rFonts w:ascii="Arial" w:hAnsi="Arial" w:cs="Arial"/>
          <w:sz w:val="20"/>
          <w:szCs w:val="20"/>
        </w:rPr>
        <w:t xml:space="preserve"> </w:t>
      </w:r>
      <w:r w:rsidRPr="00125E72">
        <w:rPr>
          <w:rFonts w:ascii="Arial" w:hAnsi="Arial" w:cs="Arial"/>
          <w:b/>
          <w:bCs/>
          <w:sz w:val="20"/>
          <w:szCs w:val="20"/>
        </w:rPr>
        <w:t>e</w:t>
      </w:r>
      <w:r w:rsidR="00591046" w:rsidRPr="00125E72">
        <w:rPr>
          <w:rFonts w:ascii="Arial" w:hAnsi="Arial" w:cs="Arial"/>
          <w:sz w:val="20"/>
          <w:szCs w:val="20"/>
        </w:rPr>
        <w:t xml:space="preserve">, Violin plot showing </w:t>
      </w:r>
      <w:r w:rsidR="00591046" w:rsidRPr="00125E72">
        <w:rPr>
          <w:rFonts w:ascii="Arial" w:hAnsi="Arial" w:cs="Arial"/>
          <w:i/>
          <w:iCs/>
          <w:sz w:val="20"/>
          <w:szCs w:val="20"/>
        </w:rPr>
        <w:t>Ch25h</w:t>
      </w:r>
      <w:r w:rsidR="00591046" w:rsidRPr="00125E72">
        <w:rPr>
          <w:rFonts w:ascii="Arial" w:hAnsi="Arial" w:cs="Arial"/>
          <w:sz w:val="20"/>
          <w:szCs w:val="20"/>
        </w:rPr>
        <w:t xml:space="preserve"> </w:t>
      </w:r>
      <w:r w:rsidR="00B60CB4" w:rsidRPr="00125E72">
        <w:rPr>
          <w:rFonts w:ascii="Arial" w:hAnsi="Arial" w:cs="Arial"/>
          <w:sz w:val="20"/>
          <w:szCs w:val="20"/>
        </w:rPr>
        <w:t xml:space="preserve">cell </w:t>
      </w:r>
      <w:r w:rsidR="00591046" w:rsidRPr="00125E72">
        <w:rPr>
          <w:rFonts w:ascii="Arial" w:hAnsi="Arial" w:cs="Arial"/>
          <w:sz w:val="20"/>
          <w:szCs w:val="20"/>
        </w:rPr>
        <w:t>expression in macrophage clusters in control and ICH.</w:t>
      </w:r>
    </w:p>
    <w:p w14:paraId="6A4E63D5" w14:textId="03F1F31D" w:rsidR="000C4572" w:rsidRPr="00125E72" w:rsidRDefault="000C4572" w:rsidP="00125E72">
      <w:pPr>
        <w:spacing w:line="360" w:lineRule="auto"/>
        <w:rPr>
          <w:rFonts w:ascii="Arial" w:hAnsi="Arial" w:cs="Arial"/>
          <w:sz w:val="20"/>
          <w:szCs w:val="20"/>
        </w:rPr>
      </w:pPr>
    </w:p>
    <w:p w14:paraId="7EE300D2" w14:textId="0138DA31" w:rsidR="00180629" w:rsidRPr="00125E72" w:rsidRDefault="00180629" w:rsidP="00125E72">
      <w:pPr>
        <w:spacing w:line="360" w:lineRule="auto"/>
        <w:rPr>
          <w:rFonts w:ascii="Arial" w:hAnsi="Arial" w:cs="Arial"/>
          <w:sz w:val="20"/>
          <w:szCs w:val="20"/>
        </w:rPr>
      </w:pPr>
      <w:r w:rsidRPr="00125E72">
        <w:rPr>
          <w:rFonts w:ascii="Arial" w:hAnsi="Arial" w:cs="Arial"/>
          <w:noProof/>
          <w:sz w:val="20"/>
          <w:szCs w:val="20"/>
        </w:rPr>
        <w:lastRenderedPageBreak/>
        <w:drawing>
          <wp:inline distT="0" distB="0" distL="0" distR="0" wp14:anchorId="4B39AE5D" wp14:editId="0026959E">
            <wp:extent cx="5731510" cy="1640205"/>
            <wp:effectExtent l="0" t="0" r="2540" b="0"/>
            <wp:docPr id="768952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640205"/>
                    </a:xfrm>
                    <a:prstGeom prst="rect">
                      <a:avLst/>
                    </a:prstGeom>
                    <a:noFill/>
                    <a:ln>
                      <a:noFill/>
                    </a:ln>
                  </pic:spPr>
                </pic:pic>
              </a:graphicData>
            </a:graphic>
          </wp:inline>
        </w:drawing>
      </w:r>
    </w:p>
    <w:p w14:paraId="6621F336" w14:textId="4225F5AB" w:rsidR="00180629" w:rsidRPr="00125E72" w:rsidRDefault="00180629" w:rsidP="00125E72">
      <w:pPr>
        <w:spacing w:line="360" w:lineRule="auto"/>
        <w:jc w:val="both"/>
        <w:rPr>
          <w:rFonts w:ascii="Arial" w:hAnsi="Arial" w:cs="Arial"/>
          <w:sz w:val="20"/>
          <w:szCs w:val="20"/>
        </w:rPr>
      </w:pPr>
      <w:r w:rsidRPr="00125E72">
        <w:rPr>
          <w:rFonts w:ascii="Arial" w:hAnsi="Arial" w:cs="Arial"/>
          <w:b/>
          <w:bCs/>
          <w:sz w:val="20"/>
          <w:szCs w:val="20"/>
        </w:rPr>
        <w:t xml:space="preserve">Supplementary Figure </w:t>
      </w:r>
      <w:r w:rsidR="008A14FA" w:rsidRPr="00125E72">
        <w:rPr>
          <w:rFonts w:ascii="Arial" w:hAnsi="Arial" w:cs="Arial"/>
          <w:b/>
          <w:bCs/>
          <w:sz w:val="20"/>
          <w:szCs w:val="20"/>
        </w:rPr>
        <w:t>7</w:t>
      </w:r>
      <w:r w:rsidR="00A20C62" w:rsidRPr="00125E72">
        <w:rPr>
          <w:rFonts w:ascii="Arial" w:hAnsi="Arial" w:cs="Arial"/>
          <w:b/>
          <w:bCs/>
          <w:sz w:val="20"/>
          <w:szCs w:val="20"/>
        </w:rPr>
        <w:t>. Phago-lysosomal transcriptomic activity in microglia and macrophage clusters</w:t>
      </w:r>
      <w:r w:rsidRPr="00125E72">
        <w:rPr>
          <w:rFonts w:ascii="Arial" w:hAnsi="Arial" w:cs="Arial"/>
          <w:b/>
          <w:bCs/>
          <w:sz w:val="20"/>
          <w:szCs w:val="20"/>
        </w:rPr>
        <w:t>.</w:t>
      </w:r>
      <w:r w:rsidR="00DE384E" w:rsidRPr="00125E72">
        <w:rPr>
          <w:rFonts w:ascii="Arial" w:hAnsi="Arial" w:cs="Arial"/>
          <w:b/>
          <w:bCs/>
          <w:sz w:val="20"/>
          <w:szCs w:val="20"/>
        </w:rPr>
        <w:t xml:space="preserve"> </w:t>
      </w:r>
      <w:r w:rsidR="00DE384E" w:rsidRPr="00125E72">
        <w:rPr>
          <w:rFonts w:ascii="Arial" w:hAnsi="Arial" w:cs="Arial"/>
          <w:sz w:val="20"/>
          <w:szCs w:val="20"/>
        </w:rPr>
        <w:t xml:space="preserve">Heatmaps show </w:t>
      </w:r>
      <w:proofErr w:type="spellStart"/>
      <w:r w:rsidR="00DE384E" w:rsidRPr="00125E72">
        <w:rPr>
          <w:rFonts w:ascii="Arial" w:hAnsi="Arial" w:cs="Arial"/>
          <w:sz w:val="20"/>
          <w:szCs w:val="20"/>
        </w:rPr>
        <w:t>AUCell</w:t>
      </w:r>
      <w:proofErr w:type="spellEnd"/>
      <w:r w:rsidR="00DE384E" w:rsidRPr="00125E72">
        <w:rPr>
          <w:rFonts w:ascii="Arial" w:hAnsi="Arial" w:cs="Arial"/>
          <w:sz w:val="20"/>
          <w:szCs w:val="20"/>
        </w:rPr>
        <w:t xml:space="preserve"> scores for lysosome and phagosome KEGG pathway gene sets in microglia</w:t>
      </w:r>
      <w:r w:rsidR="00681A0A" w:rsidRPr="00125E72">
        <w:rPr>
          <w:rFonts w:ascii="Arial" w:hAnsi="Arial" w:cs="Arial"/>
          <w:sz w:val="20"/>
          <w:szCs w:val="20"/>
        </w:rPr>
        <w:t xml:space="preserve"> (Mgl)</w:t>
      </w:r>
      <w:r w:rsidR="00DE384E" w:rsidRPr="00125E72">
        <w:rPr>
          <w:rFonts w:ascii="Arial" w:hAnsi="Arial" w:cs="Arial"/>
          <w:sz w:val="20"/>
          <w:szCs w:val="20"/>
        </w:rPr>
        <w:t xml:space="preserve"> (</w:t>
      </w:r>
      <w:r w:rsidR="00DE384E" w:rsidRPr="00125E72">
        <w:rPr>
          <w:rFonts w:ascii="Arial" w:hAnsi="Arial" w:cs="Arial"/>
          <w:b/>
          <w:bCs/>
          <w:sz w:val="20"/>
          <w:szCs w:val="20"/>
        </w:rPr>
        <w:t>a</w:t>
      </w:r>
      <w:r w:rsidR="00DE384E" w:rsidRPr="00125E72">
        <w:rPr>
          <w:rFonts w:ascii="Arial" w:hAnsi="Arial" w:cs="Arial"/>
          <w:sz w:val="20"/>
          <w:szCs w:val="20"/>
        </w:rPr>
        <w:t xml:space="preserve">) and </w:t>
      </w:r>
      <w:r w:rsidR="00E52FFE" w:rsidRPr="00125E72">
        <w:rPr>
          <w:rFonts w:ascii="Arial" w:hAnsi="Arial" w:cs="Arial"/>
          <w:sz w:val="20"/>
          <w:szCs w:val="20"/>
        </w:rPr>
        <w:t>macrophage</w:t>
      </w:r>
      <w:r w:rsidR="00DE384E" w:rsidRPr="00125E72">
        <w:rPr>
          <w:rFonts w:ascii="Arial" w:hAnsi="Arial" w:cs="Arial"/>
          <w:sz w:val="20"/>
          <w:szCs w:val="20"/>
        </w:rPr>
        <w:t xml:space="preserve"> </w:t>
      </w:r>
      <w:r w:rsidR="00681A0A" w:rsidRPr="00125E72">
        <w:rPr>
          <w:rFonts w:ascii="Arial" w:hAnsi="Arial" w:cs="Arial"/>
          <w:sz w:val="20"/>
          <w:szCs w:val="20"/>
        </w:rPr>
        <w:t>(</w:t>
      </w:r>
      <w:r w:rsidR="005B53E5" w:rsidRPr="00125E72">
        <w:rPr>
          <w:rFonts w:ascii="Arial" w:hAnsi="Arial" w:cs="Arial"/>
          <w:sz w:val="20"/>
          <w:szCs w:val="20"/>
        </w:rPr>
        <w:t>M</w:t>
      </w:r>
      <w:r w:rsidR="00681A0A" w:rsidRPr="00125E72">
        <w:rPr>
          <w:rFonts w:ascii="Arial" w:hAnsi="Arial" w:cs="Arial"/>
          <w:sz w:val="20"/>
          <w:szCs w:val="20"/>
        </w:rPr>
        <w:t xml:space="preserve">ac) </w:t>
      </w:r>
      <w:r w:rsidR="00DE384E" w:rsidRPr="00125E72">
        <w:rPr>
          <w:rFonts w:ascii="Arial" w:hAnsi="Arial" w:cs="Arial"/>
          <w:sz w:val="20"/>
          <w:szCs w:val="20"/>
        </w:rPr>
        <w:t>clusters (</w:t>
      </w:r>
      <w:r w:rsidR="00DE384E" w:rsidRPr="00125E72">
        <w:rPr>
          <w:rFonts w:ascii="Arial" w:hAnsi="Arial" w:cs="Arial"/>
          <w:b/>
          <w:bCs/>
          <w:sz w:val="20"/>
          <w:szCs w:val="20"/>
        </w:rPr>
        <w:t>b</w:t>
      </w:r>
      <w:r w:rsidR="00DE384E" w:rsidRPr="00125E72">
        <w:rPr>
          <w:rFonts w:ascii="Arial" w:hAnsi="Arial" w:cs="Arial"/>
          <w:sz w:val="20"/>
          <w:szCs w:val="20"/>
        </w:rPr>
        <w:t xml:space="preserve">). </w:t>
      </w:r>
      <w:r w:rsidRPr="00125E72">
        <w:rPr>
          <w:rFonts w:ascii="Arial" w:hAnsi="Arial" w:cs="Arial"/>
          <w:sz w:val="20"/>
          <w:szCs w:val="20"/>
        </w:rPr>
        <w:br w:type="page"/>
      </w:r>
    </w:p>
    <w:p w14:paraId="275324FE" w14:textId="6CF4E007" w:rsidR="009C0E37" w:rsidRPr="00125E72" w:rsidRDefault="00561F4E" w:rsidP="00125E72">
      <w:pPr>
        <w:spacing w:line="360" w:lineRule="auto"/>
        <w:jc w:val="both"/>
        <w:rPr>
          <w:rFonts w:ascii="Arial" w:hAnsi="Arial" w:cs="Arial"/>
          <w:sz w:val="20"/>
          <w:szCs w:val="20"/>
        </w:rPr>
      </w:pPr>
      <w:r w:rsidRPr="00125E72">
        <w:rPr>
          <w:rFonts w:ascii="Arial" w:hAnsi="Arial" w:cs="Arial"/>
          <w:noProof/>
          <w:sz w:val="20"/>
          <w:szCs w:val="20"/>
        </w:rPr>
        <w:lastRenderedPageBreak/>
        <w:drawing>
          <wp:inline distT="0" distB="0" distL="0" distR="0" wp14:anchorId="00C4E1FF" wp14:editId="560084D6">
            <wp:extent cx="5731510" cy="1645285"/>
            <wp:effectExtent l="0" t="0" r="2540" b="0"/>
            <wp:docPr id="167653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645285"/>
                    </a:xfrm>
                    <a:prstGeom prst="rect">
                      <a:avLst/>
                    </a:prstGeom>
                    <a:noFill/>
                    <a:ln>
                      <a:noFill/>
                    </a:ln>
                  </pic:spPr>
                </pic:pic>
              </a:graphicData>
            </a:graphic>
          </wp:inline>
        </w:drawing>
      </w:r>
    </w:p>
    <w:p w14:paraId="4EDF7400" w14:textId="0A16EF1F" w:rsidR="009B1258" w:rsidRPr="00125E72" w:rsidRDefault="009C0E37" w:rsidP="00125E72">
      <w:pPr>
        <w:spacing w:line="360" w:lineRule="auto"/>
        <w:jc w:val="both"/>
        <w:rPr>
          <w:rFonts w:ascii="Arial" w:hAnsi="Arial" w:cs="Arial"/>
          <w:sz w:val="20"/>
          <w:szCs w:val="20"/>
        </w:rPr>
      </w:pPr>
      <w:r w:rsidRPr="00125E72">
        <w:rPr>
          <w:rFonts w:ascii="Arial" w:hAnsi="Arial" w:cs="Arial"/>
          <w:b/>
          <w:bCs/>
          <w:sz w:val="20"/>
          <w:szCs w:val="20"/>
        </w:rPr>
        <w:t xml:space="preserve">Supplementary Figure </w:t>
      </w:r>
      <w:r w:rsidR="008A14FA" w:rsidRPr="00125E72">
        <w:rPr>
          <w:rFonts w:ascii="Arial" w:hAnsi="Arial" w:cs="Arial"/>
          <w:b/>
          <w:bCs/>
          <w:sz w:val="20"/>
          <w:szCs w:val="20"/>
        </w:rPr>
        <w:t>8</w:t>
      </w:r>
      <w:r w:rsidRPr="00125E72">
        <w:rPr>
          <w:rFonts w:ascii="Arial" w:hAnsi="Arial" w:cs="Arial"/>
          <w:b/>
          <w:bCs/>
          <w:sz w:val="20"/>
          <w:szCs w:val="20"/>
        </w:rPr>
        <w:t xml:space="preserve">. </w:t>
      </w:r>
      <w:r w:rsidR="009B1258" w:rsidRPr="00125E72">
        <w:rPr>
          <w:rFonts w:ascii="Arial" w:hAnsi="Arial" w:cs="Arial"/>
          <w:b/>
          <w:bCs/>
          <w:sz w:val="20"/>
          <w:szCs w:val="20"/>
        </w:rPr>
        <w:t>Cellular effects of</w:t>
      </w:r>
      <w:r w:rsidR="00105FEB" w:rsidRPr="00125E72">
        <w:rPr>
          <w:rFonts w:ascii="Arial" w:hAnsi="Arial" w:cs="Arial"/>
          <w:b/>
          <w:bCs/>
          <w:sz w:val="20"/>
          <w:szCs w:val="20"/>
        </w:rPr>
        <w:t xml:space="preserve"> 25HC</w:t>
      </w:r>
      <w:r w:rsidR="009F110B" w:rsidRPr="00125E72">
        <w:rPr>
          <w:rFonts w:ascii="Arial" w:hAnsi="Arial" w:cs="Arial"/>
          <w:b/>
          <w:bCs/>
          <w:sz w:val="20"/>
          <w:szCs w:val="20"/>
        </w:rPr>
        <w:t xml:space="preserve"> </w:t>
      </w:r>
      <w:r w:rsidR="009B1258" w:rsidRPr="00125E72">
        <w:rPr>
          <w:rFonts w:ascii="Arial" w:hAnsi="Arial" w:cs="Arial"/>
          <w:b/>
          <w:bCs/>
          <w:sz w:val="20"/>
          <w:szCs w:val="20"/>
        </w:rPr>
        <w:t>treatment</w:t>
      </w:r>
      <w:r w:rsidR="00B46CE4" w:rsidRPr="00125E72">
        <w:rPr>
          <w:rFonts w:ascii="Arial" w:hAnsi="Arial" w:cs="Arial"/>
          <w:b/>
          <w:bCs/>
          <w:sz w:val="20"/>
          <w:szCs w:val="20"/>
        </w:rPr>
        <w:t xml:space="preserve">. </w:t>
      </w:r>
      <w:r w:rsidR="00105FEB" w:rsidRPr="00125E72">
        <w:rPr>
          <w:rFonts w:ascii="Arial" w:hAnsi="Arial" w:cs="Arial"/>
          <w:b/>
          <w:bCs/>
          <w:sz w:val="20"/>
          <w:szCs w:val="20"/>
        </w:rPr>
        <w:t>a-c</w:t>
      </w:r>
      <w:r w:rsidR="009D157D" w:rsidRPr="00125E72">
        <w:rPr>
          <w:rFonts w:ascii="Arial" w:hAnsi="Arial" w:cs="Arial"/>
          <w:sz w:val="20"/>
          <w:szCs w:val="20"/>
        </w:rPr>
        <w:t>, BMDMs were treated with 25HC (1 µM, 24</w:t>
      </w:r>
      <w:r w:rsidR="009B1258" w:rsidRPr="00125E72">
        <w:rPr>
          <w:rFonts w:ascii="Arial" w:hAnsi="Arial" w:cs="Arial"/>
          <w:sz w:val="20"/>
          <w:szCs w:val="20"/>
        </w:rPr>
        <w:t xml:space="preserve"> </w:t>
      </w:r>
      <w:r w:rsidR="009D157D" w:rsidRPr="00125E72">
        <w:rPr>
          <w:rFonts w:ascii="Arial" w:hAnsi="Arial" w:cs="Arial"/>
          <w:sz w:val="20"/>
          <w:szCs w:val="20"/>
        </w:rPr>
        <w:t xml:space="preserve">h) and evaluated for </w:t>
      </w:r>
      <w:r w:rsidR="00105FEB" w:rsidRPr="00125E72">
        <w:rPr>
          <w:rFonts w:ascii="Arial" w:hAnsi="Arial" w:cs="Arial"/>
          <w:sz w:val="20"/>
          <w:szCs w:val="20"/>
        </w:rPr>
        <w:t>cell density</w:t>
      </w:r>
      <w:r w:rsidR="009D157D" w:rsidRPr="00125E72">
        <w:rPr>
          <w:rFonts w:ascii="Arial" w:hAnsi="Arial" w:cs="Arial"/>
          <w:sz w:val="20"/>
          <w:szCs w:val="20"/>
        </w:rPr>
        <w:t xml:space="preserve"> (</w:t>
      </w:r>
      <w:r w:rsidR="00105FEB" w:rsidRPr="00125E72">
        <w:rPr>
          <w:rFonts w:ascii="Arial" w:hAnsi="Arial" w:cs="Arial"/>
          <w:b/>
          <w:bCs/>
          <w:sz w:val="20"/>
          <w:szCs w:val="20"/>
        </w:rPr>
        <w:t>a</w:t>
      </w:r>
      <w:r w:rsidR="009D157D" w:rsidRPr="00125E72">
        <w:rPr>
          <w:rFonts w:ascii="Arial" w:hAnsi="Arial" w:cs="Arial"/>
          <w:sz w:val="20"/>
          <w:szCs w:val="20"/>
        </w:rPr>
        <w:t>), cell death</w:t>
      </w:r>
      <w:r w:rsidR="00105FEB" w:rsidRPr="00125E72">
        <w:rPr>
          <w:rFonts w:ascii="Arial" w:hAnsi="Arial" w:cs="Arial"/>
          <w:sz w:val="20"/>
          <w:szCs w:val="20"/>
        </w:rPr>
        <w:t xml:space="preserve"> by </w:t>
      </w:r>
      <w:proofErr w:type="spellStart"/>
      <w:r w:rsidR="00105FEB" w:rsidRPr="00125E72">
        <w:rPr>
          <w:rFonts w:ascii="Arial" w:hAnsi="Arial" w:cs="Arial"/>
          <w:sz w:val="20"/>
          <w:szCs w:val="20"/>
        </w:rPr>
        <w:t>YoPro</w:t>
      </w:r>
      <w:proofErr w:type="spellEnd"/>
      <w:r w:rsidR="00105FEB" w:rsidRPr="00125E72">
        <w:rPr>
          <w:rFonts w:ascii="Arial" w:hAnsi="Arial" w:cs="Arial"/>
          <w:sz w:val="20"/>
          <w:szCs w:val="20"/>
        </w:rPr>
        <w:t>+ permeability</w:t>
      </w:r>
      <w:r w:rsidR="009D157D" w:rsidRPr="00125E72">
        <w:rPr>
          <w:rFonts w:ascii="Arial" w:hAnsi="Arial" w:cs="Arial"/>
          <w:sz w:val="20"/>
          <w:szCs w:val="20"/>
        </w:rPr>
        <w:t xml:space="preserve"> (</w:t>
      </w:r>
      <w:r w:rsidR="00105FEB" w:rsidRPr="00125E72">
        <w:rPr>
          <w:rFonts w:ascii="Arial" w:hAnsi="Arial" w:cs="Arial"/>
          <w:b/>
          <w:bCs/>
          <w:sz w:val="20"/>
          <w:szCs w:val="20"/>
        </w:rPr>
        <w:t>b</w:t>
      </w:r>
      <w:r w:rsidR="009D157D" w:rsidRPr="00125E72">
        <w:rPr>
          <w:rFonts w:ascii="Arial" w:hAnsi="Arial" w:cs="Arial"/>
          <w:sz w:val="20"/>
          <w:szCs w:val="20"/>
        </w:rPr>
        <w:t>) and cell area quantified by confluency (</w:t>
      </w:r>
      <w:r w:rsidR="00105FEB" w:rsidRPr="00125E72">
        <w:rPr>
          <w:rFonts w:ascii="Arial" w:hAnsi="Arial" w:cs="Arial"/>
          <w:b/>
          <w:bCs/>
          <w:sz w:val="20"/>
          <w:szCs w:val="20"/>
        </w:rPr>
        <w:t>c</w:t>
      </w:r>
      <w:r w:rsidR="009D157D" w:rsidRPr="00125E72">
        <w:rPr>
          <w:rFonts w:ascii="Arial" w:hAnsi="Arial" w:cs="Arial"/>
          <w:sz w:val="20"/>
          <w:szCs w:val="20"/>
        </w:rPr>
        <w:t xml:space="preserve">). </w:t>
      </w:r>
      <w:r w:rsidR="009B1258" w:rsidRPr="00125E72">
        <w:rPr>
          <w:rFonts w:ascii="Arial" w:hAnsi="Arial" w:cs="Arial"/>
          <w:b/>
          <w:bCs/>
          <w:sz w:val="20"/>
          <w:szCs w:val="20"/>
        </w:rPr>
        <w:t>d</w:t>
      </w:r>
      <w:r w:rsidR="009B1258" w:rsidRPr="00125E72">
        <w:rPr>
          <w:rFonts w:ascii="Arial" w:hAnsi="Arial" w:cs="Arial"/>
          <w:sz w:val="20"/>
          <w:szCs w:val="20"/>
        </w:rPr>
        <w:t>,</w:t>
      </w:r>
      <w:r w:rsidR="009D157D" w:rsidRPr="00125E72">
        <w:rPr>
          <w:rFonts w:ascii="Arial" w:hAnsi="Arial" w:cs="Arial"/>
          <w:sz w:val="20"/>
          <w:szCs w:val="20"/>
        </w:rPr>
        <w:t xml:space="preserve"> </w:t>
      </w:r>
      <w:r w:rsidR="009B1258" w:rsidRPr="00125E72">
        <w:rPr>
          <w:rFonts w:ascii="Arial" w:hAnsi="Arial" w:cs="Arial"/>
          <w:sz w:val="20"/>
          <w:szCs w:val="20"/>
        </w:rPr>
        <w:t xml:space="preserve">Area under the curve (AUC) analysis of </w:t>
      </w:r>
      <w:proofErr w:type="spellStart"/>
      <w:r w:rsidR="009B1258" w:rsidRPr="00125E72">
        <w:rPr>
          <w:rFonts w:ascii="Arial" w:hAnsi="Arial" w:cs="Arial"/>
          <w:sz w:val="20"/>
          <w:szCs w:val="20"/>
        </w:rPr>
        <w:t>pHrodo</w:t>
      </w:r>
      <w:proofErr w:type="spellEnd"/>
      <w:r w:rsidR="009B1258" w:rsidRPr="00125E72">
        <w:rPr>
          <w:rFonts w:ascii="Arial" w:hAnsi="Arial" w:cs="Arial"/>
          <w:sz w:val="20"/>
          <w:szCs w:val="20"/>
        </w:rPr>
        <w:t>-based phagocytosis assay in BV2 microglia pre-treated with 25HC (</w:t>
      </w:r>
      <w:r w:rsidR="00561F4E" w:rsidRPr="00125E72">
        <w:rPr>
          <w:rFonts w:ascii="Arial" w:hAnsi="Arial" w:cs="Arial"/>
          <w:sz w:val="20"/>
          <w:szCs w:val="20"/>
        </w:rPr>
        <w:t>1</w:t>
      </w:r>
      <w:r w:rsidR="009B1258" w:rsidRPr="00125E72">
        <w:rPr>
          <w:rFonts w:ascii="Arial" w:hAnsi="Arial" w:cs="Arial"/>
          <w:sz w:val="20"/>
          <w:szCs w:val="20"/>
        </w:rPr>
        <w:t xml:space="preserve"> µM, 24 h) and then exposed to </w:t>
      </w:r>
      <w:proofErr w:type="spellStart"/>
      <w:r w:rsidR="009B1258" w:rsidRPr="00125E72">
        <w:rPr>
          <w:rFonts w:ascii="Arial" w:hAnsi="Arial" w:cs="Arial"/>
          <w:sz w:val="20"/>
          <w:szCs w:val="20"/>
        </w:rPr>
        <w:t>pHrodo</w:t>
      </w:r>
      <w:proofErr w:type="spellEnd"/>
      <w:r w:rsidR="009B1258" w:rsidRPr="00125E72">
        <w:rPr>
          <w:rFonts w:ascii="Arial" w:hAnsi="Arial" w:cs="Arial"/>
          <w:sz w:val="20"/>
          <w:szCs w:val="20"/>
        </w:rPr>
        <w:t>-labelled oxidised red blood cells (</w:t>
      </w:r>
      <w:proofErr w:type="spellStart"/>
      <w:r w:rsidR="009B1258" w:rsidRPr="00125E72">
        <w:rPr>
          <w:rFonts w:ascii="Arial" w:hAnsi="Arial" w:cs="Arial"/>
          <w:sz w:val="20"/>
          <w:szCs w:val="20"/>
        </w:rPr>
        <w:t>oxRBCs</w:t>
      </w:r>
      <w:proofErr w:type="spellEnd"/>
      <w:r w:rsidR="009B1258" w:rsidRPr="00125E72">
        <w:rPr>
          <w:rFonts w:ascii="Arial" w:hAnsi="Arial" w:cs="Arial"/>
          <w:sz w:val="20"/>
          <w:szCs w:val="20"/>
        </w:rPr>
        <w:t xml:space="preserve">) (n=9 cell passages). Statistics were performed using a paired </w:t>
      </w:r>
      <w:r w:rsidR="009B1258" w:rsidRPr="00125E72">
        <w:rPr>
          <w:rFonts w:ascii="Arial" w:hAnsi="Arial" w:cs="Arial"/>
          <w:i/>
          <w:iCs/>
          <w:sz w:val="20"/>
          <w:szCs w:val="20"/>
        </w:rPr>
        <w:t>t</w:t>
      </w:r>
      <w:r w:rsidR="009B1258" w:rsidRPr="00125E72">
        <w:rPr>
          <w:rFonts w:ascii="Arial" w:hAnsi="Arial" w:cs="Arial"/>
          <w:sz w:val="20"/>
          <w:szCs w:val="20"/>
        </w:rPr>
        <w:t xml:space="preserve">-test. Data are mean ± SEM. * P &lt; 0.05. </w:t>
      </w:r>
    </w:p>
    <w:p w14:paraId="6A2C0570" w14:textId="6D720195" w:rsidR="00F26D7B" w:rsidRPr="00125E72" w:rsidRDefault="00F26D7B" w:rsidP="00125E72">
      <w:pPr>
        <w:spacing w:line="360" w:lineRule="auto"/>
        <w:jc w:val="both"/>
        <w:rPr>
          <w:rFonts w:ascii="Arial" w:hAnsi="Arial" w:cs="Arial"/>
          <w:sz w:val="20"/>
          <w:szCs w:val="20"/>
        </w:rPr>
      </w:pPr>
      <w:r w:rsidRPr="00125E72">
        <w:rPr>
          <w:rFonts w:ascii="Arial" w:hAnsi="Arial" w:cs="Arial"/>
          <w:sz w:val="20"/>
          <w:szCs w:val="20"/>
        </w:rPr>
        <w:br w:type="page"/>
      </w:r>
    </w:p>
    <w:p w14:paraId="34F438EF" w14:textId="7DC01499" w:rsidR="00E34DEF" w:rsidRPr="00125E72" w:rsidRDefault="00717D09" w:rsidP="00125E72">
      <w:pPr>
        <w:spacing w:line="360" w:lineRule="auto"/>
        <w:jc w:val="both"/>
        <w:rPr>
          <w:rFonts w:ascii="Arial" w:hAnsi="Arial" w:cs="Arial"/>
          <w:b/>
          <w:bCs/>
          <w:sz w:val="20"/>
          <w:szCs w:val="20"/>
        </w:rPr>
      </w:pPr>
      <w:r w:rsidRPr="00125E72">
        <w:rPr>
          <w:rFonts w:ascii="Arial" w:hAnsi="Arial" w:cs="Arial"/>
          <w:b/>
          <w:bCs/>
          <w:sz w:val="20"/>
          <w:szCs w:val="20"/>
        </w:rPr>
        <w:lastRenderedPageBreak/>
        <w:t xml:space="preserve">  </w:t>
      </w:r>
      <w:r w:rsidR="003E6D37" w:rsidRPr="00125E72">
        <w:rPr>
          <w:rFonts w:ascii="Arial" w:hAnsi="Arial" w:cs="Arial"/>
          <w:b/>
          <w:bCs/>
          <w:sz w:val="20"/>
          <w:szCs w:val="20"/>
        </w:rPr>
        <w:t xml:space="preserve"> </w:t>
      </w:r>
      <w:r w:rsidR="00E34DEF" w:rsidRPr="00125E72">
        <w:rPr>
          <w:rFonts w:ascii="Arial" w:hAnsi="Arial" w:cs="Arial"/>
          <w:b/>
          <w:bCs/>
          <w:noProof/>
          <w:sz w:val="20"/>
          <w:szCs w:val="20"/>
        </w:rPr>
        <w:drawing>
          <wp:inline distT="0" distB="0" distL="0" distR="0" wp14:anchorId="1A4DC7BC" wp14:editId="431C3C37">
            <wp:extent cx="5699355" cy="7150100"/>
            <wp:effectExtent l="0" t="0" r="0" b="0"/>
            <wp:docPr id="188612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32" r="57234" b="12493"/>
                    <a:stretch>
                      <a:fillRect/>
                    </a:stretch>
                  </pic:blipFill>
                  <pic:spPr bwMode="auto">
                    <a:xfrm>
                      <a:off x="0" y="0"/>
                      <a:ext cx="5719718" cy="7175646"/>
                    </a:xfrm>
                    <a:prstGeom prst="rect">
                      <a:avLst/>
                    </a:prstGeom>
                    <a:noFill/>
                    <a:ln>
                      <a:noFill/>
                    </a:ln>
                    <a:extLst>
                      <a:ext uri="{53640926-AAD7-44D8-BBD7-CCE9431645EC}">
                        <a14:shadowObscured xmlns:a14="http://schemas.microsoft.com/office/drawing/2010/main"/>
                      </a:ext>
                    </a:extLst>
                  </pic:spPr>
                </pic:pic>
              </a:graphicData>
            </a:graphic>
          </wp:inline>
        </w:drawing>
      </w:r>
    </w:p>
    <w:p w14:paraId="4B71A861" w14:textId="4207C910" w:rsidR="00F26D7B" w:rsidRPr="00125E72" w:rsidRDefault="00F26D7B" w:rsidP="00125E72">
      <w:pPr>
        <w:spacing w:line="360" w:lineRule="auto"/>
        <w:jc w:val="both"/>
        <w:rPr>
          <w:sz w:val="20"/>
          <w:szCs w:val="20"/>
        </w:rPr>
      </w:pPr>
      <w:r w:rsidRPr="00125E72">
        <w:rPr>
          <w:rFonts w:ascii="Arial" w:hAnsi="Arial" w:cs="Arial"/>
          <w:b/>
          <w:bCs/>
          <w:sz w:val="20"/>
          <w:szCs w:val="20"/>
        </w:rPr>
        <w:t>Supplementary</w:t>
      </w:r>
      <w:r w:rsidR="00583A77" w:rsidRPr="00125E72">
        <w:rPr>
          <w:rFonts w:ascii="Arial" w:hAnsi="Arial" w:cs="Arial"/>
          <w:b/>
          <w:bCs/>
          <w:sz w:val="20"/>
          <w:szCs w:val="20"/>
        </w:rPr>
        <w:t xml:space="preserve"> </w:t>
      </w:r>
      <w:r w:rsidRPr="00125E72">
        <w:rPr>
          <w:rFonts w:ascii="Arial" w:hAnsi="Arial" w:cs="Arial"/>
          <w:b/>
          <w:bCs/>
          <w:sz w:val="20"/>
          <w:szCs w:val="20"/>
        </w:rPr>
        <w:t xml:space="preserve">Figure </w:t>
      </w:r>
      <w:r w:rsidR="008A14FA" w:rsidRPr="00125E72">
        <w:rPr>
          <w:rFonts w:ascii="Arial" w:hAnsi="Arial" w:cs="Arial"/>
          <w:b/>
          <w:bCs/>
          <w:sz w:val="20"/>
          <w:szCs w:val="20"/>
        </w:rPr>
        <w:t>9</w:t>
      </w:r>
      <w:r w:rsidRPr="00125E72">
        <w:rPr>
          <w:rFonts w:ascii="Arial" w:hAnsi="Arial" w:cs="Arial"/>
          <w:b/>
          <w:bCs/>
          <w:sz w:val="20"/>
          <w:szCs w:val="20"/>
        </w:rPr>
        <w:t xml:space="preserve">. </w:t>
      </w:r>
      <w:r w:rsidR="00CA411C" w:rsidRPr="00125E72">
        <w:rPr>
          <w:rFonts w:ascii="Arial" w:hAnsi="Arial" w:cs="Arial"/>
          <w:b/>
          <w:bCs/>
          <w:sz w:val="20"/>
          <w:szCs w:val="20"/>
        </w:rPr>
        <w:t>25HC modulates lipid metabolism during RBC phagocytosis</w:t>
      </w:r>
      <w:r w:rsidR="00EE16D5" w:rsidRPr="00125E72">
        <w:rPr>
          <w:rFonts w:ascii="Arial" w:hAnsi="Arial" w:cs="Arial"/>
          <w:b/>
          <w:bCs/>
          <w:sz w:val="20"/>
          <w:szCs w:val="20"/>
        </w:rPr>
        <w:t xml:space="preserve"> and ICH</w:t>
      </w:r>
      <w:r w:rsidR="00CA411C" w:rsidRPr="00125E72">
        <w:rPr>
          <w:rFonts w:ascii="Arial" w:hAnsi="Arial" w:cs="Arial"/>
          <w:b/>
          <w:bCs/>
          <w:sz w:val="20"/>
          <w:szCs w:val="20"/>
        </w:rPr>
        <w:t xml:space="preserve">. </w:t>
      </w:r>
      <w:r w:rsidR="00583A77" w:rsidRPr="00125E72">
        <w:rPr>
          <w:rFonts w:ascii="Arial" w:hAnsi="Arial" w:cs="Arial"/>
          <w:b/>
          <w:bCs/>
          <w:sz w:val="20"/>
          <w:szCs w:val="20"/>
        </w:rPr>
        <w:t>a</w:t>
      </w:r>
      <w:r w:rsidR="00583A77" w:rsidRPr="00125E72">
        <w:rPr>
          <w:rFonts w:ascii="Arial" w:hAnsi="Arial" w:cs="Arial"/>
          <w:sz w:val="20"/>
          <w:szCs w:val="20"/>
        </w:rPr>
        <w:t xml:space="preserve">, Enriched KEGG pathways in </w:t>
      </w:r>
      <w:r w:rsidR="00717D09" w:rsidRPr="00125E72">
        <w:rPr>
          <w:rFonts w:ascii="Arial" w:hAnsi="Arial" w:cs="Arial"/>
          <w:sz w:val="20"/>
          <w:szCs w:val="20"/>
        </w:rPr>
        <w:t>over-representation analysis (ORA)</w:t>
      </w:r>
      <w:r w:rsidR="00583A77" w:rsidRPr="00125E72">
        <w:rPr>
          <w:rFonts w:ascii="Arial" w:hAnsi="Arial" w:cs="Arial"/>
          <w:sz w:val="20"/>
          <w:szCs w:val="20"/>
        </w:rPr>
        <w:t xml:space="preserve"> of genes that were significantly downregulated by 25HC pre-treatment and upregulated by RBC phagocytosis. Dot colour indicates adj. P-value, and dot size represents the number of genes contributing to each </w:t>
      </w:r>
      <w:r w:rsidR="003057C5" w:rsidRPr="00125E72">
        <w:rPr>
          <w:rFonts w:ascii="Arial" w:hAnsi="Arial" w:cs="Arial"/>
          <w:sz w:val="20"/>
          <w:szCs w:val="20"/>
        </w:rPr>
        <w:t>pathway</w:t>
      </w:r>
      <w:r w:rsidR="00797514" w:rsidRPr="00125E72">
        <w:rPr>
          <w:rFonts w:ascii="Arial" w:hAnsi="Arial" w:cs="Arial"/>
          <w:sz w:val="20"/>
          <w:szCs w:val="20"/>
        </w:rPr>
        <w:t xml:space="preserve">. </w:t>
      </w:r>
      <w:r w:rsidR="00797514" w:rsidRPr="00125E72">
        <w:rPr>
          <w:rFonts w:ascii="Arial" w:hAnsi="Arial" w:cs="Arial"/>
          <w:b/>
          <w:bCs/>
          <w:sz w:val="20"/>
          <w:szCs w:val="20"/>
        </w:rPr>
        <w:t>b</w:t>
      </w:r>
      <w:r w:rsidR="00797514" w:rsidRPr="00125E72">
        <w:rPr>
          <w:rFonts w:ascii="Arial" w:hAnsi="Arial" w:cs="Arial"/>
          <w:sz w:val="20"/>
          <w:szCs w:val="20"/>
        </w:rPr>
        <w:t>,</w:t>
      </w:r>
      <w:r w:rsidR="006749BC" w:rsidRPr="00125E72">
        <w:rPr>
          <w:rFonts w:ascii="Arial" w:hAnsi="Arial" w:cs="Arial"/>
          <w:sz w:val="20"/>
          <w:szCs w:val="20"/>
        </w:rPr>
        <w:t xml:space="preserve"> Schematic of the 2×2 factorial RNA-</w:t>
      </w:r>
      <w:proofErr w:type="spellStart"/>
      <w:r w:rsidR="006749BC" w:rsidRPr="00125E72">
        <w:rPr>
          <w:rFonts w:ascii="Arial" w:hAnsi="Arial" w:cs="Arial"/>
          <w:sz w:val="20"/>
          <w:szCs w:val="20"/>
        </w:rPr>
        <w:t>seq</w:t>
      </w:r>
      <w:proofErr w:type="spellEnd"/>
      <w:r w:rsidR="006749BC" w:rsidRPr="00125E72">
        <w:rPr>
          <w:rFonts w:ascii="Arial" w:hAnsi="Arial" w:cs="Arial"/>
          <w:sz w:val="20"/>
          <w:szCs w:val="20"/>
        </w:rPr>
        <w:t xml:space="preserve"> design used to test the interaction between 25HC and RBC phagocytosis. BMDMs were exposed to vehicle or 25HC pre-treatment</w:t>
      </w:r>
      <w:r w:rsidR="001B154F" w:rsidRPr="00125E72">
        <w:rPr>
          <w:rFonts w:ascii="Arial" w:hAnsi="Arial" w:cs="Arial"/>
          <w:sz w:val="20"/>
          <w:szCs w:val="20"/>
        </w:rPr>
        <w:t xml:space="preserve"> </w:t>
      </w:r>
      <w:r w:rsidR="006749BC" w:rsidRPr="00125E72">
        <w:rPr>
          <w:rFonts w:ascii="Arial" w:hAnsi="Arial" w:cs="Arial"/>
          <w:sz w:val="20"/>
          <w:szCs w:val="20"/>
        </w:rPr>
        <w:t xml:space="preserve">in the absence or presence of RBC </w:t>
      </w:r>
      <w:r w:rsidR="006749BC" w:rsidRPr="00125E72">
        <w:rPr>
          <w:rFonts w:ascii="Arial" w:hAnsi="Arial" w:cs="Arial"/>
          <w:sz w:val="20"/>
          <w:szCs w:val="20"/>
        </w:rPr>
        <w:lastRenderedPageBreak/>
        <w:t>phagocytosis. The interaction term (25HC × RBC) identifies genes showing a differential transcriptional response to RBC phagocytosis following 25HC pre-treatment.</w:t>
      </w:r>
      <w:r w:rsidR="001B154F" w:rsidRPr="00125E72">
        <w:rPr>
          <w:rFonts w:ascii="Arial" w:hAnsi="Arial" w:cs="Arial"/>
          <w:sz w:val="20"/>
          <w:szCs w:val="20"/>
        </w:rPr>
        <w:t xml:space="preserve"> </w:t>
      </w:r>
      <w:r w:rsidR="001B154F" w:rsidRPr="00125E72">
        <w:rPr>
          <w:rFonts w:ascii="Arial" w:hAnsi="Arial" w:cs="Arial"/>
          <w:b/>
          <w:bCs/>
          <w:sz w:val="20"/>
          <w:szCs w:val="20"/>
        </w:rPr>
        <w:t>c</w:t>
      </w:r>
      <w:r w:rsidR="001B154F" w:rsidRPr="00125E72">
        <w:rPr>
          <w:rFonts w:ascii="Arial" w:hAnsi="Arial" w:cs="Arial"/>
          <w:sz w:val="20"/>
          <w:szCs w:val="20"/>
        </w:rPr>
        <w:t xml:space="preserve">, Heat map of genes with a significant interaction (adj. P value &lt; 0.05) between 25HC × RBC. Colour represents the normalised average gene expression (Z-score). </w:t>
      </w:r>
      <w:r w:rsidR="001B154F" w:rsidRPr="00125E72">
        <w:rPr>
          <w:rFonts w:ascii="Arial" w:hAnsi="Arial" w:cs="Arial"/>
          <w:b/>
          <w:bCs/>
          <w:sz w:val="20"/>
          <w:szCs w:val="20"/>
        </w:rPr>
        <w:t>d</w:t>
      </w:r>
      <w:r w:rsidR="001B154F" w:rsidRPr="00125E72">
        <w:rPr>
          <w:rFonts w:ascii="Arial" w:hAnsi="Arial" w:cs="Arial"/>
          <w:sz w:val="20"/>
          <w:szCs w:val="20"/>
        </w:rPr>
        <w:t xml:space="preserve">, </w:t>
      </w:r>
      <w:r w:rsidR="006262F5" w:rsidRPr="00125E72">
        <w:rPr>
          <w:rFonts w:ascii="Arial" w:hAnsi="Arial" w:cs="Arial"/>
          <w:sz w:val="20"/>
          <w:szCs w:val="20"/>
        </w:rPr>
        <w:t xml:space="preserve">Top ten enriched Gene Ontology Biological Process terms in ORA of genes with significant 25HC × RBC interaction. Dot colour indicates adj. P-value, and dot size </w:t>
      </w:r>
      <w:r w:rsidR="00E52FFE" w:rsidRPr="00125E72">
        <w:rPr>
          <w:rFonts w:ascii="Arial" w:hAnsi="Arial" w:cs="Arial"/>
          <w:sz w:val="20"/>
          <w:szCs w:val="20"/>
        </w:rPr>
        <w:t>represent</w:t>
      </w:r>
      <w:r w:rsidR="006262F5" w:rsidRPr="00125E72">
        <w:rPr>
          <w:rFonts w:ascii="Arial" w:hAnsi="Arial" w:cs="Arial"/>
          <w:sz w:val="20"/>
          <w:szCs w:val="20"/>
        </w:rPr>
        <w:t xml:space="preserve"> the number of genes contributing to each term. </w:t>
      </w:r>
      <w:r w:rsidR="006262F5" w:rsidRPr="00125E72">
        <w:rPr>
          <w:rFonts w:ascii="Arial" w:hAnsi="Arial" w:cs="Arial"/>
          <w:b/>
          <w:bCs/>
          <w:sz w:val="20"/>
          <w:szCs w:val="20"/>
        </w:rPr>
        <w:t>e</w:t>
      </w:r>
      <w:r w:rsidR="006262F5" w:rsidRPr="00125E72">
        <w:rPr>
          <w:rFonts w:ascii="Arial" w:hAnsi="Arial" w:cs="Arial"/>
          <w:sz w:val="20"/>
          <w:szCs w:val="20"/>
        </w:rPr>
        <w:t xml:space="preserve">, </w:t>
      </w:r>
      <w:r w:rsidRPr="00125E72">
        <w:rPr>
          <w:rFonts w:ascii="Arial" w:hAnsi="Arial" w:cs="Arial"/>
          <w:sz w:val="20"/>
          <w:szCs w:val="20"/>
        </w:rPr>
        <w:t>Dot plot illustrating the enrichment of</w:t>
      </w:r>
      <w:r w:rsidR="005811C7" w:rsidRPr="00125E72">
        <w:rPr>
          <w:rFonts w:ascii="Arial" w:hAnsi="Arial" w:cs="Arial"/>
          <w:sz w:val="20"/>
          <w:szCs w:val="20"/>
        </w:rPr>
        <w:t xml:space="preserve"> lipid and </w:t>
      </w:r>
      <w:r w:rsidR="00E52FFE" w:rsidRPr="00125E72">
        <w:rPr>
          <w:rFonts w:ascii="Arial" w:hAnsi="Arial" w:cs="Arial"/>
          <w:sz w:val="20"/>
          <w:szCs w:val="20"/>
        </w:rPr>
        <w:t>sterol-related</w:t>
      </w:r>
      <w:r w:rsidR="005811C7" w:rsidRPr="00125E72">
        <w:rPr>
          <w:rFonts w:ascii="Arial" w:hAnsi="Arial" w:cs="Arial"/>
          <w:sz w:val="20"/>
          <w:szCs w:val="20"/>
        </w:rPr>
        <w:t xml:space="preserve"> </w:t>
      </w:r>
      <w:r w:rsidR="003F275A" w:rsidRPr="00125E72">
        <w:rPr>
          <w:rFonts w:ascii="Arial" w:hAnsi="Arial" w:cs="Arial"/>
          <w:sz w:val="20"/>
          <w:szCs w:val="20"/>
        </w:rPr>
        <w:t>GO terms</w:t>
      </w:r>
      <w:r w:rsidRPr="00125E72">
        <w:rPr>
          <w:rFonts w:ascii="Arial" w:hAnsi="Arial" w:cs="Arial"/>
          <w:sz w:val="20"/>
          <w:szCs w:val="20"/>
        </w:rPr>
        <w:t xml:space="preserve"> in </w:t>
      </w:r>
      <w:proofErr w:type="spellStart"/>
      <w:r w:rsidR="00E5718D" w:rsidRPr="00125E72">
        <w:rPr>
          <w:rFonts w:ascii="Arial" w:hAnsi="Arial" w:cs="Arial"/>
          <w:sz w:val="20"/>
          <w:szCs w:val="20"/>
        </w:rPr>
        <w:t>scRNA-Seq</w:t>
      </w:r>
      <w:proofErr w:type="spellEnd"/>
      <w:r w:rsidR="00E5718D" w:rsidRPr="00125E72">
        <w:rPr>
          <w:rFonts w:ascii="Arial" w:hAnsi="Arial" w:cs="Arial"/>
          <w:sz w:val="20"/>
          <w:szCs w:val="20"/>
        </w:rPr>
        <w:t xml:space="preserve"> ICH comparisons </w:t>
      </w:r>
      <w:r w:rsidRPr="00125E72">
        <w:rPr>
          <w:rFonts w:ascii="Arial" w:hAnsi="Arial" w:cs="Arial"/>
          <w:sz w:val="20"/>
          <w:szCs w:val="20"/>
        </w:rPr>
        <w:t>across microglial</w:t>
      </w:r>
      <w:r w:rsidR="005811C7" w:rsidRPr="00125E72">
        <w:rPr>
          <w:rFonts w:ascii="Arial" w:hAnsi="Arial" w:cs="Arial"/>
          <w:sz w:val="20"/>
          <w:szCs w:val="20"/>
        </w:rPr>
        <w:t xml:space="preserve"> </w:t>
      </w:r>
      <w:r w:rsidR="007A4EC6" w:rsidRPr="00125E72">
        <w:rPr>
          <w:rFonts w:ascii="Arial" w:hAnsi="Arial" w:cs="Arial"/>
          <w:sz w:val="20"/>
          <w:szCs w:val="20"/>
        </w:rPr>
        <w:t xml:space="preserve">(Mgl) </w:t>
      </w:r>
      <w:r w:rsidR="005811C7" w:rsidRPr="00125E72">
        <w:rPr>
          <w:rFonts w:ascii="Arial" w:hAnsi="Arial" w:cs="Arial"/>
          <w:sz w:val="20"/>
          <w:szCs w:val="20"/>
        </w:rPr>
        <w:t xml:space="preserve">and </w:t>
      </w:r>
      <w:r w:rsidRPr="00125E72">
        <w:rPr>
          <w:rFonts w:ascii="Arial" w:hAnsi="Arial" w:cs="Arial"/>
          <w:sz w:val="20"/>
          <w:szCs w:val="20"/>
        </w:rPr>
        <w:t>macrophages</w:t>
      </w:r>
      <w:r w:rsidR="007A4EC6" w:rsidRPr="00125E72">
        <w:rPr>
          <w:rFonts w:ascii="Arial" w:hAnsi="Arial" w:cs="Arial"/>
          <w:sz w:val="20"/>
          <w:szCs w:val="20"/>
        </w:rPr>
        <w:t xml:space="preserve"> (Mac)</w:t>
      </w:r>
      <w:r w:rsidRPr="00125E72">
        <w:rPr>
          <w:rFonts w:ascii="Arial" w:hAnsi="Arial" w:cs="Arial"/>
          <w:sz w:val="20"/>
          <w:szCs w:val="20"/>
        </w:rPr>
        <w:t>. The size of each dot corresponds to the number of leading-edge genes, while the colour scale reflects the normalised enrichment score (NES).</w:t>
      </w:r>
      <w:r w:rsidRPr="00125E72">
        <w:rPr>
          <w:sz w:val="20"/>
          <w:szCs w:val="20"/>
        </w:rPr>
        <w:t xml:space="preserve"> </w:t>
      </w:r>
    </w:p>
    <w:p w14:paraId="2001065E" w14:textId="62556C59" w:rsidR="00F26D7B" w:rsidRPr="00125E72" w:rsidRDefault="00F26D7B" w:rsidP="00125E72">
      <w:pPr>
        <w:spacing w:line="360" w:lineRule="auto"/>
        <w:jc w:val="both"/>
        <w:rPr>
          <w:sz w:val="20"/>
          <w:szCs w:val="20"/>
        </w:rPr>
      </w:pPr>
    </w:p>
    <w:p w14:paraId="7708BBF9" w14:textId="77777777" w:rsidR="00F26D7B" w:rsidRPr="00125E72" w:rsidRDefault="00F26D7B" w:rsidP="00125E72">
      <w:pPr>
        <w:spacing w:line="360" w:lineRule="auto"/>
        <w:rPr>
          <w:sz w:val="20"/>
          <w:szCs w:val="20"/>
        </w:rPr>
      </w:pPr>
    </w:p>
    <w:sectPr w:rsidR="00F26D7B" w:rsidRPr="00125E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C76"/>
    <w:rsid w:val="000163CE"/>
    <w:rsid w:val="00022F9B"/>
    <w:rsid w:val="00026B2F"/>
    <w:rsid w:val="00034EBC"/>
    <w:rsid w:val="000400D5"/>
    <w:rsid w:val="00041890"/>
    <w:rsid w:val="00054C58"/>
    <w:rsid w:val="00071580"/>
    <w:rsid w:val="00074E71"/>
    <w:rsid w:val="000834FB"/>
    <w:rsid w:val="00084CAD"/>
    <w:rsid w:val="00085B94"/>
    <w:rsid w:val="000A39E8"/>
    <w:rsid w:val="000B51A7"/>
    <w:rsid w:val="000C4572"/>
    <w:rsid w:val="000F24C9"/>
    <w:rsid w:val="000F3E3A"/>
    <w:rsid w:val="00104C31"/>
    <w:rsid w:val="00105FEB"/>
    <w:rsid w:val="00123909"/>
    <w:rsid w:val="00125E72"/>
    <w:rsid w:val="001356DB"/>
    <w:rsid w:val="00136D9D"/>
    <w:rsid w:val="00145333"/>
    <w:rsid w:val="001560B7"/>
    <w:rsid w:val="001673EA"/>
    <w:rsid w:val="001769A7"/>
    <w:rsid w:val="00180629"/>
    <w:rsid w:val="001871B4"/>
    <w:rsid w:val="00196846"/>
    <w:rsid w:val="001B154F"/>
    <w:rsid w:val="001D0C72"/>
    <w:rsid w:val="001D5C39"/>
    <w:rsid w:val="001F1E71"/>
    <w:rsid w:val="001F6F79"/>
    <w:rsid w:val="0021727B"/>
    <w:rsid w:val="00235B68"/>
    <w:rsid w:val="002369F2"/>
    <w:rsid w:val="00251B70"/>
    <w:rsid w:val="00252164"/>
    <w:rsid w:val="0028392C"/>
    <w:rsid w:val="00284AF5"/>
    <w:rsid w:val="002A259A"/>
    <w:rsid w:val="002B1449"/>
    <w:rsid w:val="002C7B15"/>
    <w:rsid w:val="002D66A1"/>
    <w:rsid w:val="002E489A"/>
    <w:rsid w:val="002E618A"/>
    <w:rsid w:val="002E7F96"/>
    <w:rsid w:val="002F6F8F"/>
    <w:rsid w:val="0030205B"/>
    <w:rsid w:val="00303C4B"/>
    <w:rsid w:val="003057C5"/>
    <w:rsid w:val="00310448"/>
    <w:rsid w:val="003135AA"/>
    <w:rsid w:val="0032424B"/>
    <w:rsid w:val="00327F42"/>
    <w:rsid w:val="003327A0"/>
    <w:rsid w:val="00335B09"/>
    <w:rsid w:val="00340F07"/>
    <w:rsid w:val="00345352"/>
    <w:rsid w:val="00347D76"/>
    <w:rsid w:val="0035243C"/>
    <w:rsid w:val="00371D6C"/>
    <w:rsid w:val="003742D9"/>
    <w:rsid w:val="00396A76"/>
    <w:rsid w:val="003C143C"/>
    <w:rsid w:val="003C6AEC"/>
    <w:rsid w:val="003E54A5"/>
    <w:rsid w:val="003E6D37"/>
    <w:rsid w:val="003F275A"/>
    <w:rsid w:val="00405F1F"/>
    <w:rsid w:val="0041331A"/>
    <w:rsid w:val="00414214"/>
    <w:rsid w:val="0041446E"/>
    <w:rsid w:val="004173C1"/>
    <w:rsid w:val="0042266D"/>
    <w:rsid w:val="00444EB8"/>
    <w:rsid w:val="00461F2B"/>
    <w:rsid w:val="00472A1E"/>
    <w:rsid w:val="00472C31"/>
    <w:rsid w:val="004740EA"/>
    <w:rsid w:val="004750C9"/>
    <w:rsid w:val="0049026B"/>
    <w:rsid w:val="0049606B"/>
    <w:rsid w:val="00496D6D"/>
    <w:rsid w:val="004A7BC1"/>
    <w:rsid w:val="004B0649"/>
    <w:rsid w:val="004B0A9B"/>
    <w:rsid w:val="004D4C76"/>
    <w:rsid w:val="005016AB"/>
    <w:rsid w:val="00505C9C"/>
    <w:rsid w:val="005060E9"/>
    <w:rsid w:val="00517D59"/>
    <w:rsid w:val="00517FB4"/>
    <w:rsid w:val="005318F0"/>
    <w:rsid w:val="00531DA8"/>
    <w:rsid w:val="00561F4E"/>
    <w:rsid w:val="00570314"/>
    <w:rsid w:val="005762DF"/>
    <w:rsid w:val="005775BF"/>
    <w:rsid w:val="005811C7"/>
    <w:rsid w:val="00583A77"/>
    <w:rsid w:val="00591046"/>
    <w:rsid w:val="00592D81"/>
    <w:rsid w:val="005A035E"/>
    <w:rsid w:val="005B53E5"/>
    <w:rsid w:val="005B5EE0"/>
    <w:rsid w:val="005C6CEC"/>
    <w:rsid w:val="005C6D06"/>
    <w:rsid w:val="005C74B0"/>
    <w:rsid w:val="00602B51"/>
    <w:rsid w:val="00605F54"/>
    <w:rsid w:val="006262F5"/>
    <w:rsid w:val="006519D0"/>
    <w:rsid w:val="00652E02"/>
    <w:rsid w:val="00662488"/>
    <w:rsid w:val="00663385"/>
    <w:rsid w:val="00664742"/>
    <w:rsid w:val="006749BC"/>
    <w:rsid w:val="00675459"/>
    <w:rsid w:val="00681A0A"/>
    <w:rsid w:val="00683CC1"/>
    <w:rsid w:val="0069789B"/>
    <w:rsid w:val="006A0B10"/>
    <w:rsid w:val="006A29C4"/>
    <w:rsid w:val="006A681A"/>
    <w:rsid w:val="006B3B9A"/>
    <w:rsid w:val="006B3DF5"/>
    <w:rsid w:val="006C370B"/>
    <w:rsid w:val="006D45FB"/>
    <w:rsid w:val="006D4FB9"/>
    <w:rsid w:val="006F6BCB"/>
    <w:rsid w:val="00714780"/>
    <w:rsid w:val="00717D09"/>
    <w:rsid w:val="00721B87"/>
    <w:rsid w:val="00722790"/>
    <w:rsid w:val="0072718B"/>
    <w:rsid w:val="0076302C"/>
    <w:rsid w:val="007716E8"/>
    <w:rsid w:val="00775BC4"/>
    <w:rsid w:val="00793954"/>
    <w:rsid w:val="00797514"/>
    <w:rsid w:val="007A4EC6"/>
    <w:rsid w:val="007A7D88"/>
    <w:rsid w:val="007C26E6"/>
    <w:rsid w:val="00831607"/>
    <w:rsid w:val="00853C97"/>
    <w:rsid w:val="0085619D"/>
    <w:rsid w:val="00872E85"/>
    <w:rsid w:val="00882106"/>
    <w:rsid w:val="00882831"/>
    <w:rsid w:val="008915FB"/>
    <w:rsid w:val="00894371"/>
    <w:rsid w:val="008A14FA"/>
    <w:rsid w:val="008B0456"/>
    <w:rsid w:val="008D5B1E"/>
    <w:rsid w:val="008E62FE"/>
    <w:rsid w:val="008F4ACC"/>
    <w:rsid w:val="00914E41"/>
    <w:rsid w:val="00920B6C"/>
    <w:rsid w:val="009354B4"/>
    <w:rsid w:val="00954CFA"/>
    <w:rsid w:val="00954F6B"/>
    <w:rsid w:val="00956685"/>
    <w:rsid w:val="00974F4E"/>
    <w:rsid w:val="0097752A"/>
    <w:rsid w:val="00983A59"/>
    <w:rsid w:val="0099579B"/>
    <w:rsid w:val="009968D6"/>
    <w:rsid w:val="00997E7B"/>
    <w:rsid w:val="009A6B74"/>
    <w:rsid w:val="009B1258"/>
    <w:rsid w:val="009C0E37"/>
    <w:rsid w:val="009C0E83"/>
    <w:rsid w:val="009C26A6"/>
    <w:rsid w:val="009D058B"/>
    <w:rsid w:val="009D157D"/>
    <w:rsid w:val="009E2253"/>
    <w:rsid w:val="009F110B"/>
    <w:rsid w:val="009F5015"/>
    <w:rsid w:val="009F60E4"/>
    <w:rsid w:val="009F721D"/>
    <w:rsid w:val="009F790B"/>
    <w:rsid w:val="00A0696B"/>
    <w:rsid w:val="00A2015C"/>
    <w:rsid w:val="00A20750"/>
    <w:rsid w:val="00A20C62"/>
    <w:rsid w:val="00A30995"/>
    <w:rsid w:val="00A43080"/>
    <w:rsid w:val="00A52A32"/>
    <w:rsid w:val="00A60F3C"/>
    <w:rsid w:val="00A64DBF"/>
    <w:rsid w:val="00A97315"/>
    <w:rsid w:val="00A97421"/>
    <w:rsid w:val="00AA3A9B"/>
    <w:rsid w:val="00AA6039"/>
    <w:rsid w:val="00AC4D2A"/>
    <w:rsid w:val="00AC74EB"/>
    <w:rsid w:val="00AC77F9"/>
    <w:rsid w:val="00AD0FC6"/>
    <w:rsid w:val="00AD2E81"/>
    <w:rsid w:val="00AD7AF3"/>
    <w:rsid w:val="00AE487F"/>
    <w:rsid w:val="00AE75D6"/>
    <w:rsid w:val="00B02ABC"/>
    <w:rsid w:val="00B2228B"/>
    <w:rsid w:val="00B2267A"/>
    <w:rsid w:val="00B26FFC"/>
    <w:rsid w:val="00B376C4"/>
    <w:rsid w:val="00B4534C"/>
    <w:rsid w:val="00B46CE4"/>
    <w:rsid w:val="00B60CB4"/>
    <w:rsid w:val="00B67C72"/>
    <w:rsid w:val="00B853C5"/>
    <w:rsid w:val="00B9000A"/>
    <w:rsid w:val="00BA2A01"/>
    <w:rsid w:val="00BC1F08"/>
    <w:rsid w:val="00BD074F"/>
    <w:rsid w:val="00BD7601"/>
    <w:rsid w:val="00BF20D3"/>
    <w:rsid w:val="00C154FE"/>
    <w:rsid w:val="00C2046A"/>
    <w:rsid w:val="00C453B9"/>
    <w:rsid w:val="00C465AD"/>
    <w:rsid w:val="00C46F17"/>
    <w:rsid w:val="00C47978"/>
    <w:rsid w:val="00C60DF7"/>
    <w:rsid w:val="00C6465C"/>
    <w:rsid w:val="00C7759E"/>
    <w:rsid w:val="00C87FF7"/>
    <w:rsid w:val="00CA411C"/>
    <w:rsid w:val="00CA540C"/>
    <w:rsid w:val="00D055B7"/>
    <w:rsid w:val="00D1218E"/>
    <w:rsid w:val="00D176D2"/>
    <w:rsid w:val="00D22A6C"/>
    <w:rsid w:val="00D52CBD"/>
    <w:rsid w:val="00D60E15"/>
    <w:rsid w:val="00D679A1"/>
    <w:rsid w:val="00D73ECF"/>
    <w:rsid w:val="00DA13E1"/>
    <w:rsid w:val="00DC170F"/>
    <w:rsid w:val="00DC6784"/>
    <w:rsid w:val="00DE26B2"/>
    <w:rsid w:val="00DE384E"/>
    <w:rsid w:val="00DF089A"/>
    <w:rsid w:val="00E01968"/>
    <w:rsid w:val="00E0555F"/>
    <w:rsid w:val="00E148F4"/>
    <w:rsid w:val="00E30CC3"/>
    <w:rsid w:val="00E34DEF"/>
    <w:rsid w:val="00E52FFE"/>
    <w:rsid w:val="00E5718D"/>
    <w:rsid w:val="00E7029B"/>
    <w:rsid w:val="00E75112"/>
    <w:rsid w:val="00E80005"/>
    <w:rsid w:val="00E85F38"/>
    <w:rsid w:val="00EB3582"/>
    <w:rsid w:val="00EC276A"/>
    <w:rsid w:val="00EC5A87"/>
    <w:rsid w:val="00EC75EB"/>
    <w:rsid w:val="00ED5A84"/>
    <w:rsid w:val="00EE05A5"/>
    <w:rsid w:val="00EE16D5"/>
    <w:rsid w:val="00F26D7B"/>
    <w:rsid w:val="00F27845"/>
    <w:rsid w:val="00F36773"/>
    <w:rsid w:val="00F55CB9"/>
    <w:rsid w:val="00F67F6D"/>
    <w:rsid w:val="00F70D7D"/>
    <w:rsid w:val="00F76E20"/>
    <w:rsid w:val="00F772D0"/>
    <w:rsid w:val="00F80883"/>
    <w:rsid w:val="00F86584"/>
    <w:rsid w:val="00FA11BE"/>
    <w:rsid w:val="00FC781C"/>
    <w:rsid w:val="00FD45A6"/>
    <w:rsid w:val="00FD53C3"/>
    <w:rsid w:val="00FE22EB"/>
    <w:rsid w:val="00FE39F3"/>
    <w:rsid w:val="00FF0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9C319"/>
  <w15:chartTrackingRefBased/>
  <w15:docId w15:val="{4228121C-A87D-4C4F-8113-1BA7CF6CB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4C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4C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4C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4C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4C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4C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4C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4C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4C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C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4C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4C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4C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4C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4C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4C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4C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4C76"/>
    <w:rPr>
      <w:rFonts w:eastAsiaTheme="majorEastAsia" w:cstheme="majorBidi"/>
      <w:color w:val="272727" w:themeColor="text1" w:themeTint="D8"/>
    </w:rPr>
  </w:style>
  <w:style w:type="paragraph" w:styleId="Title">
    <w:name w:val="Title"/>
    <w:basedOn w:val="Normal"/>
    <w:next w:val="Normal"/>
    <w:link w:val="TitleChar"/>
    <w:uiPriority w:val="10"/>
    <w:qFormat/>
    <w:rsid w:val="004D4C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C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4C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4C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4C76"/>
    <w:pPr>
      <w:spacing w:before="160"/>
      <w:jc w:val="center"/>
    </w:pPr>
    <w:rPr>
      <w:i/>
      <w:iCs/>
      <w:color w:val="404040" w:themeColor="text1" w:themeTint="BF"/>
    </w:rPr>
  </w:style>
  <w:style w:type="character" w:customStyle="1" w:styleId="QuoteChar">
    <w:name w:val="Quote Char"/>
    <w:basedOn w:val="DefaultParagraphFont"/>
    <w:link w:val="Quote"/>
    <w:uiPriority w:val="29"/>
    <w:rsid w:val="004D4C76"/>
    <w:rPr>
      <w:i/>
      <w:iCs/>
      <w:color w:val="404040" w:themeColor="text1" w:themeTint="BF"/>
    </w:rPr>
  </w:style>
  <w:style w:type="paragraph" w:styleId="ListParagraph">
    <w:name w:val="List Paragraph"/>
    <w:basedOn w:val="Normal"/>
    <w:uiPriority w:val="34"/>
    <w:qFormat/>
    <w:rsid w:val="004D4C76"/>
    <w:pPr>
      <w:ind w:left="720"/>
      <w:contextualSpacing/>
    </w:pPr>
  </w:style>
  <w:style w:type="character" w:styleId="IntenseEmphasis">
    <w:name w:val="Intense Emphasis"/>
    <w:basedOn w:val="DefaultParagraphFont"/>
    <w:uiPriority w:val="21"/>
    <w:qFormat/>
    <w:rsid w:val="004D4C76"/>
    <w:rPr>
      <w:i/>
      <w:iCs/>
      <w:color w:val="0F4761" w:themeColor="accent1" w:themeShade="BF"/>
    </w:rPr>
  </w:style>
  <w:style w:type="paragraph" w:styleId="IntenseQuote">
    <w:name w:val="Intense Quote"/>
    <w:basedOn w:val="Normal"/>
    <w:next w:val="Normal"/>
    <w:link w:val="IntenseQuoteChar"/>
    <w:uiPriority w:val="30"/>
    <w:qFormat/>
    <w:rsid w:val="004D4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C76"/>
    <w:rPr>
      <w:i/>
      <w:iCs/>
      <w:color w:val="0F4761" w:themeColor="accent1" w:themeShade="BF"/>
    </w:rPr>
  </w:style>
  <w:style w:type="character" w:styleId="IntenseReference">
    <w:name w:val="Intense Reference"/>
    <w:basedOn w:val="DefaultParagraphFont"/>
    <w:uiPriority w:val="32"/>
    <w:qFormat/>
    <w:rsid w:val="004D4C76"/>
    <w:rPr>
      <w:b/>
      <w:bCs/>
      <w:smallCaps/>
      <w:color w:val="0F4761" w:themeColor="accent1" w:themeShade="BF"/>
      <w:spacing w:val="5"/>
    </w:rPr>
  </w:style>
  <w:style w:type="paragraph" w:styleId="Revision">
    <w:name w:val="Revision"/>
    <w:hidden/>
    <w:uiPriority w:val="99"/>
    <w:semiHidden/>
    <w:rsid w:val="0021727B"/>
    <w:pPr>
      <w:spacing w:after="0" w:line="240" w:lineRule="auto"/>
    </w:pPr>
  </w:style>
  <w:style w:type="character" w:styleId="CommentReference">
    <w:name w:val="annotation reference"/>
    <w:basedOn w:val="DefaultParagraphFont"/>
    <w:uiPriority w:val="99"/>
    <w:semiHidden/>
    <w:unhideWhenUsed/>
    <w:rsid w:val="005A035E"/>
    <w:rPr>
      <w:sz w:val="16"/>
      <w:szCs w:val="16"/>
    </w:rPr>
  </w:style>
  <w:style w:type="paragraph" w:styleId="CommentText">
    <w:name w:val="annotation text"/>
    <w:basedOn w:val="Normal"/>
    <w:link w:val="CommentTextChar"/>
    <w:uiPriority w:val="99"/>
    <w:unhideWhenUsed/>
    <w:rsid w:val="005A035E"/>
    <w:pPr>
      <w:spacing w:line="240" w:lineRule="auto"/>
    </w:pPr>
    <w:rPr>
      <w:sz w:val="20"/>
      <w:szCs w:val="20"/>
    </w:rPr>
  </w:style>
  <w:style w:type="character" w:customStyle="1" w:styleId="CommentTextChar">
    <w:name w:val="Comment Text Char"/>
    <w:basedOn w:val="DefaultParagraphFont"/>
    <w:link w:val="CommentText"/>
    <w:uiPriority w:val="99"/>
    <w:rsid w:val="005A035E"/>
    <w:rPr>
      <w:sz w:val="20"/>
      <w:szCs w:val="20"/>
    </w:rPr>
  </w:style>
  <w:style w:type="paragraph" w:styleId="CommentSubject">
    <w:name w:val="annotation subject"/>
    <w:basedOn w:val="CommentText"/>
    <w:next w:val="CommentText"/>
    <w:link w:val="CommentSubjectChar"/>
    <w:uiPriority w:val="99"/>
    <w:semiHidden/>
    <w:unhideWhenUsed/>
    <w:rsid w:val="005A035E"/>
    <w:rPr>
      <w:b/>
      <w:bCs/>
    </w:rPr>
  </w:style>
  <w:style w:type="character" w:customStyle="1" w:styleId="CommentSubjectChar">
    <w:name w:val="Comment Subject Char"/>
    <w:basedOn w:val="CommentTextChar"/>
    <w:link w:val="CommentSubject"/>
    <w:uiPriority w:val="99"/>
    <w:semiHidden/>
    <w:rsid w:val="005A035E"/>
    <w:rPr>
      <w:b/>
      <w:bCs/>
      <w:sz w:val="20"/>
      <w:szCs w:val="20"/>
    </w:rPr>
  </w:style>
  <w:style w:type="paragraph" w:styleId="NormalWeb">
    <w:name w:val="Normal (Web)"/>
    <w:basedOn w:val="Normal"/>
    <w:uiPriority w:val="99"/>
    <w:semiHidden/>
    <w:unhideWhenUsed/>
    <w:rsid w:val="00AC77F9"/>
    <w:rPr>
      <w:rFonts w:ascii="Times New Roman" w:hAnsi="Times New Roman" w:cs="Times New Roman"/>
    </w:rPr>
  </w:style>
  <w:style w:type="paragraph" w:styleId="BalloonText">
    <w:name w:val="Balloon Text"/>
    <w:basedOn w:val="Normal"/>
    <w:link w:val="BalloonTextChar"/>
    <w:uiPriority w:val="99"/>
    <w:semiHidden/>
    <w:unhideWhenUsed/>
    <w:rsid w:val="005B5EE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5EE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798B2-0071-46BB-B60B-9098C10FA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Tapia Olivares</dc:creator>
  <cp:keywords/>
  <dc:description/>
  <cp:lastModifiedBy>Victor Tapia Olivares</cp:lastModifiedBy>
  <cp:revision>2</cp:revision>
  <dcterms:created xsi:type="dcterms:W3CDTF">2026-02-10T16:08:00Z</dcterms:created>
  <dcterms:modified xsi:type="dcterms:W3CDTF">2026-02-10T16:08:00Z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c9f88b79-1eba-4ff2-bd6b-6be70f0d6ef6</vt:lpwstr>
  </property>
</Properties>
</file>