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03" w:rsidRPr="00642B03" w:rsidRDefault="00642B03" w:rsidP="00642B03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tr-TR"/>
        </w:rPr>
      </w:pPr>
      <w:proofErr w:type="spellStart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>Supplementary</w:t>
      </w:r>
      <w:proofErr w:type="spellEnd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>Material</w:t>
      </w:r>
      <w:proofErr w:type="spellEnd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 xml:space="preserve"> (</w:t>
      </w:r>
      <w:proofErr w:type="spellStart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>Appendix</w:t>
      </w:r>
      <w:proofErr w:type="spellEnd"/>
      <w:r w:rsidRPr="00642B03">
        <w:rPr>
          <w:rFonts w:eastAsia="Times New Roman"/>
          <w:b/>
          <w:bCs/>
          <w:kern w:val="36"/>
          <w:sz w:val="48"/>
          <w:szCs w:val="48"/>
          <w:lang w:eastAsia="tr-TR"/>
        </w:rPr>
        <w:t xml:space="preserve"> A)</w: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Criterion-Referenced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Assessment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Tools Set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szCs w:val="24"/>
          <w:lang w:eastAsia="tr-TR"/>
        </w:rPr>
        <w:t>This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criterion-referenced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assessment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tools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set </w:t>
      </w:r>
      <w:proofErr w:type="spellStart"/>
      <w:r w:rsidRPr="00642B03">
        <w:rPr>
          <w:rFonts w:eastAsia="Times New Roman"/>
          <w:szCs w:val="24"/>
          <w:lang w:eastAsia="tr-TR"/>
        </w:rPr>
        <w:t>was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developed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evaluate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first-grade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Turkish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literacy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skills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, </w:t>
      </w:r>
      <w:proofErr w:type="spellStart"/>
      <w:r w:rsidRPr="00642B03">
        <w:rPr>
          <w:rFonts w:eastAsia="Times New Roman"/>
          <w:szCs w:val="24"/>
          <w:lang w:eastAsia="tr-TR"/>
        </w:rPr>
        <w:t>including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letter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recognition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,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syllable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reading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,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word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reading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,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and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sentence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reading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within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scope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of </w:t>
      </w:r>
      <w:proofErr w:type="spellStart"/>
      <w:r w:rsidRPr="00642B03">
        <w:rPr>
          <w:rFonts w:eastAsia="Times New Roman"/>
          <w:szCs w:val="24"/>
          <w:lang w:eastAsia="tr-TR"/>
        </w:rPr>
        <w:t>primary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school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Turkish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reading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writing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instruction</w:t>
      </w:r>
      <w:proofErr w:type="spellEnd"/>
      <w:r w:rsidRPr="00642B03">
        <w:rPr>
          <w:rFonts w:eastAsia="Times New Roman"/>
          <w:szCs w:val="24"/>
          <w:lang w:eastAsia="tr-TR"/>
        </w:rPr>
        <w:t>.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assessment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tools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structured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in </w:t>
      </w:r>
      <w:proofErr w:type="spellStart"/>
      <w:r w:rsidRPr="00642B03">
        <w:rPr>
          <w:rFonts w:eastAsia="Times New Roman"/>
          <w:szCs w:val="24"/>
          <w:lang w:eastAsia="tr-TR"/>
        </w:rPr>
        <w:t>accordance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with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phonics-based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sentence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method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organized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in a </w:t>
      </w:r>
      <w:proofErr w:type="spellStart"/>
      <w:r w:rsidRPr="00642B03">
        <w:rPr>
          <w:rFonts w:eastAsia="Times New Roman"/>
          <w:szCs w:val="24"/>
          <w:lang w:eastAsia="tr-TR"/>
        </w:rPr>
        <w:t>sequential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hierarchical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manner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aligned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with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instructional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process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. </w:t>
      </w:r>
      <w:proofErr w:type="spellStart"/>
      <w:r w:rsidRPr="00642B03">
        <w:rPr>
          <w:rFonts w:eastAsia="Times New Roman"/>
          <w:szCs w:val="24"/>
          <w:lang w:eastAsia="tr-TR"/>
        </w:rPr>
        <w:t>These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tools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suitable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monitoring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performance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levels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in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single-subject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research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designs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evaluating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objectives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in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Individualized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Education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Programs (IEP)</w:t>
      </w:r>
      <w:r w:rsidRPr="00642B03">
        <w:rPr>
          <w:rFonts w:eastAsia="Times New Roman"/>
          <w:szCs w:val="24"/>
          <w:lang w:eastAsia="tr-TR"/>
        </w:rPr>
        <w:t>.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Mastery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Criteria</w:t>
      </w:r>
      <w:proofErr w:type="spellEnd"/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szCs w:val="24"/>
          <w:lang w:eastAsia="tr-TR"/>
        </w:rPr>
        <w:t>Based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on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criterion-referenced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assessment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approach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, minimum </w:t>
      </w:r>
      <w:proofErr w:type="spellStart"/>
      <w:r w:rsidRPr="00642B03">
        <w:rPr>
          <w:rFonts w:eastAsia="Times New Roman"/>
          <w:szCs w:val="24"/>
          <w:lang w:eastAsia="tr-TR"/>
        </w:rPr>
        <w:t>mastery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percentages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defined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each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instructional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level</w:t>
      </w:r>
      <w:proofErr w:type="spellEnd"/>
      <w:r w:rsidRPr="00642B03">
        <w:rPr>
          <w:rFonts w:eastAsia="Times New Roman"/>
          <w:szCs w:val="24"/>
          <w:lang w:eastAsia="tr-TR"/>
        </w:rPr>
        <w:t>:</w:t>
      </w:r>
      <w:bookmarkStart w:id="0" w:name="_GoBack"/>
    </w:p>
    <w:bookmarkEnd w:id="0"/>
    <w:p w:rsidR="00642B03" w:rsidRPr="00642B03" w:rsidRDefault="00642B03" w:rsidP="00642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b/>
          <w:bCs/>
          <w:szCs w:val="24"/>
          <w:lang w:eastAsia="tr-TR"/>
        </w:rPr>
        <w:t>Letter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Recognition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(D1):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Syllable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Reading (D1 → D2):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>Word Reading (D2):</w:t>
      </w:r>
      <w:r w:rsidRPr="00642B03">
        <w:rPr>
          <w:rFonts w:eastAsia="Times New Roman"/>
          <w:szCs w:val="24"/>
          <w:lang w:eastAsia="tr-TR"/>
        </w:rPr>
        <w:t xml:space="preserve"> 85%</w:t>
      </w:r>
    </w:p>
    <w:p w:rsidR="00642B03" w:rsidRPr="00642B03" w:rsidRDefault="00642B03" w:rsidP="00642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Sentence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Reading (D3):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t xml:space="preserve">Meeting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specified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criteria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was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interpreted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as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student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having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acquired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targeted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skill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gramStart"/>
      <w:r w:rsidRPr="00642B03">
        <w:rPr>
          <w:rFonts w:eastAsia="Times New Roman"/>
          <w:szCs w:val="24"/>
          <w:lang w:eastAsia="tr-TR"/>
        </w:rPr>
        <w:t>at</w:t>
      </w:r>
      <w:proofErr w:type="gram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corresponding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instructional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stage</w:t>
      </w:r>
      <w:proofErr w:type="spellEnd"/>
      <w:r w:rsidRPr="00642B03">
        <w:rPr>
          <w:rFonts w:eastAsia="Times New Roman"/>
          <w:szCs w:val="24"/>
          <w:lang w:eastAsia="tr-TR"/>
        </w:rPr>
        <w:t>.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1.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Letter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Recognition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Recording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Forms (D1)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szCs w:val="24"/>
          <w:lang w:eastAsia="tr-TR"/>
        </w:rPr>
        <w:t>In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this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form, </w:t>
      </w:r>
      <w:proofErr w:type="spellStart"/>
      <w:r w:rsidRPr="00642B03">
        <w:rPr>
          <w:rFonts w:eastAsia="Times New Roman"/>
          <w:szCs w:val="24"/>
          <w:lang w:eastAsia="tr-TR"/>
        </w:rPr>
        <w:t>letters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presented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during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instruction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shown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individually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the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student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. </w:t>
      </w:r>
      <w:proofErr w:type="spellStart"/>
      <w:r w:rsidRPr="00642B03">
        <w:rPr>
          <w:rFonts w:eastAsia="Times New Roman"/>
          <w:szCs w:val="24"/>
          <w:lang w:eastAsia="tr-TR"/>
        </w:rPr>
        <w:t>Student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responses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coded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as </w:t>
      </w:r>
      <w:proofErr w:type="spellStart"/>
      <w:r w:rsidRPr="00642B03">
        <w:rPr>
          <w:rFonts w:eastAsia="Times New Roman"/>
          <w:szCs w:val="24"/>
          <w:lang w:eastAsia="tr-TR"/>
        </w:rPr>
        <w:t>correct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(1) </w:t>
      </w:r>
      <w:proofErr w:type="spellStart"/>
      <w:r w:rsidRPr="00642B03">
        <w:rPr>
          <w:rFonts w:eastAsia="Times New Roman"/>
          <w:szCs w:val="24"/>
          <w:lang w:eastAsia="tr-TR"/>
        </w:rPr>
        <w:t>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incorrect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(0). Total </w:t>
      </w:r>
      <w:proofErr w:type="spellStart"/>
      <w:r w:rsidRPr="00642B03">
        <w:rPr>
          <w:rFonts w:eastAsia="Times New Roman"/>
          <w:szCs w:val="24"/>
          <w:lang w:eastAsia="tr-TR"/>
        </w:rPr>
        <w:t>scores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percentage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of </w:t>
      </w:r>
      <w:proofErr w:type="spellStart"/>
      <w:r w:rsidRPr="00642B03">
        <w:rPr>
          <w:rFonts w:eastAsia="Times New Roman"/>
          <w:szCs w:val="24"/>
          <w:lang w:eastAsia="tr-TR"/>
        </w:rPr>
        <w:t>accuracy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calculated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each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letter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group</w:t>
      </w:r>
      <w:proofErr w:type="spellEnd"/>
      <w:r w:rsidRPr="00642B03">
        <w:rPr>
          <w:rFonts w:eastAsia="Times New Roman"/>
          <w:szCs w:val="24"/>
          <w:lang w:eastAsia="tr-TR"/>
        </w:rPr>
        <w:t>.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Student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 xml:space="preserve"> Name:</w:t>
      </w:r>
      <w:r w:rsidRPr="00642B03">
        <w:rPr>
          <w:rFonts w:eastAsia="Times New Roman"/>
          <w:szCs w:val="24"/>
          <w:lang w:eastAsia="tr-TR"/>
        </w:rPr>
        <w:t xml:space="preserve"> ____________________</w:t>
      </w:r>
      <w:r w:rsidRPr="00642B03">
        <w:rPr>
          <w:rFonts w:eastAsia="Times New Roman"/>
          <w:szCs w:val="24"/>
          <w:lang w:eastAsia="tr-TR"/>
        </w:rPr>
        <w:br/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Date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//202…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866"/>
        <w:gridCol w:w="1200"/>
        <w:gridCol w:w="1360"/>
        <w:gridCol w:w="1968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Letter</w:t>
            </w:r>
            <w:proofErr w:type="spellEnd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 </w:t>
            </w: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Group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Presented</w:t>
            </w:r>
            <w:proofErr w:type="spellEnd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 </w:t>
            </w: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Letters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Correct</w:t>
            </w:r>
            <w:proofErr w:type="spellEnd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Incorrect</w:t>
            </w:r>
            <w:proofErr w:type="spellEnd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Score</w:t>
            </w:r>
            <w:proofErr w:type="spellEnd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 / </w:t>
            </w: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Percentage</w:t>
            </w:r>
            <w:proofErr w:type="spellEnd"/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Group</w:t>
            </w:r>
            <w:proofErr w:type="spellEnd"/>
            <w:r w:rsidRPr="00642B03">
              <w:rPr>
                <w:rFonts w:eastAsia="Times New Roman"/>
                <w:szCs w:val="24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A, N, E, T, İ, L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___ / 6 (%___)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Group</w:t>
            </w:r>
            <w:proofErr w:type="spellEnd"/>
            <w:r w:rsidRPr="00642B03">
              <w:rPr>
                <w:rFonts w:eastAsia="Times New Roman"/>
                <w:szCs w:val="24"/>
                <w:lang w:eastAsia="tr-TR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O, K, U, R, I, M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___ / 6 (%___)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Group</w:t>
            </w:r>
            <w:proofErr w:type="spellEnd"/>
            <w:r w:rsidRPr="00642B03">
              <w:rPr>
                <w:rFonts w:eastAsia="Times New Roman"/>
                <w:szCs w:val="24"/>
                <w:lang w:eastAsia="tr-TR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Ü, S, Ö, Y, D, Z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___ / 6 (%___)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Group</w:t>
            </w:r>
            <w:proofErr w:type="spellEnd"/>
            <w:r w:rsidRPr="00642B03">
              <w:rPr>
                <w:rFonts w:eastAsia="Times New Roman"/>
                <w:szCs w:val="24"/>
                <w:lang w:eastAsia="tr-TR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Ç, B, G, C, Ş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___ / 5 (%___)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Group</w:t>
            </w:r>
            <w:proofErr w:type="spellEnd"/>
            <w:r w:rsidRPr="00642B03">
              <w:rPr>
                <w:rFonts w:eastAsia="Times New Roman"/>
                <w:szCs w:val="24"/>
                <w:lang w:eastAsia="tr-TR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P, H, V, Ğ, F, J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___ / 6 (%___)</w:t>
            </w:r>
          </w:p>
        </w:tc>
      </w:tr>
    </w:tbl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r w:rsidRPr="00642B03">
        <w:rPr>
          <w:rFonts w:eastAsia="Times New Roman"/>
          <w:b/>
          <w:bCs/>
          <w:sz w:val="36"/>
          <w:szCs w:val="36"/>
          <w:lang w:eastAsia="tr-TR"/>
        </w:rPr>
        <w:lastRenderedPageBreak/>
        <w:t xml:space="preserve">2.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Syllable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Reading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Recording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Forms (D1 → D2)</w:t>
      </w:r>
    </w:p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proofErr w:type="spellStart"/>
      <w:r w:rsidRPr="00642B03">
        <w:rPr>
          <w:rFonts w:eastAsia="Times New Roman"/>
          <w:szCs w:val="24"/>
          <w:lang w:eastAsia="tr-TR"/>
        </w:rPr>
        <w:t>These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forms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were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designed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evaluate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students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’ </w:t>
      </w:r>
      <w:proofErr w:type="spellStart"/>
      <w:r w:rsidRPr="00642B03">
        <w:rPr>
          <w:rFonts w:eastAsia="Times New Roman"/>
          <w:szCs w:val="24"/>
          <w:lang w:eastAsia="tr-TR"/>
        </w:rPr>
        <w:t>ability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to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blend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learned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letters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into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syllables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. </w:t>
      </w:r>
      <w:proofErr w:type="spellStart"/>
      <w:r w:rsidRPr="00642B03">
        <w:rPr>
          <w:rFonts w:eastAsia="Times New Roman"/>
          <w:szCs w:val="24"/>
          <w:lang w:eastAsia="tr-TR"/>
        </w:rPr>
        <w:t>Each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correctly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read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syllable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or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word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was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scored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as 1 </w:t>
      </w:r>
      <w:proofErr w:type="spellStart"/>
      <w:r w:rsidRPr="00642B03">
        <w:rPr>
          <w:rFonts w:eastAsia="Times New Roman"/>
          <w:szCs w:val="24"/>
          <w:lang w:eastAsia="tr-TR"/>
        </w:rPr>
        <w:t>point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, </w:t>
      </w:r>
      <w:proofErr w:type="spellStart"/>
      <w:r w:rsidRPr="00642B03">
        <w:rPr>
          <w:rFonts w:eastAsia="Times New Roman"/>
          <w:szCs w:val="24"/>
          <w:lang w:eastAsia="tr-TR"/>
        </w:rPr>
        <w:t>and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each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incorrect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</w:t>
      </w:r>
      <w:proofErr w:type="spellStart"/>
      <w:r w:rsidRPr="00642B03">
        <w:rPr>
          <w:rFonts w:eastAsia="Times New Roman"/>
          <w:szCs w:val="24"/>
          <w:lang w:eastAsia="tr-TR"/>
        </w:rPr>
        <w:t>response</w:t>
      </w:r>
      <w:proofErr w:type="spellEnd"/>
      <w:r w:rsidRPr="00642B03">
        <w:rPr>
          <w:rFonts w:eastAsia="Times New Roman"/>
          <w:szCs w:val="24"/>
          <w:lang w:eastAsia="tr-TR"/>
        </w:rPr>
        <w:t xml:space="preserve"> as 0 </w:t>
      </w:r>
      <w:proofErr w:type="spellStart"/>
      <w:r w:rsidRPr="00642B03">
        <w:rPr>
          <w:rFonts w:eastAsia="Times New Roman"/>
          <w:szCs w:val="24"/>
          <w:lang w:eastAsia="tr-TR"/>
        </w:rPr>
        <w:t>points</w:t>
      </w:r>
      <w:proofErr w:type="spellEnd"/>
      <w:r w:rsidRPr="00642B03">
        <w:rPr>
          <w:rFonts w:eastAsia="Times New Roman"/>
          <w:szCs w:val="24"/>
          <w:lang w:eastAsia="tr-TR"/>
        </w:rPr>
        <w:t>.</w: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2.1 </w:t>
      </w:r>
      <w:proofErr w:type="spellStart"/>
      <w:r w:rsidRPr="00642B03">
        <w:rPr>
          <w:rFonts w:eastAsia="Times New Roman"/>
          <w:b/>
          <w:bCs/>
          <w:sz w:val="27"/>
          <w:szCs w:val="27"/>
          <w:lang w:eastAsia="tr-TR"/>
        </w:rPr>
        <w:t>Group</w:t>
      </w:r>
      <w:proofErr w:type="spellEnd"/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 1 (A–N–E–T–İ–L)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574"/>
        <w:gridCol w:w="494"/>
        <w:gridCol w:w="874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la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ta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el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2.2 </w:t>
      </w:r>
      <w:proofErr w:type="spellStart"/>
      <w:r w:rsidRPr="00642B03">
        <w:rPr>
          <w:rFonts w:eastAsia="Times New Roman"/>
          <w:b/>
          <w:bCs/>
          <w:sz w:val="27"/>
          <w:szCs w:val="27"/>
          <w:lang w:eastAsia="tr-TR"/>
        </w:rPr>
        <w:t>Group</w:t>
      </w:r>
      <w:proofErr w:type="spellEnd"/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 2 (O–K–U–R–I–M)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574"/>
        <w:gridCol w:w="494"/>
        <w:gridCol w:w="874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ok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ur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om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mu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2.3 </w:t>
      </w:r>
      <w:proofErr w:type="spellStart"/>
      <w:r w:rsidRPr="00642B03">
        <w:rPr>
          <w:rFonts w:eastAsia="Times New Roman"/>
          <w:b/>
          <w:bCs/>
          <w:sz w:val="27"/>
          <w:szCs w:val="27"/>
          <w:lang w:eastAsia="tr-TR"/>
        </w:rPr>
        <w:t>Group</w:t>
      </w:r>
      <w:proofErr w:type="spellEnd"/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 3 (Ü–S–Ö–Y–D–Z)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574"/>
        <w:gridCol w:w="494"/>
        <w:gridCol w:w="874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sü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söz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sö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düz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dü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öz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yaz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yüz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yüz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diz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642B03">
        <w:rPr>
          <w:rFonts w:eastAsia="Times New Roman"/>
          <w:b/>
          <w:bCs/>
          <w:sz w:val="27"/>
          <w:szCs w:val="27"/>
          <w:lang w:eastAsia="tr-TR"/>
        </w:rPr>
        <w:lastRenderedPageBreak/>
        <w:t xml:space="preserve">2.4 </w:t>
      </w:r>
      <w:proofErr w:type="spellStart"/>
      <w:r w:rsidRPr="00642B03">
        <w:rPr>
          <w:rFonts w:eastAsia="Times New Roman"/>
          <w:b/>
          <w:bCs/>
          <w:sz w:val="27"/>
          <w:szCs w:val="27"/>
          <w:lang w:eastAsia="tr-TR"/>
        </w:rPr>
        <w:t>Group</w:t>
      </w:r>
      <w:proofErr w:type="spellEnd"/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 4 (Ç–B–G–C–Ş)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574"/>
        <w:gridCol w:w="494"/>
        <w:gridCol w:w="874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ça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aç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saç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geç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çaba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şa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baş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tr-TR"/>
        </w:rPr>
      </w:pPr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2.5 </w:t>
      </w:r>
      <w:proofErr w:type="spellStart"/>
      <w:r w:rsidRPr="00642B03">
        <w:rPr>
          <w:rFonts w:eastAsia="Times New Roman"/>
          <w:b/>
          <w:bCs/>
          <w:sz w:val="27"/>
          <w:szCs w:val="27"/>
          <w:lang w:eastAsia="tr-TR"/>
        </w:rPr>
        <w:t>Group</w:t>
      </w:r>
      <w:proofErr w:type="spellEnd"/>
      <w:r w:rsidRPr="00642B03">
        <w:rPr>
          <w:rFonts w:eastAsia="Times New Roman"/>
          <w:b/>
          <w:bCs/>
          <w:sz w:val="27"/>
          <w:szCs w:val="27"/>
          <w:lang w:eastAsia="tr-TR"/>
        </w:rPr>
        <w:t xml:space="preserve"> 5 (P–H–V–Ğ–F–J)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574"/>
        <w:gridCol w:w="494"/>
        <w:gridCol w:w="874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Syllable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fi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ha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haf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szCs w:val="24"/>
                <w:lang w:eastAsia="tr-TR"/>
              </w:rPr>
              <w:t>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yap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fa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pil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pi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var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3. Word Reading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Recording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Form (D2)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74"/>
        <w:gridCol w:w="494"/>
        <w:gridCol w:w="660"/>
        <w:gridCol w:w="574"/>
        <w:gridCol w:w="509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C (1)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I (0)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anne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araba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okul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kitap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masa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balık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kalem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çanta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çocuk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proofErr w:type="gramStart"/>
            <w:r w:rsidRPr="00642B03">
              <w:rPr>
                <w:rFonts w:eastAsia="Times New Roman"/>
                <w:szCs w:val="24"/>
                <w:lang w:eastAsia="tr-TR"/>
              </w:rPr>
              <w:t>evler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85%</w:t>
      </w:r>
    </w:p>
    <w:p w:rsidR="00642B03" w:rsidRPr="00642B03" w:rsidRDefault="00642B03" w:rsidP="00642B03">
      <w:pPr>
        <w:spacing w:after="0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642B03" w:rsidRPr="00642B03" w:rsidRDefault="00642B03" w:rsidP="00642B0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tr-TR"/>
        </w:rPr>
      </w:pPr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4.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Sentence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Reading </w:t>
      </w:r>
      <w:proofErr w:type="spellStart"/>
      <w:r w:rsidRPr="00642B03">
        <w:rPr>
          <w:rFonts w:eastAsia="Times New Roman"/>
          <w:b/>
          <w:bCs/>
          <w:sz w:val="36"/>
          <w:szCs w:val="36"/>
          <w:lang w:eastAsia="tr-TR"/>
        </w:rPr>
        <w:t>Recording</w:t>
      </w:r>
      <w:proofErr w:type="spellEnd"/>
      <w:r w:rsidRPr="00642B03">
        <w:rPr>
          <w:rFonts w:eastAsia="Times New Roman"/>
          <w:b/>
          <w:bCs/>
          <w:sz w:val="36"/>
          <w:szCs w:val="36"/>
          <w:lang w:eastAsia="tr-TR"/>
        </w:rPr>
        <w:t xml:space="preserve"> Form (D3)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881"/>
        <w:gridCol w:w="787"/>
        <w:gridCol w:w="896"/>
      </w:tblGrid>
      <w:tr w:rsidR="00642B03" w:rsidRPr="00642B03" w:rsidTr="00642B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Sentence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2 </w:t>
            </w: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Points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1 Point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tr-TR"/>
              </w:rPr>
            </w:pPr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 xml:space="preserve">0 </w:t>
            </w:r>
            <w:proofErr w:type="spellStart"/>
            <w:r w:rsidRPr="00642B03">
              <w:rPr>
                <w:rFonts w:eastAsia="Times New Roman"/>
                <w:b/>
                <w:bCs/>
                <w:szCs w:val="24"/>
                <w:lang w:eastAsia="tr-TR"/>
              </w:rPr>
              <w:t>Points</w:t>
            </w:r>
            <w:proofErr w:type="spellEnd"/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Ali top at.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Anne elma al.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lastRenderedPageBreak/>
              <w:t>Ece okula git.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Baba araba sür.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  <w:tr w:rsidR="00642B03" w:rsidRPr="00642B03" w:rsidTr="00642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Çocuk kitap oku.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:rsidR="00642B03" w:rsidRPr="00642B03" w:rsidRDefault="00642B03" w:rsidP="00642B03">
            <w:pPr>
              <w:spacing w:after="0" w:line="240" w:lineRule="auto"/>
              <w:rPr>
                <w:rFonts w:eastAsia="Times New Roman"/>
                <w:szCs w:val="24"/>
                <w:lang w:eastAsia="tr-TR"/>
              </w:rPr>
            </w:pPr>
            <w:r w:rsidRPr="00642B03">
              <w:rPr>
                <w:rFonts w:eastAsia="Times New Roman"/>
                <w:szCs w:val="24"/>
                <w:lang w:eastAsia="tr-TR"/>
              </w:rPr>
              <w:t>[ ]</w:t>
            </w:r>
          </w:p>
        </w:tc>
      </w:tr>
    </w:tbl>
    <w:p w:rsidR="00642B03" w:rsidRPr="00642B03" w:rsidRDefault="00642B03" w:rsidP="00642B03">
      <w:pPr>
        <w:spacing w:before="100" w:beforeAutospacing="1" w:after="100" w:afterAutospacing="1" w:line="240" w:lineRule="auto"/>
        <w:rPr>
          <w:rFonts w:eastAsia="Times New Roman"/>
          <w:szCs w:val="24"/>
          <w:lang w:eastAsia="tr-TR"/>
        </w:rPr>
      </w:pPr>
      <w:r w:rsidRPr="00642B03">
        <w:rPr>
          <w:rFonts w:eastAsia="Times New Roman"/>
          <w:b/>
          <w:bCs/>
          <w:szCs w:val="24"/>
          <w:lang w:eastAsia="tr-TR"/>
        </w:rPr>
        <w:t xml:space="preserve">Total 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Score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___ / 10</w:t>
      </w:r>
      <w:r w:rsidRPr="00642B03">
        <w:rPr>
          <w:rFonts w:eastAsia="Times New Roman"/>
          <w:szCs w:val="24"/>
          <w:lang w:eastAsia="tr-TR"/>
        </w:rPr>
        <w:t> </w:t>
      </w:r>
      <w:r w:rsidRPr="00642B03">
        <w:rPr>
          <w:rFonts w:eastAsia="Times New Roman"/>
          <w:szCs w:val="24"/>
          <w:lang w:eastAsia="tr-TR"/>
        </w:rPr>
        <w:t> </w:t>
      </w:r>
      <w:proofErr w:type="spellStart"/>
      <w:r w:rsidRPr="00642B03">
        <w:rPr>
          <w:rFonts w:eastAsia="Times New Roman"/>
          <w:b/>
          <w:bCs/>
          <w:szCs w:val="24"/>
          <w:lang w:eastAsia="tr-TR"/>
        </w:rPr>
        <w:t>Criterion</w:t>
      </w:r>
      <w:proofErr w:type="spellEnd"/>
      <w:r w:rsidRPr="00642B03">
        <w:rPr>
          <w:rFonts w:eastAsia="Times New Roman"/>
          <w:b/>
          <w:bCs/>
          <w:szCs w:val="24"/>
          <w:lang w:eastAsia="tr-TR"/>
        </w:rPr>
        <w:t>:</w:t>
      </w:r>
      <w:r w:rsidRPr="00642B03">
        <w:rPr>
          <w:rFonts w:eastAsia="Times New Roman"/>
          <w:szCs w:val="24"/>
          <w:lang w:eastAsia="tr-TR"/>
        </w:rPr>
        <w:t xml:space="preserve"> 80%</w:t>
      </w:r>
    </w:p>
    <w:p w:rsidR="003B2D6B" w:rsidRDefault="003B2D6B"/>
    <w:sectPr w:rsidR="003B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683"/>
    <w:multiLevelType w:val="multilevel"/>
    <w:tmpl w:val="E2A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03"/>
    <w:rsid w:val="003B2D6B"/>
    <w:rsid w:val="00642B03"/>
    <w:rsid w:val="006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42B0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42B0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42B0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2B03"/>
    <w:rPr>
      <w:rFonts w:eastAsia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42B03"/>
    <w:rPr>
      <w:rFonts w:eastAsia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42B03"/>
    <w:rPr>
      <w:rFonts w:eastAsia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42B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2B03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42B0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42B0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42B0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2B03"/>
    <w:rPr>
      <w:rFonts w:eastAsia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42B03"/>
    <w:rPr>
      <w:rFonts w:eastAsia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42B03"/>
    <w:rPr>
      <w:rFonts w:eastAsia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642B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2B03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KAYA</dc:creator>
  <cp:lastModifiedBy>ECE KAYA</cp:lastModifiedBy>
  <cp:revision>1</cp:revision>
  <dcterms:created xsi:type="dcterms:W3CDTF">2026-02-10T19:55:00Z</dcterms:created>
  <dcterms:modified xsi:type="dcterms:W3CDTF">2026-02-10T19:56:00Z</dcterms:modified>
</cp:coreProperties>
</file>