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8F08C9" w14:textId="77777777" w:rsidR="003C4869" w:rsidRPr="004B625A" w:rsidRDefault="003C4869" w:rsidP="003C4869">
      <w:pPr>
        <w:spacing w:after="0" w:line="240" w:lineRule="auto"/>
        <w:ind w:left="720" w:hanging="720"/>
        <w:rPr>
          <w:rFonts w:ascii="Arial" w:eastAsia="Times New Roman" w:hAnsi="Arial" w:cs="Arial"/>
          <w:b/>
          <w:bCs/>
          <w:color w:val="000000" w:themeColor="text1"/>
          <w:sz w:val="28"/>
          <w:szCs w:val="28"/>
        </w:rPr>
      </w:pPr>
      <w:r w:rsidRPr="003E24C3">
        <w:rPr>
          <w:rFonts w:ascii="Arial" w:eastAsia="Times New Roman" w:hAnsi="Arial" w:cs="Arial"/>
          <w:b/>
          <w:bCs/>
          <w:color w:val="000000" w:themeColor="text1"/>
          <w:sz w:val="28"/>
          <w:szCs w:val="28"/>
        </w:rPr>
        <w:t>Supplemental Figures</w:t>
      </w:r>
    </w:p>
    <w:p w14:paraId="7E50B5EC" w14:textId="77777777" w:rsidR="003C4869" w:rsidRPr="00540BA6" w:rsidRDefault="003C4869" w:rsidP="003C4869">
      <w:pPr>
        <w:spacing w:before="120" w:after="120" w:line="240" w:lineRule="auto"/>
        <w:rPr>
          <w:rFonts w:ascii="Arial" w:eastAsia="Times New Roman" w:hAnsi="Arial" w:cs="Arial"/>
          <w:b/>
          <w:bCs/>
          <w:color w:val="000000" w:themeColor="text1"/>
        </w:rPr>
      </w:pPr>
      <w:r w:rsidRPr="004B625A">
        <w:rPr>
          <w:rFonts w:ascii="Arial" w:eastAsia="Times New Roman" w:hAnsi="Arial" w:cs="Arial"/>
          <w:b/>
          <w:bCs/>
          <w:color w:val="000000" w:themeColor="text1"/>
        </w:rPr>
        <w:t>Supplemental Figure 1. Lung Mechanics</w:t>
      </w:r>
      <w:r>
        <w:rPr>
          <w:rFonts w:ascii="Arial" w:eastAsia="Times New Roman" w:hAnsi="Arial" w:cs="Arial"/>
          <w:b/>
          <w:bCs/>
          <w:color w:val="000000" w:themeColor="text1"/>
        </w:rPr>
        <w:t xml:space="preserve"> Metrics (insignificant) .</w:t>
      </w:r>
      <w:r w:rsidRPr="004B625A">
        <w:rPr>
          <w:rFonts w:ascii="Arial" w:eastAsia="Times New Roman" w:hAnsi="Arial" w:cs="Arial"/>
          <w:b/>
          <w:bCs/>
          <w:color w:val="000000" w:themeColor="text1"/>
        </w:rPr>
        <w:t xml:space="preserve"> A. </w:t>
      </w:r>
      <w:proofErr w:type="spellStart"/>
      <w:r w:rsidRPr="006F1418">
        <w:rPr>
          <w:rFonts w:ascii="Arial" w:eastAsia="Times New Roman" w:hAnsi="Arial" w:cs="Arial"/>
          <w:color w:val="000000" w:themeColor="text1"/>
        </w:rPr>
        <w:t>Rrs</w:t>
      </w:r>
      <w:proofErr w:type="spellEnd"/>
      <w:r w:rsidRPr="00CC2A75">
        <w:rPr>
          <w:rFonts w:ascii="Arial" w:eastAsia="Times New Roman" w:hAnsi="Arial" w:cs="Arial"/>
          <w:b/>
          <w:bCs/>
          <w:color w:val="000000" w:themeColor="text1"/>
        </w:rPr>
        <w:t xml:space="preserve"> </w:t>
      </w:r>
      <w:r w:rsidRPr="006F1418">
        <w:rPr>
          <w:rFonts w:ascii="Arial" w:eastAsia="Times New Roman" w:hAnsi="Arial" w:cs="Arial"/>
          <w:b/>
          <w:bCs/>
          <w:color w:val="000000" w:themeColor="text1"/>
        </w:rPr>
        <w:t xml:space="preserve">B. </w:t>
      </w:r>
      <w:proofErr w:type="spellStart"/>
      <w:r w:rsidRPr="006F1418">
        <w:rPr>
          <w:rFonts w:ascii="Arial" w:eastAsia="Times New Roman" w:hAnsi="Arial" w:cs="Arial"/>
          <w:color w:val="000000" w:themeColor="text1"/>
        </w:rPr>
        <w:t>Crs</w:t>
      </w:r>
      <w:proofErr w:type="spellEnd"/>
      <w:r w:rsidRPr="004B625A">
        <w:rPr>
          <w:rFonts w:ascii="Arial" w:eastAsia="Times New Roman" w:hAnsi="Arial" w:cs="Arial"/>
          <w:b/>
          <w:bCs/>
          <w:color w:val="000000" w:themeColor="text1"/>
        </w:rPr>
        <w:t xml:space="preserve"> C. </w:t>
      </w:r>
      <w:proofErr w:type="spellStart"/>
      <w:r w:rsidRPr="006F1418">
        <w:rPr>
          <w:rFonts w:ascii="Arial" w:eastAsia="Times New Roman" w:hAnsi="Arial" w:cs="Arial"/>
          <w:color w:val="000000" w:themeColor="text1"/>
        </w:rPr>
        <w:t>Ers</w:t>
      </w:r>
      <w:proofErr w:type="spellEnd"/>
      <w:r w:rsidRPr="004B625A">
        <w:rPr>
          <w:rFonts w:ascii="Arial" w:eastAsia="Times New Roman" w:hAnsi="Arial" w:cs="Arial"/>
          <w:b/>
          <w:bCs/>
          <w:color w:val="000000" w:themeColor="text1"/>
        </w:rPr>
        <w:t xml:space="preserve"> D. </w:t>
      </w:r>
      <w:r w:rsidRPr="004B625A">
        <w:rPr>
          <w:rFonts w:ascii="Arial" w:eastAsia="Times New Roman" w:hAnsi="Arial" w:cs="Arial"/>
          <w:color w:val="000000" w:themeColor="text1"/>
        </w:rPr>
        <w:t>Rn</w:t>
      </w:r>
      <w:r w:rsidRPr="004B625A">
        <w:rPr>
          <w:rFonts w:ascii="Arial" w:eastAsia="Times New Roman" w:hAnsi="Arial" w:cs="Arial"/>
          <w:b/>
          <w:bCs/>
          <w:color w:val="000000" w:themeColor="text1"/>
          <w:vertAlign w:val="subscript"/>
        </w:rPr>
        <w:t xml:space="preserve"> </w:t>
      </w:r>
      <w:r w:rsidRPr="004B625A">
        <w:rPr>
          <w:rFonts w:ascii="Arial" w:eastAsia="Times New Roman" w:hAnsi="Arial" w:cs="Arial"/>
          <w:b/>
          <w:bCs/>
          <w:color w:val="000000" w:themeColor="text1"/>
        </w:rPr>
        <w:t xml:space="preserve">E. </w:t>
      </w:r>
      <w:r w:rsidRPr="004B625A">
        <w:rPr>
          <w:rFonts w:ascii="Arial" w:eastAsia="Times New Roman" w:hAnsi="Arial" w:cs="Arial"/>
          <w:color w:val="000000" w:themeColor="text1"/>
        </w:rPr>
        <w:t>Parameter K</w:t>
      </w:r>
      <w:r w:rsidRPr="004B625A">
        <w:rPr>
          <w:rFonts w:ascii="Arial" w:eastAsia="Times New Roman" w:hAnsi="Arial" w:cs="Arial"/>
          <w:b/>
          <w:bCs/>
          <w:color w:val="000000" w:themeColor="text1"/>
        </w:rPr>
        <w:t xml:space="preserve"> F.</w:t>
      </w:r>
      <w:r w:rsidRPr="006F1418">
        <w:rPr>
          <w:rFonts w:ascii="Arial" w:eastAsia="Times New Roman" w:hAnsi="Arial" w:cs="Arial"/>
          <w:color w:val="000000" w:themeColor="text1"/>
        </w:rPr>
        <w:t xml:space="preserve"> FEV</w:t>
      </w:r>
      <w:r w:rsidRPr="006F1418">
        <w:rPr>
          <w:rFonts w:ascii="Arial" w:eastAsia="Times New Roman" w:hAnsi="Arial" w:cs="Arial"/>
          <w:color w:val="000000" w:themeColor="text1"/>
          <w:vertAlign w:val="subscript"/>
        </w:rPr>
        <w:t>0.1</w:t>
      </w:r>
      <w:r>
        <w:rPr>
          <w:rFonts w:ascii="Arial" w:eastAsia="Times New Roman" w:hAnsi="Arial" w:cs="Arial"/>
          <w:color w:val="000000" w:themeColor="text1"/>
        </w:rPr>
        <w:t xml:space="preserve"> were not significantly different between C19 and Control. </w:t>
      </w:r>
    </w:p>
    <w:p w14:paraId="796013B2" w14:textId="77777777" w:rsidR="003C4869" w:rsidRPr="004B625A" w:rsidRDefault="003C4869" w:rsidP="003C4869">
      <w:pPr>
        <w:spacing w:before="120" w:after="120" w:line="240" w:lineRule="auto"/>
        <w:rPr>
          <w:rFonts w:ascii="Arial" w:eastAsia="Times New Roman" w:hAnsi="Arial" w:cs="Arial"/>
          <w:b/>
          <w:bCs/>
          <w:color w:val="000000" w:themeColor="text1"/>
        </w:rPr>
      </w:pPr>
      <w:r w:rsidRPr="004B625A">
        <w:rPr>
          <w:rFonts w:ascii="Arial" w:eastAsia="Times New Roman" w:hAnsi="Arial" w:cs="Arial"/>
          <w:b/>
          <w:bCs/>
          <w:color w:val="000000" w:themeColor="text1"/>
        </w:rPr>
        <w:t xml:space="preserve">Supplemental Figure 2. </w:t>
      </w:r>
      <w:r>
        <w:rPr>
          <w:rFonts w:ascii="Arial" w:eastAsia="Times New Roman" w:hAnsi="Arial" w:cs="Arial"/>
          <w:b/>
          <w:bCs/>
          <w:color w:val="000000" w:themeColor="text1"/>
        </w:rPr>
        <w:t xml:space="preserve">BAL Biomarker Assessment (insignificant). </w:t>
      </w:r>
      <w:r w:rsidRPr="006F1418">
        <w:rPr>
          <w:rFonts w:ascii="Arial" w:eastAsia="Times New Roman" w:hAnsi="Arial" w:cs="Arial"/>
          <w:color w:val="000000" w:themeColor="text1"/>
        </w:rPr>
        <w:t xml:space="preserve">Quantified analytes that were not significantly different between C19 and Control in BAL. </w:t>
      </w:r>
      <w:r w:rsidRPr="006F1418">
        <w:rPr>
          <w:rFonts w:ascii="Arial" w:eastAsia="Times New Roman" w:hAnsi="Arial" w:cs="Arial"/>
          <w:b/>
          <w:bCs/>
          <w:color w:val="000000" w:themeColor="text1"/>
        </w:rPr>
        <w:t>A-</w:t>
      </w:r>
      <w:r>
        <w:rPr>
          <w:rFonts w:ascii="Arial" w:eastAsia="Times New Roman" w:hAnsi="Arial" w:cs="Arial"/>
          <w:b/>
          <w:bCs/>
          <w:color w:val="000000" w:themeColor="text1"/>
        </w:rPr>
        <w:t>E</w:t>
      </w:r>
      <w:r>
        <w:rPr>
          <w:rFonts w:ascii="Arial" w:eastAsia="Times New Roman" w:hAnsi="Arial" w:cs="Arial"/>
          <w:color w:val="000000" w:themeColor="text1"/>
        </w:rPr>
        <w:t xml:space="preserve">. pro-inflammatory and </w:t>
      </w:r>
      <w:r>
        <w:rPr>
          <w:rFonts w:ascii="Arial" w:eastAsia="Times New Roman" w:hAnsi="Arial" w:cs="Arial"/>
          <w:b/>
          <w:bCs/>
          <w:color w:val="000000" w:themeColor="text1"/>
        </w:rPr>
        <w:t>F</w:t>
      </w:r>
      <w:r w:rsidRPr="006F1418">
        <w:rPr>
          <w:rFonts w:ascii="Arial" w:eastAsia="Times New Roman" w:hAnsi="Arial" w:cs="Arial"/>
          <w:b/>
          <w:bCs/>
          <w:color w:val="000000" w:themeColor="text1"/>
        </w:rPr>
        <w:t>-I</w:t>
      </w:r>
      <w:r>
        <w:rPr>
          <w:rFonts w:ascii="Arial" w:eastAsia="Times New Roman" w:hAnsi="Arial" w:cs="Arial"/>
          <w:b/>
          <w:bCs/>
          <w:color w:val="000000" w:themeColor="text1"/>
        </w:rPr>
        <w:t xml:space="preserve">. </w:t>
      </w:r>
      <w:r>
        <w:rPr>
          <w:rFonts w:ascii="Arial" w:eastAsia="Times New Roman" w:hAnsi="Arial" w:cs="Arial"/>
          <w:color w:val="000000" w:themeColor="text1"/>
        </w:rPr>
        <w:t xml:space="preserve">innate immune cell recruitment, hematopoietic growth factors, and </w:t>
      </w:r>
      <w:r w:rsidRPr="006F1418">
        <w:rPr>
          <w:rFonts w:ascii="Arial" w:eastAsia="Times New Roman" w:hAnsi="Arial" w:cs="Arial"/>
          <w:b/>
          <w:bCs/>
          <w:color w:val="000000" w:themeColor="text1"/>
        </w:rPr>
        <w:t>J-</w:t>
      </w:r>
      <w:r>
        <w:rPr>
          <w:rFonts w:ascii="Arial" w:eastAsia="Times New Roman" w:hAnsi="Arial" w:cs="Arial"/>
          <w:b/>
          <w:bCs/>
          <w:color w:val="000000" w:themeColor="text1"/>
        </w:rPr>
        <w:t>M</w:t>
      </w:r>
      <w:r>
        <w:rPr>
          <w:rFonts w:ascii="Arial" w:eastAsia="Times New Roman" w:hAnsi="Arial" w:cs="Arial"/>
          <w:color w:val="000000" w:themeColor="text1"/>
        </w:rPr>
        <w:t xml:space="preserve">. adaptive immunity / regulatory mediators. </w:t>
      </w:r>
    </w:p>
    <w:p w14:paraId="75E08255" w14:textId="77777777" w:rsidR="003C4869" w:rsidRPr="004B625A" w:rsidRDefault="003C4869" w:rsidP="003C4869">
      <w:pPr>
        <w:spacing w:before="120" w:after="120" w:line="240" w:lineRule="auto"/>
        <w:rPr>
          <w:rFonts w:ascii="Arial" w:eastAsia="Times New Roman" w:hAnsi="Arial" w:cs="Arial"/>
          <w:b/>
          <w:bCs/>
          <w:color w:val="000000" w:themeColor="text1"/>
        </w:rPr>
      </w:pPr>
      <w:r w:rsidRPr="004B625A">
        <w:rPr>
          <w:rFonts w:ascii="Arial" w:eastAsia="Times New Roman" w:hAnsi="Arial" w:cs="Arial"/>
          <w:b/>
          <w:bCs/>
          <w:color w:val="000000" w:themeColor="text1"/>
        </w:rPr>
        <w:t xml:space="preserve">Supplemental Figure 3. </w:t>
      </w:r>
      <w:r>
        <w:rPr>
          <w:rFonts w:ascii="Arial" w:eastAsia="Times New Roman" w:hAnsi="Arial" w:cs="Arial"/>
          <w:b/>
          <w:bCs/>
          <w:color w:val="000000" w:themeColor="text1"/>
        </w:rPr>
        <w:t xml:space="preserve">Plasma Biomarker Assessment (insignificant). </w:t>
      </w:r>
      <w:r w:rsidRPr="00906766">
        <w:rPr>
          <w:rFonts w:ascii="Arial" w:eastAsia="Times New Roman" w:hAnsi="Arial" w:cs="Arial"/>
          <w:color w:val="000000" w:themeColor="text1"/>
        </w:rPr>
        <w:t xml:space="preserve">Quantified analytes that were not significantly different in plasma </w:t>
      </w:r>
      <w:r w:rsidRPr="00470BBD">
        <w:rPr>
          <w:rFonts w:ascii="Arial" w:eastAsia="Times New Roman" w:hAnsi="Arial" w:cs="Arial"/>
          <w:color w:val="000000" w:themeColor="text1"/>
        </w:rPr>
        <w:t xml:space="preserve">were </w:t>
      </w:r>
      <w:r w:rsidRPr="006F1418">
        <w:rPr>
          <w:rFonts w:ascii="Arial" w:eastAsia="Times New Roman" w:hAnsi="Arial" w:cs="Arial"/>
          <w:b/>
          <w:bCs/>
          <w:color w:val="000000" w:themeColor="text1"/>
        </w:rPr>
        <w:t>A-F</w:t>
      </w:r>
      <w:r>
        <w:rPr>
          <w:rFonts w:ascii="Arial" w:eastAsia="Times New Roman" w:hAnsi="Arial" w:cs="Arial"/>
          <w:b/>
          <w:bCs/>
          <w:color w:val="000000" w:themeColor="text1"/>
        </w:rPr>
        <w:t xml:space="preserve">. </w:t>
      </w:r>
      <w:r>
        <w:rPr>
          <w:rFonts w:ascii="Arial" w:eastAsia="Times New Roman" w:hAnsi="Arial" w:cs="Arial"/>
          <w:color w:val="000000" w:themeColor="text1"/>
        </w:rPr>
        <w:t>P</w:t>
      </w:r>
      <w:r w:rsidRPr="00470BBD">
        <w:rPr>
          <w:rFonts w:ascii="Arial" w:eastAsia="Times New Roman" w:hAnsi="Arial" w:cs="Arial"/>
          <w:color w:val="000000" w:themeColor="text1"/>
        </w:rPr>
        <w:t>roinflamm</w:t>
      </w:r>
      <w:r>
        <w:rPr>
          <w:rFonts w:ascii="Arial" w:eastAsia="Times New Roman" w:hAnsi="Arial" w:cs="Arial"/>
          <w:color w:val="000000" w:themeColor="text1"/>
        </w:rPr>
        <w:t xml:space="preserve">atory cytokines,  </w:t>
      </w:r>
      <w:r w:rsidRPr="006F1418">
        <w:rPr>
          <w:rFonts w:ascii="Arial" w:eastAsia="Times New Roman" w:hAnsi="Arial" w:cs="Arial"/>
          <w:b/>
          <w:bCs/>
          <w:color w:val="000000" w:themeColor="text1"/>
        </w:rPr>
        <w:t>G-N</w:t>
      </w:r>
      <w:r>
        <w:rPr>
          <w:rFonts w:ascii="Arial" w:eastAsia="Times New Roman" w:hAnsi="Arial" w:cs="Arial"/>
          <w:b/>
          <w:bCs/>
          <w:color w:val="000000" w:themeColor="text1"/>
        </w:rPr>
        <w:t xml:space="preserve">. </w:t>
      </w:r>
      <w:r>
        <w:rPr>
          <w:rFonts w:ascii="Arial" w:eastAsia="Times New Roman" w:hAnsi="Arial" w:cs="Arial"/>
          <w:color w:val="000000" w:themeColor="text1"/>
        </w:rPr>
        <w:t>Cellular recruitment chemokines</w:t>
      </w:r>
      <w:r w:rsidRPr="006F1418">
        <w:rPr>
          <w:rFonts w:ascii="Arial" w:eastAsia="Times New Roman" w:hAnsi="Arial" w:cs="Arial"/>
          <w:b/>
          <w:bCs/>
          <w:color w:val="000000" w:themeColor="text1"/>
        </w:rPr>
        <w:t>,</w:t>
      </w:r>
      <w:r>
        <w:rPr>
          <w:rFonts w:ascii="Arial" w:eastAsia="Times New Roman" w:hAnsi="Arial" w:cs="Arial"/>
          <w:color w:val="000000" w:themeColor="text1"/>
        </w:rPr>
        <w:t xml:space="preserve"> </w:t>
      </w:r>
      <w:r w:rsidRPr="006F1418">
        <w:rPr>
          <w:rFonts w:ascii="Arial" w:eastAsia="Times New Roman" w:hAnsi="Arial" w:cs="Arial"/>
          <w:b/>
          <w:bCs/>
          <w:color w:val="000000" w:themeColor="text1"/>
        </w:rPr>
        <w:t>O-T</w:t>
      </w:r>
      <w:r>
        <w:rPr>
          <w:rFonts w:ascii="Arial" w:eastAsia="Times New Roman" w:hAnsi="Arial" w:cs="Arial"/>
          <w:b/>
          <w:bCs/>
          <w:color w:val="000000" w:themeColor="text1"/>
        </w:rPr>
        <w:t xml:space="preserve">. </w:t>
      </w:r>
      <w:r>
        <w:rPr>
          <w:rFonts w:ascii="Arial" w:eastAsia="Times New Roman" w:hAnsi="Arial" w:cs="Arial"/>
          <w:color w:val="000000" w:themeColor="text1"/>
        </w:rPr>
        <w:t xml:space="preserve">Hematopoietic growth factors, and  </w:t>
      </w:r>
      <w:r w:rsidRPr="006F1418">
        <w:rPr>
          <w:rFonts w:ascii="Arial" w:eastAsia="Times New Roman" w:hAnsi="Arial" w:cs="Arial"/>
          <w:b/>
          <w:bCs/>
          <w:color w:val="000000" w:themeColor="text1"/>
        </w:rPr>
        <w:t>U-</w:t>
      </w:r>
      <w:r>
        <w:rPr>
          <w:rFonts w:ascii="Arial" w:eastAsia="Times New Roman" w:hAnsi="Arial" w:cs="Arial"/>
          <w:b/>
          <w:bCs/>
          <w:color w:val="000000" w:themeColor="text1"/>
        </w:rPr>
        <w:t xml:space="preserve">AA. </w:t>
      </w:r>
      <w:r>
        <w:rPr>
          <w:rFonts w:ascii="Arial" w:eastAsia="Times New Roman" w:hAnsi="Arial" w:cs="Arial"/>
          <w:color w:val="000000" w:themeColor="text1"/>
        </w:rPr>
        <w:t>Adaptive Immunity / Regulatory Mediators</w:t>
      </w:r>
      <w:r>
        <w:rPr>
          <w:rFonts w:ascii="Arial" w:eastAsia="Times New Roman" w:hAnsi="Arial" w:cs="Arial"/>
          <w:b/>
          <w:bCs/>
          <w:color w:val="000000" w:themeColor="text1"/>
        </w:rPr>
        <w:t xml:space="preserve">. </w:t>
      </w:r>
    </w:p>
    <w:p w14:paraId="40F4DBA8" w14:textId="77777777" w:rsidR="003C4869" w:rsidRPr="004B625A" w:rsidRDefault="003C4869" w:rsidP="003C4869">
      <w:pPr>
        <w:spacing w:before="120" w:after="120" w:line="240" w:lineRule="auto"/>
        <w:rPr>
          <w:rFonts w:ascii="Arial" w:eastAsia="Times New Roman" w:hAnsi="Arial" w:cs="Arial"/>
          <w:b/>
          <w:bCs/>
          <w:color w:val="000000" w:themeColor="text1"/>
        </w:rPr>
      </w:pPr>
      <w:r w:rsidRPr="004B625A">
        <w:rPr>
          <w:rFonts w:ascii="Arial" w:eastAsia="Times New Roman" w:hAnsi="Arial" w:cs="Arial"/>
          <w:b/>
          <w:bCs/>
          <w:color w:val="000000" w:themeColor="text1"/>
        </w:rPr>
        <w:t xml:space="preserve">Supplemental figure 4. </w:t>
      </w:r>
      <w:r>
        <w:rPr>
          <w:rFonts w:ascii="Arial" w:eastAsia="Times New Roman" w:hAnsi="Arial" w:cs="Arial"/>
          <w:b/>
          <w:bCs/>
          <w:color w:val="000000" w:themeColor="text1"/>
        </w:rPr>
        <w:t xml:space="preserve">Overview of Analyte Characteristics. </w:t>
      </w:r>
      <w:r w:rsidRPr="00906766">
        <w:rPr>
          <w:rFonts w:ascii="Arial" w:eastAsia="Times New Roman" w:hAnsi="Arial" w:cs="Arial"/>
          <w:color w:val="000000" w:themeColor="text1"/>
        </w:rPr>
        <w:t xml:space="preserve">Volcano plot of log fold-change vs -log(p-value) of measured analytes in </w:t>
      </w:r>
      <w:r w:rsidRPr="004B625A">
        <w:rPr>
          <w:rFonts w:ascii="Arial" w:eastAsia="Times New Roman" w:hAnsi="Arial" w:cs="Arial"/>
          <w:b/>
          <w:bCs/>
          <w:color w:val="000000" w:themeColor="text1"/>
        </w:rPr>
        <w:t xml:space="preserve">A. BAL </w:t>
      </w:r>
      <w:r w:rsidRPr="004A2754">
        <w:rPr>
          <w:rFonts w:ascii="Arial" w:eastAsia="Times New Roman" w:hAnsi="Arial" w:cs="Arial"/>
          <w:color w:val="000000" w:themeColor="text1"/>
        </w:rPr>
        <w:t xml:space="preserve">and </w:t>
      </w:r>
      <w:r w:rsidRPr="004B625A">
        <w:rPr>
          <w:rFonts w:ascii="Arial" w:eastAsia="Times New Roman" w:hAnsi="Arial" w:cs="Arial"/>
          <w:b/>
          <w:bCs/>
          <w:color w:val="000000" w:themeColor="text1"/>
        </w:rPr>
        <w:t xml:space="preserve">B. plasma. </w:t>
      </w:r>
      <w:r w:rsidRPr="004B625A">
        <w:rPr>
          <w:rFonts w:ascii="Arial" w:eastAsia="Times New Roman" w:hAnsi="Arial" w:cs="Arial"/>
          <w:color w:val="000000" w:themeColor="text1"/>
        </w:rPr>
        <w:t xml:space="preserve">Dashed lines represent p=0.05 or </w:t>
      </w:r>
      <w:r w:rsidRPr="006F1418">
        <w:rPr>
          <w:rFonts w:ascii="Arial" w:eastAsia="Times New Roman" w:hAnsi="Arial" w:cs="Arial"/>
          <w:color w:val="000000" w:themeColor="text1"/>
        </w:rPr>
        <w:t>p=0.2</w:t>
      </w:r>
      <w:r w:rsidRPr="003E4839">
        <w:rPr>
          <w:rFonts w:ascii="Arial" w:eastAsia="Times New Roman" w:hAnsi="Arial" w:cs="Arial"/>
          <w:color w:val="000000" w:themeColor="text1"/>
        </w:rPr>
        <w:t xml:space="preserve"> as indicated for plasma.</w:t>
      </w:r>
      <w:r w:rsidRPr="004B625A">
        <w:rPr>
          <w:rFonts w:ascii="Arial" w:eastAsia="Times New Roman" w:hAnsi="Arial" w:cs="Arial"/>
          <w:b/>
          <w:bCs/>
          <w:color w:val="000000" w:themeColor="text1"/>
        </w:rPr>
        <w:t xml:space="preserve"> </w:t>
      </w:r>
    </w:p>
    <w:p w14:paraId="0C9BA1B6" w14:textId="77777777" w:rsidR="003C4869" w:rsidRPr="004B625A" w:rsidRDefault="003C4869" w:rsidP="003C4869">
      <w:pPr>
        <w:spacing w:before="120" w:after="120" w:line="240" w:lineRule="auto"/>
        <w:rPr>
          <w:rFonts w:ascii="Arial" w:eastAsia="Times New Roman" w:hAnsi="Arial" w:cs="Arial"/>
          <w:b/>
          <w:bCs/>
          <w:color w:val="000000" w:themeColor="text1"/>
        </w:rPr>
      </w:pPr>
      <w:r w:rsidRPr="004B625A">
        <w:rPr>
          <w:rFonts w:ascii="Arial" w:eastAsia="Times New Roman" w:hAnsi="Arial" w:cs="Arial"/>
          <w:b/>
          <w:bCs/>
          <w:color w:val="000000" w:themeColor="text1"/>
        </w:rPr>
        <w:t xml:space="preserve">Supplemental Figure 5. </w:t>
      </w:r>
      <w:r>
        <w:rPr>
          <w:rFonts w:ascii="Arial" w:eastAsia="Times New Roman" w:hAnsi="Arial" w:cs="Arial"/>
          <w:b/>
          <w:bCs/>
          <w:color w:val="000000" w:themeColor="text1"/>
        </w:rPr>
        <w:t xml:space="preserve">Canonical Pathway Schema. </w:t>
      </w:r>
      <w:r w:rsidRPr="00906766">
        <w:rPr>
          <w:rFonts w:ascii="Arial" w:eastAsia="Times New Roman" w:hAnsi="Arial" w:cs="Arial"/>
          <w:color w:val="000000" w:themeColor="text1"/>
        </w:rPr>
        <w:t>Top Hierarchical Canonical Pathway specific to Macrophage Classical Activation Signaling.</w:t>
      </w:r>
      <w:r w:rsidRPr="004B625A">
        <w:rPr>
          <w:rFonts w:ascii="Arial" w:eastAsia="Times New Roman" w:hAnsi="Arial" w:cs="Arial"/>
          <w:b/>
          <w:bCs/>
          <w:color w:val="000000" w:themeColor="text1"/>
        </w:rPr>
        <w:t xml:space="preserve"> </w:t>
      </w:r>
    </w:p>
    <w:p w14:paraId="49978940" w14:textId="77777777" w:rsidR="003C4869" w:rsidRDefault="003C4869" w:rsidP="003C4869">
      <w:pPr>
        <w:spacing w:before="120" w:after="120" w:line="240" w:lineRule="auto"/>
        <w:rPr>
          <w:rFonts w:ascii="Arial" w:eastAsia="Times New Roman" w:hAnsi="Arial" w:cs="Arial"/>
          <w:color w:val="000000" w:themeColor="text1"/>
        </w:rPr>
      </w:pPr>
      <w:r>
        <w:rPr>
          <w:rFonts w:ascii="Arial" w:eastAsia="Times New Roman" w:hAnsi="Arial" w:cs="Arial"/>
          <w:b/>
          <w:bCs/>
          <w:color w:val="000000" w:themeColor="text1"/>
        </w:rPr>
        <w:t>Supplemental Figure 6. Western Blot</w:t>
      </w:r>
      <w:r>
        <w:rPr>
          <w:rFonts w:ascii="Arial" w:eastAsia="Times New Roman" w:hAnsi="Arial" w:cs="Arial"/>
          <w:color w:val="000000" w:themeColor="text1"/>
        </w:rPr>
        <w:t xml:space="preserve"> (</w:t>
      </w:r>
      <w:proofErr w:type="spellStart"/>
      <w:r>
        <w:rPr>
          <w:rFonts w:ascii="Arial" w:eastAsia="Times New Roman" w:hAnsi="Arial" w:cs="Arial"/>
          <w:color w:val="000000" w:themeColor="text1"/>
        </w:rPr>
        <w:t>ProteinSimple</w:t>
      </w:r>
      <w:proofErr w:type="spellEnd"/>
      <w:r>
        <w:rPr>
          <w:rFonts w:ascii="Arial" w:eastAsia="Times New Roman" w:hAnsi="Arial" w:cs="Arial"/>
          <w:color w:val="000000" w:themeColor="text1"/>
        </w:rPr>
        <w:t xml:space="preserve">) of Control and C19 exposed lung homogenates probed for Caspase-1 (lanes 2-7), NLRP3 (Lanes 14-19), and ß-actin (Lanes 20-25) as a loading control. Arrow indicates Caspase-1 band at 49kDa. Exposure and contrast is applied equally to all lanes on this uncropped run, and may not represent the optimized contrast for visibility of primary proteins. </w:t>
      </w:r>
    </w:p>
    <w:p w14:paraId="557936B0" w14:textId="77777777" w:rsidR="003C4869" w:rsidRDefault="003C4869" w:rsidP="003C4869">
      <w:pPr>
        <w:spacing w:before="120" w:after="120" w:line="240" w:lineRule="auto"/>
        <w:rPr>
          <w:rFonts w:ascii="Arial" w:eastAsia="Times New Roman" w:hAnsi="Arial" w:cs="Arial"/>
          <w:color w:val="000000" w:themeColor="text1"/>
        </w:rPr>
      </w:pPr>
      <w:r>
        <w:rPr>
          <w:rFonts w:ascii="Arial" w:eastAsia="Times New Roman" w:hAnsi="Arial" w:cs="Arial"/>
          <w:b/>
          <w:bCs/>
          <w:color w:val="000000" w:themeColor="text1"/>
        </w:rPr>
        <w:t>Supplemental Figure 7. Western Blot</w:t>
      </w:r>
      <w:r>
        <w:rPr>
          <w:rFonts w:ascii="Arial" w:eastAsia="Times New Roman" w:hAnsi="Arial" w:cs="Arial"/>
          <w:color w:val="000000" w:themeColor="text1"/>
        </w:rPr>
        <w:t xml:space="preserve"> (</w:t>
      </w:r>
      <w:proofErr w:type="spellStart"/>
      <w:r>
        <w:rPr>
          <w:rFonts w:ascii="Arial" w:eastAsia="Times New Roman" w:hAnsi="Arial" w:cs="Arial"/>
          <w:color w:val="000000" w:themeColor="text1"/>
        </w:rPr>
        <w:t>ProteinSimple</w:t>
      </w:r>
      <w:proofErr w:type="spellEnd"/>
      <w:r>
        <w:rPr>
          <w:rFonts w:ascii="Arial" w:eastAsia="Times New Roman" w:hAnsi="Arial" w:cs="Arial"/>
          <w:color w:val="000000" w:themeColor="text1"/>
        </w:rPr>
        <w:t xml:space="preserve">) of lung homogenates of control and C19 exposed mice probed for HO-1 (lanes 8-13), and ß-actin (Lanes 20-25) as a loading control. Exposure and contrast is applied equally to all lanes on this uncropped run, and may not represent the optimized contrast for visibility of primary proteins. </w:t>
      </w:r>
    </w:p>
    <w:p w14:paraId="2633E0FF" w14:textId="77777777" w:rsidR="003C4869" w:rsidRPr="00C30BC2" w:rsidRDefault="003C4869" w:rsidP="003C4869">
      <w:pPr>
        <w:spacing w:before="120" w:after="120" w:line="240" w:lineRule="auto"/>
        <w:rPr>
          <w:rFonts w:ascii="Arial" w:eastAsia="Times New Roman" w:hAnsi="Arial" w:cs="Arial"/>
          <w:b/>
          <w:bCs/>
          <w:color w:val="000000" w:themeColor="text1"/>
        </w:rPr>
      </w:pPr>
      <w:r w:rsidRPr="00C30BC2">
        <w:rPr>
          <w:rFonts w:ascii="Arial" w:eastAsia="Times New Roman" w:hAnsi="Arial" w:cs="Arial"/>
          <w:b/>
          <w:bCs/>
          <w:color w:val="000000" w:themeColor="text1"/>
        </w:rPr>
        <w:t xml:space="preserve">Supplemental Figure 8. </w:t>
      </w:r>
      <w:r>
        <w:rPr>
          <w:rFonts w:ascii="Arial" w:eastAsia="Times New Roman" w:hAnsi="Arial" w:cs="Arial"/>
          <w:b/>
          <w:bCs/>
          <w:color w:val="000000" w:themeColor="text1"/>
        </w:rPr>
        <w:t>Western Blot</w:t>
      </w:r>
      <w:r>
        <w:rPr>
          <w:rFonts w:ascii="Arial" w:eastAsia="Times New Roman" w:hAnsi="Arial" w:cs="Arial"/>
          <w:color w:val="000000" w:themeColor="text1"/>
        </w:rPr>
        <w:t xml:space="preserve"> (</w:t>
      </w:r>
      <w:proofErr w:type="spellStart"/>
      <w:r>
        <w:rPr>
          <w:rFonts w:ascii="Arial" w:eastAsia="Times New Roman" w:hAnsi="Arial" w:cs="Arial"/>
          <w:color w:val="000000" w:themeColor="text1"/>
        </w:rPr>
        <w:t>ProteinSimple</w:t>
      </w:r>
      <w:proofErr w:type="spellEnd"/>
      <w:r>
        <w:rPr>
          <w:rFonts w:ascii="Arial" w:eastAsia="Times New Roman" w:hAnsi="Arial" w:cs="Arial"/>
          <w:color w:val="000000" w:themeColor="text1"/>
        </w:rPr>
        <w:t xml:space="preserve">) of lung homogenates of control and C19 exposed mice probed for MYD88 (lanes 2-7), RAGE(Lanes 8-13) and ß-actin (Lanes 20-25) as a loading control. Arrow indicates faint MYD88 band at 37kDa. Exposure and contrast is applied equally to all lanes on this uncropped run, and may not represent the optimized contrast for visibility of primary proteins. </w:t>
      </w:r>
    </w:p>
    <w:p w14:paraId="2F4B4F0F" w14:textId="77777777" w:rsidR="003C4869" w:rsidRDefault="003C4869" w:rsidP="003C4869">
      <w:pPr>
        <w:spacing w:before="120" w:after="120" w:line="240" w:lineRule="auto"/>
        <w:rPr>
          <w:rFonts w:ascii="Arial" w:eastAsia="Times New Roman" w:hAnsi="Arial" w:cs="Arial"/>
          <w:b/>
          <w:bCs/>
          <w:color w:val="000000" w:themeColor="text1"/>
        </w:rPr>
      </w:pPr>
      <w:r w:rsidRPr="00C30BC2">
        <w:rPr>
          <w:rFonts w:ascii="Arial" w:eastAsia="Times New Roman" w:hAnsi="Arial" w:cs="Arial"/>
          <w:b/>
          <w:bCs/>
          <w:color w:val="000000" w:themeColor="text1"/>
        </w:rPr>
        <w:t xml:space="preserve">Supplemental Figure </w:t>
      </w:r>
      <w:r>
        <w:rPr>
          <w:rFonts w:ascii="Arial" w:eastAsia="Times New Roman" w:hAnsi="Arial" w:cs="Arial"/>
          <w:b/>
          <w:bCs/>
          <w:color w:val="000000" w:themeColor="text1"/>
        </w:rPr>
        <w:t>9</w:t>
      </w:r>
      <w:r w:rsidRPr="00C30BC2">
        <w:rPr>
          <w:rFonts w:ascii="Arial" w:eastAsia="Times New Roman" w:hAnsi="Arial" w:cs="Arial"/>
          <w:b/>
          <w:bCs/>
          <w:color w:val="000000" w:themeColor="text1"/>
        </w:rPr>
        <w:t xml:space="preserve">. </w:t>
      </w:r>
      <w:r>
        <w:rPr>
          <w:rFonts w:ascii="Arial" w:eastAsia="Times New Roman" w:hAnsi="Arial" w:cs="Arial"/>
          <w:b/>
          <w:bCs/>
          <w:color w:val="000000" w:themeColor="text1"/>
        </w:rPr>
        <w:t>Western Blot</w:t>
      </w:r>
      <w:r>
        <w:rPr>
          <w:rFonts w:ascii="Arial" w:eastAsia="Times New Roman" w:hAnsi="Arial" w:cs="Arial"/>
          <w:color w:val="000000" w:themeColor="text1"/>
        </w:rPr>
        <w:t xml:space="preserve"> (</w:t>
      </w:r>
      <w:proofErr w:type="spellStart"/>
      <w:r>
        <w:rPr>
          <w:rFonts w:ascii="Arial" w:eastAsia="Times New Roman" w:hAnsi="Arial" w:cs="Arial"/>
          <w:color w:val="000000" w:themeColor="text1"/>
        </w:rPr>
        <w:t>ProteinSimple</w:t>
      </w:r>
      <w:proofErr w:type="spellEnd"/>
      <w:r>
        <w:rPr>
          <w:rFonts w:ascii="Arial" w:eastAsia="Times New Roman" w:hAnsi="Arial" w:cs="Arial"/>
          <w:color w:val="000000" w:themeColor="text1"/>
        </w:rPr>
        <w:t xml:space="preserve">) of lung homogenates of control and C19 exposed mice probed for Caspase 8 (lanes 8-13), and ß-actin (Lanes 20-25) as a loading control. Exposure and contrast is applied equally to all lanes on this uncropped run, and may not represent the optimized contrast for visibility of primary proteins. </w:t>
      </w:r>
    </w:p>
    <w:p w14:paraId="7724C3AB" w14:textId="77777777" w:rsidR="003C4869" w:rsidRPr="00C30BC2" w:rsidRDefault="003C4869" w:rsidP="003C4869">
      <w:pPr>
        <w:spacing w:before="120" w:after="120" w:line="240" w:lineRule="auto"/>
        <w:rPr>
          <w:rFonts w:ascii="Arial" w:eastAsia="Times New Roman" w:hAnsi="Arial" w:cs="Arial"/>
          <w:b/>
          <w:bCs/>
          <w:color w:val="000000" w:themeColor="text1"/>
        </w:rPr>
      </w:pPr>
      <w:r>
        <w:rPr>
          <w:rFonts w:ascii="Arial" w:eastAsia="Times New Roman" w:hAnsi="Arial" w:cs="Arial"/>
          <w:b/>
          <w:bCs/>
          <w:color w:val="000000" w:themeColor="text1"/>
        </w:rPr>
        <w:t xml:space="preserve">Supplemental Figure 10. </w:t>
      </w:r>
      <w:r w:rsidRPr="004B625A">
        <w:rPr>
          <w:rFonts w:ascii="Arial" w:eastAsia="Times New Roman" w:hAnsi="Arial" w:cs="Arial"/>
          <w:b/>
          <w:bCs/>
          <w:color w:val="000000" w:themeColor="text1"/>
        </w:rPr>
        <w:t xml:space="preserve">A. BAL Upstream Regulators. </w:t>
      </w:r>
      <w:r w:rsidRPr="004B625A">
        <w:rPr>
          <w:rFonts w:ascii="Arial" w:eastAsia="Times New Roman" w:hAnsi="Arial" w:cs="Arial"/>
          <w:color w:val="000000" w:themeColor="text1"/>
        </w:rPr>
        <w:t xml:space="preserve">Activated </w:t>
      </w:r>
      <w:r w:rsidRPr="004B625A">
        <w:rPr>
          <w:rFonts w:ascii="Arial" w:eastAsia="Times New Roman" w:hAnsi="Arial" w:cs="Arial"/>
          <w:color w:val="FF9300"/>
        </w:rPr>
        <w:t>(orange)</w:t>
      </w:r>
      <w:r w:rsidRPr="004B625A">
        <w:rPr>
          <w:rFonts w:ascii="Arial" w:eastAsia="Times New Roman" w:hAnsi="Arial" w:cs="Arial"/>
          <w:color w:val="000000" w:themeColor="text1"/>
        </w:rPr>
        <w:t xml:space="preserve"> and </w:t>
      </w:r>
      <w:r w:rsidRPr="00906766">
        <w:rPr>
          <w:rFonts w:ascii="Arial" w:eastAsia="Times New Roman" w:hAnsi="Arial" w:cs="Arial"/>
          <w:b/>
          <w:bCs/>
          <w:color w:val="000000" w:themeColor="text1"/>
        </w:rPr>
        <w:t xml:space="preserve">B. </w:t>
      </w:r>
      <w:r w:rsidRPr="004B625A">
        <w:rPr>
          <w:rFonts w:ascii="Arial" w:eastAsia="Times New Roman" w:hAnsi="Arial" w:cs="Arial"/>
          <w:color w:val="000000" w:themeColor="text1"/>
        </w:rPr>
        <w:t xml:space="preserve">inhibited </w:t>
      </w:r>
      <w:r w:rsidRPr="004B625A">
        <w:rPr>
          <w:rFonts w:ascii="Arial" w:eastAsia="Times New Roman" w:hAnsi="Arial" w:cs="Arial"/>
          <w:color w:val="0432FF"/>
        </w:rPr>
        <w:t xml:space="preserve">(blue) </w:t>
      </w:r>
      <w:r w:rsidRPr="004B625A">
        <w:rPr>
          <w:rFonts w:ascii="Arial" w:eastAsia="Times New Roman" w:hAnsi="Arial" w:cs="Arial"/>
          <w:color w:val="000000" w:themeColor="text1"/>
        </w:rPr>
        <w:t>top 25 significant pathways</w:t>
      </w:r>
      <w:r>
        <w:rPr>
          <w:rFonts w:ascii="Arial" w:eastAsia="Times New Roman" w:hAnsi="Arial" w:cs="Arial"/>
          <w:color w:val="000000" w:themeColor="text1"/>
        </w:rPr>
        <w:t xml:space="preserve"> with z-score (white) and ranked by -log(p-value)</w:t>
      </w:r>
      <w:r w:rsidRPr="004B625A">
        <w:rPr>
          <w:rFonts w:ascii="Arial" w:eastAsia="Times New Roman" w:hAnsi="Arial" w:cs="Arial"/>
          <w:color w:val="000000" w:themeColor="text1"/>
        </w:rPr>
        <w:t xml:space="preserve">. </w:t>
      </w:r>
      <w:r>
        <w:rPr>
          <w:rFonts w:ascii="Arial" w:eastAsia="Times New Roman" w:hAnsi="Arial" w:cs="Arial"/>
          <w:b/>
          <w:bCs/>
          <w:color w:val="000000" w:themeColor="text1"/>
        </w:rPr>
        <w:t>C</w:t>
      </w:r>
      <w:r w:rsidRPr="004B625A">
        <w:rPr>
          <w:rFonts w:ascii="Arial" w:eastAsia="Times New Roman" w:hAnsi="Arial" w:cs="Arial"/>
          <w:b/>
          <w:bCs/>
          <w:color w:val="000000" w:themeColor="text1"/>
        </w:rPr>
        <w:t xml:space="preserve">. </w:t>
      </w:r>
      <w:r>
        <w:rPr>
          <w:rFonts w:ascii="Arial" w:eastAsia="Times New Roman" w:hAnsi="Arial" w:cs="Arial"/>
          <w:b/>
          <w:bCs/>
          <w:color w:val="000000" w:themeColor="text1"/>
        </w:rPr>
        <w:t>Plasma Upstream regulators</w:t>
      </w:r>
      <w:r w:rsidRPr="004B625A">
        <w:rPr>
          <w:rFonts w:ascii="Arial" w:eastAsia="Times New Roman" w:hAnsi="Arial" w:cs="Arial"/>
          <w:b/>
          <w:bCs/>
          <w:color w:val="000000" w:themeColor="text1"/>
        </w:rPr>
        <w:t>.</w:t>
      </w:r>
      <w:r>
        <w:rPr>
          <w:rFonts w:ascii="Arial" w:eastAsia="Times New Roman" w:hAnsi="Arial" w:cs="Arial"/>
          <w:b/>
          <w:bCs/>
          <w:color w:val="000000" w:themeColor="text1"/>
        </w:rPr>
        <w:t xml:space="preserve"> </w:t>
      </w:r>
      <w:r>
        <w:rPr>
          <w:rFonts w:ascii="Arial" w:eastAsia="Times New Roman" w:hAnsi="Arial" w:cs="Arial"/>
          <w:color w:val="000000" w:themeColor="text1"/>
        </w:rPr>
        <w:t xml:space="preserve">Only n=3 regulators had significant |z-score|&gt;2. </w:t>
      </w:r>
      <w:r w:rsidRPr="004B625A">
        <w:rPr>
          <w:rFonts w:ascii="Arial" w:eastAsia="Times New Roman" w:hAnsi="Arial" w:cs="Arial"/>
          <w:b/>
          <w:bCs/>
          <w:color w:val="000000" w:themeColor="text1"/>
        </w:rPr>
        <w:t xml:space="preserve"> </w:t>
      </w:r>
    </w:p>
    <w:p w14:paraId="5873736D" w14:textId="77777777" w:rsidR="003C4869" w:rsidRDefault="003C4869" w:rsidP="003C4869">
      <w:pPr>
        <w:spacing w:before="120" w:after="120" w:line="240" w:lineRule="auto"/>
        <w:rPr>
          <w:rFonts w:ascii="Arial" w:hAnsi="Arial" w:cs="Arial"/>
          <w:b/>
        </w:rPr>
      </w:pPr>
      <w:r w:rsidRPr="004B625A">
        <w:rPr>
          <w:rFonts w:ascii="Arial" w:eastAsia="Times New Roman" w:hAnsi="Arial" w:cs="Arial"/>
          <w:b/>
          <w:bCs/>
          <w:color w:val="000000" w:themeColor="text1"/>
        </w:rPr>
        <w:t xml:space="preserve">Supplemental Figure </w:t>
      </w:r>
      <w:r>
        <w:rPr>
          <w:rFonts w:ascii="Arial" w:eastAsia="Times New Roman" w:hAnsi="Arial" w:cs="Arial"/>
          <w:b/>
          <w:bCs/>
          <w:color w:val="000000" w:themeColor="text1"/>
        </w:rPr>
        <w:t>11</w:t>
      </w:r>
      <w:r w:rsidRPr="004B625A">
        <w:rPr>
          <w:rFonts w:ascii="Arial" w:eastAsia="Times New Roman" w:hAnsi="Arial" w:cs="Arial"/>
          <w:b/>
          <w:bCs/>
          <w:color w:val="000000" w:themeColor="text1"/>
        </w:rPr>
        <w:t xml:space="preserve">. Disease and Function Analysis in the BAL Compartment. </w:t>
      </w:r>
      <w:proofErr w:type="spellStart"/>
      <w:r w:rsidRPr="00906766">
        <w:rPr>
          <w:rFonts w:ascii="Arial" w:eastAsia="Times New Roman" w:hAnsi="Arial" w:cs="Arial"/>
          <w:color w:val="000000" w:themeColor="text1"/>
        </w:rPr>
        <w:t>Tree</w:t>
      </w:r>
      <w:r>
        <w:rPr>
          <w:rFonts w:ascii="Arial" w:eastAsia="Times New Roman" w:hAnsi="Arial" w:cs="Arial"/>
          <w:color w:val="000000" w:themeColor="text1"/>
        </w:rPr>
        <w:t>M</w:t>
      </w:r>
      <w:r w:rsidRPr="00906766">
        <w:rPr>
          <w:rFonts w:ascii="Arial" w:eastAsia="Times New Roman" w:hAnsi="Arial" w:cs="Arial"/>
          <w:color w:val="000000" w:themeColor="text1"/>
        </w:rPr>
        <w:t>ap</w:t>
      </w:r>
      <w:proofErr w:type="spellEnd"/>
      <w:r w:rsidRPr="00906766">
        <w:rPr>
          <w:rFonts w:ascii="Arial" w:eastAsia="Times New Roman" w:hAnsi="Arial" w:cs="Arial"/>
          <w:color w:val="000000" w:themeColor="text1"/>
        </w:rPr>
        <w:t xml:space="preserve"> (hierarchical heat map) depicting affected functional categories. </w:t>
      </w:r>
      <w:r w:rsidRPr="00824BD8">
        <w:rPr>
          <w:rFonts w:ascii="Arial" w:hAnsi="Arial" w:cs="Arial"/>
        </w:rPr>
        <w:t>Each individual box represents a biological process or disease. The size of the box represents increasing ov</w:t>
      </w:r>
      <w:r w:rsidRPr="004B625A">
        <w:rPr>
          <w:rFonts w:ascii="Arial" w:hAnsi="Arial" w:cs="Arial"/>
        </w:rPr>
        <w:t>erlap sequence</w:t>
      </w:r>
      <w:r>
        <w:rPr>
          <w:rFonts w:ascii="Arial" w:hAnsi="Arial" w:cs="Arial"/>
        </w:rPr>
        <w:t xml:space="preserve"> and corresponds to -log</w:t>
      </w:r>
      <w:r w:rsidRPr="006F1418">
        <w:rPr>
          <w:rFonts w:ascii="Arial" w:hAnsi="Arial" w:cs="Arial"/>
          <w:vertAlign w:val="subscript"/>
        </w:rPr>
        <w:t>10</w:t>
      </w:r>
      <w:r>
        <w:rPr>
          <w:rFonts w:ascii="Arial" w:hAnsi="Arial" w:cs="Arial"/>
        </w:rPr>
        <w:t>(p-value)</w:t>
      </w:r>
      <w:r w:rsidRPr="004B625A">
        <w:rPr>
          <w:rFonts w:ascii="Arial" w:hAnsi="Arial" w:cs="Arial"/>
        </w:rPr>
        <w:t xml:space="preserve">, and the color of the box indicates the predicted increase </w:t>
      </w:r>
      <w:r w:rsidRPr="004A2754">
        <w:rPr>
          <w:rFonts w:ascii="Arial" w:hAnsi="Arial" w:cs="Arial"/>
          <w:color w:val="FF9300"/>
        </w:rPr>
        <w:t xml:space="preserve">(orange) </w:t>
      </w:r>
      <w:r w:rsidRPr="004B625A">
        <w:rPr>
          <w:rFonts w:ascii="Arial" w:hAnsi="Arial" w:cs="Arial"/>
        </w:rPr>
        <w:t>or decrease</w:t>
      </w:r>
      <w:r>
        <w:rPr>
          <w:rFonts w:ascii="Arial" w:hAnsi="Arial" w:cs="Arial"/>
        </w:rPr>
        <w:t xml:space="preserve"> </w:t>
      </w:r>
      <w:r w:rsidRPr="004A2754">
        <w:rPr>
          <w:rFonts w:ascii="Arial" w:hAnsi="Arial" w:cs="Arial"/>
          <w:color w:val="0432FF"/>
        </w:rPr>
        <w:t>(blue</w:t>
      </w:r>
      <w:r w:rsidRPr="004A2754">
        <w:rPr>
          <w:color w:val="0432FF"/>
        </w:rPr>
        <w:t>)</w:t>
      </w:r>
      <w:r>
        <w:rPr>
          <w:color w:val="0432FF"/>
        </w:rPr>
        <w:t xml:space="preserve"> </w:t>
      </w:r>
      <w:r w:rsidRPr="00047E2C">
        <w:rPr>
          <w:rFonts w:ascii="Arial" w:hAnsi="Arial" w:cs="Arial"/>
        </w:rPr>
        <w:t>by z-score</w:t>
      </w:r>
      <w:r w:rsidRPr="004A2754">
        <w:rPr>
          <w:color w:val="0432FF"/>
        </w:rPr>
        <w:t>.</w:t>
      </w:r>
      <w:r>
        <w:t xml:space="preserve"> </w:t>
      </w:r>
    </w:p>
    <w:p w14:paraId="3714422C" w14:textId="77777777" w:rsidR="008B07A6" w:rsidRDefault="008B07A6"/>
    <w:sectPr w:rsidR="008B07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4869"/>
    <w:rsid w:val="00066677"/>
    <w:rsid w:val="00250264"/>
    <w:rsid w:val="003A4E89"/>
    <w:rsid w:val="003C4869"/>
    <w:rsid w:val="00556784"/>
    <w:rsid w:val="008B07A6"/>
    <w:rsid w:val="00987B63"/>
    <w:rsid w:val="00D31E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AE04A0"/>
  <w15:chartTrackingRefBased/>
  <w15:docId w15:val="{13B3BC0F-AD10-4455-BC27-DC95F5C147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4869"/>
    <w:pPr>
      <w:spacing w:after="200" w:line="276" w:lineRule="auto"/>
    </w:pPr>
    <w:rPr>
      <w:rFonts w:ascii="Calibri" w:eastAsia="Calibri" w:hAnsi="Calibri" w:cs="Times New Roman"/>
      <w:kern w:val="0"/>
      <w:sz w:val="22"/>
      <w:szCs w:val="22"/>
      <w14:ligatures w14:val="none"/>
    </w:rPr>
  </w:style>
  <w:style w:type="paragraph" w:styleId="Heading1">
    <w:name w:val="heading 1"/>
    <w:basedOn w:val="Normal"/>
    <w:next w:val="Normal"/>
    <w:link w:val="Heading1Char"/>
    <w:uiPriority w:val="9"/>
    <w:qFormat/>
    <w:rsid w:val="003C486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3C486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3C4869"/>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3C4869"/>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3C4869"/>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3C4869"/>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3C4869"/>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3C4869"/>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3C4869"/>
    <w:pPr>
      <w:keepNext/>
      <w:keepLines/>
      <w:spacing w:after="0"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486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C486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C486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C486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C486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C486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C486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C486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C4869"/>
    <w:rPr>
      <w:rFonts w:eastAsiaTheme="majorEastAsia" w:cstheme="majorBidi"/>
      <w:color w:val="272727" w:themeColor="text1" w:themeTint="D8"/>
    </w:rPr>
  </w:style>
  <w:style w:type="paragraph" w:styleId="Title">
    <w:name w:val="Title"/>
    <w:basedOn w:val="Normal"/>
    <w:next w:val="Normal"/>
    <w:link w:val="TitleChar"/>
    <w:uiPriority w:val="10"/>
    <w:qFormat/>
    <w:rsid w:val="003C4869"/>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3C486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C4869"/>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3C486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C4869"/>
    <w:pPr>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3C4869"/>
    <w:rPr>
      <w:i/>
      <w:iCs/>
      <w:color w:val="404040" w:themeColor="text1" w:themeTint="BF"/>
    </w:rPr>
  </w:style>
  <w:style w:type="paragraph" w:styleId="ListParagraph">
    <w:name w:val="List Paragraph"/>
    <w:basedOn w:val="Normal"/>
    <w:uiPriority w:val="34"/>
    <w:qFormat/>
    <w:rsid w:val="003C4869"/>
    <w:pPr>
      <w:spacing w:after="160" w:line="278" w:lineRule="auto"/>
      <w:ind w:left="720"/>
      <w:contextualSpacing/>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3C4869"/>
    <w:rPr>
      <w:i/>
      <w:iCs/>
      <w:color w:val="0F4761" w:themeColor="accent1" w:themeShade="BF"/>
    </w:rPr>
  </w:style>
  <w:style w:type="paragraph" w:styleId="IntenseQuote">
    <w:name w:val="Intense Quote"/>
    <w:basedOn w:val="Normal"/>
    <w:next w:val="Normal"/>
    <w:link w:val="IntenseQuoteChar"/>
    <w:uiPriority w:val="30"/>
    <w:qFormat/>
    <w:rsid w:val="003C486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3C4869"/>
    <w:rPr>
      <w:i/>
      <w:iCs/>
      <w:color w:val="0F4761" w:themeColor="accent1" w:themeShade="BF"/>
    </w:rPr>
  </w:style>
  <w:style w:type="character" w:styleId="IntenseReference">
    <w:name w:val="Intense Reference"/>
    <w:basedOn w:val="DefaultParagraphFont"/>
    <w:uiPriority w:val="32"/>
    <w:qFormat/>
    <w:rsid w:val="003C486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481</Words>
  <Characters>2829</Characters>
  <Application>Microsoft Office Word</Application>
  <DocSecurity>0</DocSecurity>
  <Lines>45</Lines>
  <Paragraphs>15</Paragraphs>
  <ScaleCrop>false</ScaleCrop>
  <Company/>
  <LinksUpToDate>false</LinksUpToDate>
  <CharactersWithSpaces>3295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2026-03-17T10:55:00Z</dcterms:created>
  <dcterms:modified xsi:type="dcterms:W3CDTF">2026-03-17T10:56:00Z</dcterms:modified>
</cp:coreProperties>
</file>