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jc w:val="left"/>
        <w:rPr>
          <w:rFonts w:ascii="Avenir" w:cs="Avenir" w:eastAsia="Avenir" w:hAnsi="Avenir"/>
        </w:rPr>
      </w:pPr>
      <w:bookmarkStart w:colFirst="0" w:colLast="0" w:name="_mnnfz2l2rq2j" w:id="0"/>
      <w:bookmarkEnd w:id="0"/>
      <w:r w:rsidDel="00000000" w:rsidR="00000000" w:rsidRPr="00000000">
        <w:rPr>
          <w:rFonts w:ascii="Avenir" w:cs="Avenir" w:eastAsia="Avenir" w:hAnsi="Avenir"/>
          <w:rtl w:val="0"/>
        </w:rPr>
        <w:t xml:space="preserve">STIsim: a co-transmission model of gonorrhea, chlamydia, trichomoniasis, and HIV</w:t>
      </w:r>
    </w:p>
    <w:p w:rsidR="00000000" w:rsidDel="00000000" w:rsidP="00000000" w:rsidRDefault="00000000" w:rsidRPr="00000000" w14:paraId="00000002">
      <w:pPr>
        <w:pStyle w:val="Heading1"/>
        <w:rPr/>
      </w:pPr>
      <w:bookmarkStart w:colFirst="0" w:colLast="0" w:name="_huz60xjlb13o" w:id="1"/>
      <w:bookmarkEnd w:id="1"/>
      <w:r w:rsidDel="00000000" w:rsidR="00000000" w:rsidRPr="00000000">
        <w:rPr>
          <w:rtl w:val="0"/>
        </w:rPr>
      </w:r>
    </w:p>
    <w:sdt>
      <w:sdtPr>
        <w:id w:val="-621035715"/>
        <w:docPartObj>
          <w:docPartGallery w:val="Table of Contents"/>
          <w:docPartUnique w:val="1"/>
        </w:docPartObj>
      </w:sdtPr>
      <w:sdtContent>
        <w:p w:rsidR="00000000" w:rsidDel="00000000" w:rsidP="00000000" w:rsidRDefault="00000000" w:rsidRPr="00000000" w14:paraId="00000003">
          <w:pPr>
            <w:widowControl w:val="0"/>
            <w:tabs>
              <w:tab w:val="right" w:leader="none" w:pos="12000"/>
            </w:tabs>
            <w:spacing w:before="60" w:line="240" w:lineRule="auto"/>
            <w:jc w:val="left"/>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2kkg4fvwqs4a">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STI model parameters</w:t>
              <w:tab/>
              <w:t xml:space="preserve">2</w:t>
            </w:r>
          </w:hyperlink>
          <w:r w:rsidDel="00000000" w:rsidR="00000000" w:rsidRPr="00000000">
            <w:rPr>
              <w:rtl w:val="0"/>
            </w:rPr>
          </w:r>
        </w:p>
        <w:p w:rsidR="00000000" w:rsidDel="00000000" w:rsidP="00000000" w:rsidRDefault="00000000" w:rsidRPr="00000000" w14:paraId="00000004">
          <w:pPr>
            <w:widowControl w:val="0"/>
            <w:tabs>
              <w:tab w:val="right" w:leader="none" w:pos="12000"/>
            </w:tabs>
            <w:spacing w:before="60" w:line="240" w:lineRule="auto"/>
            <w:jc w:val="left"/>
            <w:rPr>
              <w:b w:val="1"/>
              <w:color w:val="000000"/>
              <w:u w:val="none"/>
            </w:rPr>
          </w:pPr>
          <w:hyperlink w:anchor="_3yzb6wwa84g5">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Zimbabwe’s national VDS treatment guidelines</w:t>
              <w:tab/>
              <w:t xml:space="preserve">3</w:t>
            </w:r>
          </w:hyperlink>
          <w:r w:rsidDel="00000000" w:rsidR="00000000" w:rsidRPr="00000000">
            <w:rPr>
              <w:rtl w:val="0"/>
            </w:rPr>
          </w:r>
        </w:p>
        <w:p w:rsidR="00000000" w:rsidDel="00000000" w:rsidP="00000000" w:rsidRDefault="00000000" w:rsidRPr="00000000" w14:paraId="00000005">
          <w:pPr>
            <w:widowControl w:val="0"/>
            <w:tabs>
              <w:tab w:val="right" w:leader="none" w:pos="12000"/>
            </w:tabs>
            <w:spacing w:before="60" w:line="240" w:lineRule="auto"/>
            <w:jc w:val="left"/>
            <w:rPr>
              <w:b w:val="1"/>
              <w:color w:val="000000"/>
              <w:u w:val="none"/>
            </w:rPr>
          </w:pPr>
          <w:hyperlink w:anchor="_4di0ooepufqk">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HIV model</w:t>
              <w:tab/>
              <w:t xml:space="preserve">3</w:t>
            </w:r>
          </w:hyperlink>
          <w:r w:rsidDel="00000000" w:rsidR="00000000" w:rsidRPr="00000000">
            <w:rPr>
              <w:rtl w:val="0"/>
            </w:rPr>
          </w:r>
        </w:p>
        <w:p w:rsidR="00000000" w:rsidDel="00000000" w:rsidP="00000000" w:rsidRDefault="00000000" w:rsidRPr="00000000" w14:paraId="00000006">
          <w:pPr>
            <w:widowControl w:val="0"/>
            <w:tabs>
              <w:tab w:val="right" w:leader="none" w:pos="12000"/>
            </w:tabs>
            <w:spacing w:before="60" w:line="240" w:lineRule="auto"/>
            <w:ind w:left="360" w:firstLine="0"/>
            <w:jc w:val="left"/>
            <w:rPr>
              <w:color w:val="000000"/>
              <w:u w:val="none"/>
            </w:rPr>
          </w:pPr>
          <w:hyperlink w:anchor="_rr7beqgflom4">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Natural history</w:t>
              <w:tab/>
              <w:t xml:space="preserve">4</w:t>
            </w:r>
          </w:hyperlink>
          <w:r w:rsidDel="00000000" w:rsidR="00000000" w:rsidRPr="00000000">
            <w:rPr>
              <w:rtl w:val="0"/>
            </w:rPr>
          </w:r>
        </w:p>
        <w:p w:rsidR="00000000" w:rsidDel="00000000" w:rsidP="00000000" w:rsidRDefault="00000000" w:rsidRPr="00000000" w14:paraId="00000007">
          <w:pPr>
            <w:widowControl w:val="0"/>
            <w:tabs>
              <w:tab w:val="right" w:leader="none" w:pos="12000"/>
            </w:tabs>
            <w:spacing w:before="60" w:line="240" w:lineRule="auto"/>
            <w:ind w:left="720" w:firstLine="0"/>
            <w:jc w:val="left"/>
            <w:rPr>
              <w:color w:val="000000"/>
              <w:u w:val="none"/>
            </w:rPr>
          </w:pPr>
          <w:hyperlink w:anchor="_u9meoo7neyri">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Untreated infection</w:t>
              <w:tab/>
              <w:t xml:space="preserve">4</w:t>
            </w:r>
          </w:hyperlink>
          <w:r w:rsidDel="00000000" w:rsidR="00000000" w:rsidRPr="00000000">
            <w:rPr>
              <w:rtl w:val="0"/>
            </w:rPr>
          </w:r>
        </w:p>
        <w:p w:rsidR="00000000" w:rsidDel="00000000" w:rsidP="00000000" w:rsidRDefault="00000000" w:rsidRPr="00000000" w14:paraId="00000008">
          <w:pPr>
            <w:widowControl w:val="0"/>
            <w:tabs>
              <w:tab w:val="right" w:leader="none" w:pos="12000"/>
            </w:tabs>
            <w:spacing w:before="60" w:line="240" w:lineRule="auto"/>
            <w:ind w:left="1080" w:firstLine="0"/>
            <w:jc w:val="left"/>
            <w:rPr>
              <w:color w:val="000000"/>
              <w:u w:val="none"/>
            </w:rPr>
          </w:pPr>
          <w:hyperlink w:anchor="_56ueih21j5u8">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Acute and latent infection</w:t>
              <w:tab/>
              <w:t xml:space="preserve">4</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before="60" w:line="240" w:lineRule="auto"/>
            <w:ind w:left="1080" w:firstLine="0"/>
            <w:jc w:val="left"/>
            <w:rPr>
              <w:color w:val="000000"/>
              <w:u w:val="none"/>
            </w:rPr>
          </w:pPr>
          <w:hyperlink w:anchor="_gq8u3xyip2sy">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Late-stage infection, AIDS, and AIDS-related death</w:t>
              <w:tab/>
              <w:t xml:space="preserve">4</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before="60" w:line="240" w:lineRule="auto"/>
            <w:ind w:left="1080" w:firstLine="0"/>
            <w:jc w:val="left"/>
            <w:rPr>
              <w:color w:val="000000"/>
              <w:u w:val="none"/>
            </w:rPr>
          </w:pPr>
          <w:hyperlink w:anchor="_m1qiagpvh8jx">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Mortality</w:t>
              <w:tab/>
              <w:t xml:space="preserve">4</w:t>
            </w:r>
          </w:hyperlink>
          <w:r w:rsidDel="00000000" w:rsidR="00000000" w:rsidRPr="00000000">
            <w:rPr>
              <w:rtl w:val="0"/>
            </w:rPr>
          </w:r>
        </w:p>
        <w:p w:rsidR="00000000" w:rsidDel="00000000" w:rsidP="00000000" w:rsidRDefault="00000000" w:rsidRPr="00000000" w14:paraId="0000000B">
          <w:pPr>
            <w:widowControl w:val="0"/>
            <w:tabs>
              <w:tab w:val="right" w:leader="none" w:pos="12000"/>
            </w:tabs>
            <w:spacing w:before="60" w:line="240" w:lineRule="auto"/>
            <w:ind w:left="720" w:firstLine="0"/>
            <w:jc w:val="left"/>
            <w:rPr>
              <w:color w:val="000000"/>
              <w:u w:val="none"/>
            </w:rPr>
          </w:pPr>
          <w:hyperlink w:anchor="_w78dmhqsa592">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Treated infection</w:t>
              <w:tab/>
              <w:t xml:space="preserve">5</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before="60" w:line="240" w:lineRule="auto"/>
            <w:ind w:left="1080" w:firstLine="0"/>
            <w:jc w:val="left"/>
            <w:rPr>
              <w:color w:val="000000"/>
              <w:u w:val="none"/>
            </w:rPr>
          </w:pPr>
          <w:hyperlink w:anchor="_4y1tsrh4tnno">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CD4 reconstitution</w:t>
              <w:tab/>
              <w:t xml:space="preserve">5</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before="60" w:line="240" w:lineRule="auto"/>
            <w:ind w:left="1080" w:firstLine="0"/>
            <w:jc w:val="left"/>
            <w:rPr>
              <w:color w:val="000000"/>
              <w:u w:val="none"/>
            </w:rPr>
          </w:pPr>
          <w:hyperlink w:anchor="_cqh9eekqkqwk">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Viral dynamics</w:t>
              <w:tab/>
              <w:t xml:space="preserve">6</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before="60" w:line="240" w:lineRule="auto"/>
            <w:ind w:left="1080" w:firstLine="0"/>
            <w:jc w:val="left"/>
            <w:rPr>
              <w:color w:val="000000"/>
              <w:u w:val="none"/>
            </w:rPr>
          </w:pPr>
          <w:hyperlink w:anchor="_62i3iqjreb93">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CD4 decline after treatment cessation</w:t>
              <w:tab/>
              <w:t xml:space="preserve">6</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before="60" w:line="240" w:lineRule="auto"/>
            <w:ind w:left="360" w:firstLine="0"/>
            <w:jc w:val="left"/>
            <w:rPr>
              <w:color w:val="000000"/>
              <w:u w:val="none"/>
            </w:rPr>
          </w:pPr>
          <w:hyperlink w:anchor="_1t8u6zg5yyvn">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Transmission</w:t>
              <w:tab/>
              <w:t xml:space="preserve">7</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before="60" w:line="240" w:lineRule="auto"/>
            <w:ind w:left="360" w:firstLine="0"/>
            <w:jc w:val="left"/>
            <w:rPr>
              <w:color w:val="000000"/>
              <w:u w:val="none"/>
            </w:rPr>
          </w:pPr>
          <w:hyperlink w:anchor="_ovwunzx61idc">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Care-seeking, testing, and treatment</w:t>
              <w:tab/>
              <w:t xml:space="preserve">7</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240" w:lineRule="auto"/>
            <w:jc w:val="left"/>
            <w:rPr>
              <w:b w:val="1"/>
              <w:color w:val="000000"/>
              <w:u w:val="none"/>
            </w:rPr>
          </w:pPr>
          <w:hyperlink w:anchor="_68cy1s2zkcrb">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Interactions between HIV and discharging STIs</w:t>
              <w:tab/>
              <w:t xml:space="preserve">8</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240" w:lineRule="auto"/>
            <w:jc w:val="left"/>
            <w:rPr>
              <w:b w:val="1"/>
              <w:color w:val="000000"/>
              <w:u w:val="none"/>
            </w:rPr>
          </w:pPr>
          <w:hyperlink w:anchor="_j6htt7jq2q2l">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Sexual network</w:t>
              <w:tab/>
              <w:t xml:space="preserve">8</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ind w:left="360" w:firstLine="0"/>
            <w:jc w:val="left"/>
            <w:rPr>
              <w:color w:val="000000"/>
              <w:u w:val="none"/>
            </w:rPr>
          </w:pPr>
          <w:hyperlink w:anchor="_ntj9ul9lros4">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Age and risk categories</w:t>
              <w:tab/>
              <w:t xml:space="preserve">8</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360" w:firstLine="0"/>
            <w:jc w:val="left"/>
            <w:rPr>
              <w:color w:val="000000"/>
              <w:u w:val="none"/>
            </w:rPr>
          </w:pPr>
          <w:hyperlink w:anchor="_aa1eknatt1h7">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Initialization</w:t>
              <w:tab/>
              <w:t xml:space="preserve">9</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360" w:firstLine="0"/>
            <w:jc w:val="left"/>
            <w:rPr>
              <w:color w:val="000000"/>
              <w:u w:val="none"/>
            </w:rPr>
          </w:pPr>
          <w:hyperlink w:anchor="_e0ufms7ugy1b">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Pair formation</w:t>
              <w:tab/>
              <w:t xml:space="preserve">10</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ind w:left="360" w:firstLine="0"/>
            <w:jc w:val="left"/>
            <w:rPr>
              <w:color w:val="000000"/>
              <w:u w:val="none"/>
            </w:rPr>
          </w:pPr>
          <w:hyperlink w:anchor="_xcn3w9mpim26">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Behavior within pairs</w:t>
              <w:tab/>
              <w:t xml:space="preserve">11</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360" w:firstLine="0"/>
            <w:jc w:val="left"/>
            <w:rPr>
              <w:color w:val="000000"/>
              <w:u w:val="none"/>
            </w:rPr>
          </w:pPr>
          <w:hyperlink w:anchor="_3h822jmkvf55">
            <w:r w:rsidDel="00000000" w:rsidR="00000000" w:rsidRPr="00000000">
              <w:rPr>
                <w:rFonts w:ascii="Avenir" w:cs="Avenir" w:eastAsia="Avenir" w:hAnsi="Avenir"/>
                <w:b w:val="0"/>
                <w:i w:val="0"/>
                <w:smallCaps w:val="0"/>
                <w:strike w:val="0"/>
                <w:color w:val="000000"/>
                <w:sz w:val="20"/>
                <w:szCs w:val="20"/>
                <w:u w:val="none"/>
                <w:shd w:fill="auto" w:val="clear"/>
                <w:vertAlign w:val="baseline"/>
                <w:rtl w:val="0"/>
              </w:rPr>
              <w:t xml:space="preserve">Pair dissolution</w:t>
              <w:tab/>
              <w:t xml:space="preserve">11</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jc w:val="left"/>
            <w:rPr>
              <w:b w:val="1"/>
              <w:color w:val="000000"/>
              <w:u w:val="none"/>
            </w:rPr>
          </w:pPr>
          <w:hyperlink w:anchor="_9bdbstcu2zkd">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Model calibration</w:t>
              <w:tab/>
              <w:t xml:space="preserve">11</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jc w:val="left"/>
            <w:rPr>
              <w:b w:val="1"/>
              <w:color w:val="000000"/>
              <w:u w:val="none"/>
            </w:rPr>
          </w:pPr>
          <w:hyperlink w:anchor="_jwpnjgd3idtt">
            <w:r w:rsidDel="00000000" w:rsidR="00000000" w:rsidRPr="00000000">
              <w:rPr>
                <w:b w:val="1"/>
                <w:color w:val="000000"/>
                <w:u w:val="none"/>
                <w:rtl w:val="0"/>
              </w:rPr>
              <w:t xml:space="preserve">Summary of impact of a POC diagnostic</w:t>
              <w:tab/>
              <w:t xml:space="preserve">14</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jc w:val="left"/>
            <w:rPr>
              <w:b w:val="1"/>
              <w:color w:val="000000"/>
              <w:u w:val="none"/>
            </w:rPr>
          </w:pPr>
          <w:hyperlink w:anchor="_fyu4ukefctxp">
            <w:r w:rsidDel="00000000" w:rsidR="00000000" w:rsidRPr="00000000">
              <w:rPr>
                <w:rFonts w:ascii="Avenir" w:cs="Avenir" w:eastAsia="Avenir" w:hAnsi="Avenir"/>
                <w:b w:val="1"/>
                <w:i w:val="0"/>
                <w:smallCaps w:val="0"/>
                <w:strike w:val="0"/>
                <w:color w:val="000000"/>
                <w:sz w:val="20"/>
                <w:szCs w:val="20"/>
                <w:u w:val="none"/>
                <w:shd w:fill="auto" w:val="clear"/>
                <w:vertAlign w:val="baseline"/>
                <w:rtl w:val="0"/>
              </w:rPr>
              <w:t xml:space="preserve">References</w:t>
              <w:tab/>
              <w:t xml:space="preserve">15</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B">
      <w:pPr>
        <w:rPr/>
      </w:pPr>
      <w:r w:rsidDel="00000000" w:rsidR="00000000" w:rsidRPr="00000000">
        <w:br w:type="page"/>
      </w:r>
      <w:r w:rsidDel="00000000" w:rsidR="00000000" w:rsidRPr="00000000">
        <w:rPr>
          <w:rtl w:val="0"/>
        </w:rPr>
      </w:r>
    </w:p>
    <w:p w:rsidR="00000000" w:rsidDel="00000000" w:rsidP="00000000" w:rsidRDefault="00000000" w:rsidRPr="00000000" w14:paraId="0000001C">
      <w:pPr>
        <w:rPr>
          <w:rFonts w:ascii="Avenir" w:cs="Avenir" w:eastAsia="Avenir" w:hAnsi="Avenir"/>
        </w:rPr>
      </w:pPr>
      <w:r w:rsidDel="00000000" w:rsidR="00000000" w:rsidRPr="00000000">
        <w:rPr>
          <w:rtl w:val="0"/>
        </w:rPr>
      </w:r>
    </w:p>
    <w:p w:rsidR="00000000" w:rsidDel="00000000" w:rsidP="00000000" w:rsidRDefault="00000000" w:rsidRPr="00000000" w14:paraId="0000001D">
      <w:pPr>
        <w:pStyle w:val="Heading1"/>
        <w:rPr>
          <w:rFonts w:ascii="Avenir" w:cs="Avenir" w:eastAsia="Avenir" w:hAnsi="Avenir"/>
          <w:sz w:val="32"/>
          <w:szCs w:val="32"/>
        </w:rPr>
      </w:pPr>
      <w:bookmarkStart w:colFirst="0" w:colLast="0" w:name="_3u2d2yaf97dj" w:id="2"/>
      <w:bookmarkEnd w:id="2"/>
      <w:r w:rsidDel="00000000" w:rsidR="00000000" w:rsidRPr="00000000">
        <w:rPr>
          <w:rtl w:val="0"/>
        </w:rPr>
      </w:r>
    </w:p>
    <w:p w:rsidR="00000000" w:rsidDel="00000000" w:rsidP="00000000" w:rsidRDefault="00000000" w:rsidRPr="00000000" w14:paraId="0000001E">
      <w:pPr>
        <w:pStyle w:val="Heading1"/>
        <w:spacing w:line="240" w:lineRule="auto"/>
        <w:ind w:left="384.00000000000006"/>
        <w:jc w:val="left"/>
        <w:rPr/>
      </w:pPr>
      <w:bookmarkStart w:colFirst="0" w:colLast="0" w:name="_2kkg4fvwqs4a" w:id="3"/>
      <w:bookmarkEnd w:id="3"/>
      <w:r w:rsidDel="00000000" w:rsidR="00000000" w:rsidRPr="00000000">
        <w:rPr>
          <w:rtl w:val="0"/>
        </w:rPr>
        <w:t xml:space="preserve">STI model parameters</w:t>
      </w:r>
    </w:p>
    <w:p w:rsidR="00000000" w:rsidDel="00000000" w:rsidP="00000000" w:rsidRDefault="00000000" w:rsidRPr="00000000" w14:paraId="0000001F">
      <w:pPr>
        <w:rPr/>
      </w:pPr>
      <w:r w:rsidDel="00000000" w:rsidR="00000000" w:rsidRPr="00000000">
        <w:rPr>
          <w:rtl w:val="0"/>
        </w:rPr>
      </w:r>
    </w:p>
    <w:tbl>
      <w:tblPr>
        <w:tblStyle w:val="Table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10"/>
        <w:gridCol w:w="1260"/>
        <w:gridCol w:w="2115"/>
        <w:gridCol w:w="2115"/>
        <w:gridCol w:w="2115"/>
        <w:tblGridChange w:id="0">
          <w:tblGrid>
            <w:gridCol w:w="1410"/>
            <w:gridCol w:w="1260"/>
            <w:gridCol w:w="2115"/>
            <w:gridCol w:w="2115"/>
            <w:gridCol w:w="2115"/>
          </w:tblGrid>
        </w:tblGridChange>
      </w:tblGrid>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20">
            <w:pPr>
              <w:widowControl w:val="0"/>
              <w:spacing w:line="240" w:lineRule="auto"/>
              <w:jc w:val="left"/>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Parameter</w:t>
            </w:r>
          </w:p>
        </w:tc>
        <w:tc>
          <w:tcPr>
            <w:shd w:fill="auto" w:val="clear"/>
            <w:tcMar>
              <w:top w:w="43.2" w:type="dxa"/>
              <w:left w:w="43.2" w:type="dxa"/>
              <w:bottom w:w="43.2" w:type="dxa"/>
              <w:right w:w="43.2" w:type="dxa"/>
            </w:tcMar>
            <w:vAlign w:val="top"/>
          </w:tcPr>
          <w:p w:rsidR="00000000" w:rsidDel="00000000" w:rsidP="00000000" w:rsidRDefault="00000000" w:rsidRPr="00000000" w14:paraId="00000021">
            <w:pPr>
              <w:widowControl w:val="0"/>
              <w:spacing w:line="240" w:lineRule="auto"/>
              <w:jc w:val="left"/>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Interpretation</w:t>
            </w:r>
          </w:p>
        </w:tc>
        <w:tc>
          <w:tcPr>
            <w:shd w:fill="auto" w:val="clear"/>
            <w:tcMar>
              <w:top w:w="43.2" w:type="dxa"/>
              <w:left w:w="43.2" w:type="dxa"/>
              <w:bottom w:w="43.2" w:type="dxa"/>
              <w:right w:w="43.2" w:type="dxa"/>
            </w:tcMar>
            <w:vAlign w:val="top"/>
          </w:tcPr>
          <w:p w:rsidR="00000000" w:rsidDel="00000000" w:rsidP="00000000" w:rsidRDefault="00000000" w:rsidRPr="00000000" w14:paraId="00000022">
            <w:pPr>
              <w:widowControl w:val="0"/>
              <w:spacing w:line="240" w:lineRule="auto"/>
              <w:jc w:val="left"/>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Gonorrhea (NG)</w:t>
            </w:r>
          </w:p>
        </w:tc>
        <w:tc>
          <w:tcPr>
            <w:shd w:fill="auto" w:val="clear"/>
            <w:tcMar>
              <w:top w:w="43.2" w:type="dxa"/>
              <w:left w:w="43.2" w:type="dxa"/>
              <w:bottom w:w="43.2" w:type="dxa"/>
              <w:right w:w="43.2" w:type="dxa"/>
            </w:tcMar>
            <w:vAlign w:val="top"/>
          </w:tcPr>
          <w:p w:rsidR="00000000" w:rsidDel="00000000" w:rsidP="00000000" w:rsidRDefault="00000000" w:rsidRPr="00000000" w14:paraId="00000023">
            <w:pPr>
              <w:widowControl w:val="0"/>
              <w:spacing w:line="240" w:lineRule="auto"/>
              <w:jc w:val="left"/>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Chlamydia (CT)</w:t>
            </w:r>
          </w:p>
        </w:tc>
        <w:tc>
          <w:tcPr>
            <w:shd w:fill="auto" w:val="clear"/>
            <w:tcMar>
              <w:top w:w="43.2" w:type="dxa"/>
              <w:left w:w="43.2" w:type="dxa"/>
              <w:bottom w:w="43.2" w:type="dxa"/>
              <w:right w:w="43.2" w:type="dxa"/>
            </w:tcMar>
            <w:vAlign w:val="top"/>
          </w:tcPr>
          <w:p w:rsidR="00000000" w:rsidDel="00000000" w:rsidP="00000000" w:rsidRDefault="00000000" w:rsidRPr="00000000" w14:paraId="00000024">
            <w:pPr>
              <w:widowControl w:val="0"/>
              <w:spacing w:line="240" w:lineRule="auto"/>
              <w:jc w:val="left"/>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Trichomoniasis (TV)</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25">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p_symp</w:t>
            </w:r>
          </w:p>
        </w:tc>
        <w:tc>
          <w:tcPr>
            <w:shd w:fill="auto" w:val="clear"/>
            <w:tcMar>
              <w:top w:w="43.2" w:type="dxa"/>
              <w:left w:w="43.2" w:type="dxa"/>
              <w:bottom w:w="43.2" w:type="dxa"/>
              <w:right w:w="43.2" w:type="dxa"/>
            </w:tcMar>
            <w:vAlign w:val="top"/>
          </w:tcPr>
          <w:p w:rsidR="00000000" w:rsidDel="00000000" w:rsidP="00000000" w:rsidRDefault="00000000" w:rsidRPr="00000000" w14:paraId="00000026">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Percentage who develop symptoms</w:t>
            </w:r>
          </w:p>
        </w:tc>
        <w:tc>
          <w:tcPr>
            <w:shd w:fill="auto" w:val="clear"/>
            <w:tcMar>
              <w:top w:w="43.2" w:type="dxa"/>
              <w:left w:w="43.2" w:type="dxa"/>
              <w:bottom w:w="43.2" w:type="dxa"/>
              <w:right w:w="43.2" w:type="dxa"/>
            </w:tcMar>
            <w:vAlign w:val="top"/>
          </w:tcPr>
          <w:p w:rsidR="00000000" w:rsidDel="00000000" w:rsidP="00000000" w:rsidRDefault="00000000" w:rsidRPr="00000000" w14:paraId="00000027">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10-20%</w:t>
            </w:r>
          </w:p>
          <w:p w:rsidR="00000000" w:rsidDel="00000000" w:rsidP="00000000" w:rsidRDefault="00000000" w:rsidRPr="00000000" w14:paraId="00000028">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65%</w:t>
            </w:r>
          </w:p>
          <w:p w:rsidR="00000000" w:rsidDel="00000000" w:rsidP="00000000" w:rsidRDefault="00000000" w:rsidRPr="00000000" w14:paraId="00000029">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Wide ranges in symptomaticity are reported in the literature, with </w:t>
            </w:r>
            <w:r w:rsidDel="00000000" w:rsidR="00000000" w:rsidRPr="00000000">
              <w:rPr>
                <w:rFonts w:ascii="Calibri" w:cs="Calibri" w:eastAsia="Calibri" w:hAnsi="Calibri"/>
                <w:b w:val="1"/>
                <w:sz w:val="18"/>
                <w:szCs w:val="18"/>
                <w:rtl w:val="0"/>
              </w:rPr>
              <w:t xml:space="preserve">50–90%</w:t>
            </w:r>
            <w:r w:rsidDel="00000000" w:rsidR="00000000" w:rsidRPr="00000000">
              <w:rPr>
                <w:rFonts w:ascii="Calibri" w:cs="Calibri" w:eastAsia="Calibri" w:hAnsi="Calibri"/>
                <w:sz w:val="18"/>
                <w:szCs w:val="18"/>
                <w:rtl w:val="0"/>
              </w:rPr>
              <w:t xml:space="preserve"> of infections in women reported to be asymptomatic </w:t>
            </w:r>
            <w:r w:rsidDel="00000000" w:rsidR="00000000" w:rsidRPr="00000000">
              <w:rPr>
                <w:rFonts w:ascii="Calibri" w:cs="Calibri" w:eastAsia="Calibri" w:hAnsi="Calibri"/>
                <w:sz w:val="18"/>
                <w:szCs w:val="18"/>
                <w:shd w:fill="auto" w:val="clear"/>
                <w:vertAlign w:val="baseline"/>
                <w:rtl w:val="0"/>
              </w:rPr>
              <w:t xml:space="preserve">(1)</w:t>
            </w:r>
            <w:r w:rsidDel="00000000" w:rsidR="00000000" w:rsidRPr="00000000">
              <w:rPr>
                <w:rFonts w:ascii="Calibri" w:cs="Calibri" w:eastAsia="Calibri" w:hAnsi="Calibri"/>
                <w:sz w:val="18"/>
                <w:szCs w:val="18"/>
                <w:rtl w:val="0"/>
              </w:rPr>
              <w:t xml:space="preserve">. Observational studies have reported </w:t>
            </w:r>
            <w:r w:rsidDel="00000000" w:rsidR="00000000" w:rsidRPr="00000000">
              <w:rPr>
                <w:rFonts w:ascii="Calibri" w:cs="Calibri" w:eastAsia="Calibri" w:hAnsi="Calibri"/>
                <w:b w:val="1"/>
                <w:sz w:val="18"/>
                <w:szCs w:val="18"/>
                <w:rtl w:val="0"/>
              </w:rPr>
              <w:t xml:space="preserve">45% </w:t>
            </w:r>
            <w:r w:rsidDel="00000000" w:rsidR="00000000" w:rsidRPr="00000000">
              <w:rPr>
                <w:rFonts w:ascii="Calibri" w:cs="Calibri" w:eastAsia="Calibri" w:hAnsi="Calibri"/>
                <w:sz w:val="18"/>
                <w:szCs w:val="18"/>
                <w:shd w:fill="auto" w:val="clear"/>
                <w:vertAlign w:val="baseline"/>
                <w:rtl w:val="0"/>
              </w:rPr>
              <w:t xml:space="preserve">(2)</w:t>
            </w:r>
            <w:r w:rsidDel="00000000" w:rsidR="00000000" w:rsidRPr="00000000">
              <w:rPr>
                <w:rFonts w:ascii="Calibri" w:cs="Calibri" w:eastAsia="Calibri" w:hAnsi="Calibri"/>
                <w:sz w:val="18"/>
                <w:szCs w:val="18"/>
                <w:rtl w:val="0"/>
              </w:rPr>
              <w:t xml:space="preserve"> and </w:t>
            </w:r>
            <w:r w:rsidDel="00000000" w:rsidR="00000000" w:rsidRPr="00000000">
              <w:rPr>
                <w:rFonts w:ascii="Calibri" w:cs="Calibri" w:eastAsia="Calibri" w:hAnsi="Calibri"/>
                <w:b w:val="1"/>
                <w:sz w:val="18"/>
                <w:szCs w:val="18"/>
                <w:rtl w:val="0"/>
              </w:rPr>
              <w:t xml:space="preserve">55% </w:t>
            </w:r>
            <w:r w:rsidDel="00000000" w:rsidR="00000000" w:rsidRPr="00000000">
              <w:rPr>
                <w:rFonts w:ascii="Calibri" w:cs="Calibri" w:eastAsia="Calibri" w:hAnsi="Calibri"/>
                <w:sz w:val="18"/>
                <w:szCs w:val="18"/>
                <w:shd w:fill="auto" w:val="clear"/>
                <w:vertAlign w:val="baseline"/>
                <w:rtl w:val="0"/>
              </w:rPr>
              <w:t xml:space="preserve">(3)</w:t>
            </w:r>
            <w:r w:rsidDel="00000000" w:rsidR="00000000" w:rsidRPr="00000000">
              <w:rPr>
                <w:rFonts w:ascii="Calibri" w:cs="Calibri" w:eastAsia="Calibri" w:hAnsi="Calibri"/>
                <w:sz w:val="18"/>
                <w:szCs w:val="18"/>
                <w:rtl w:val="0"/>
              </w:rPr>
              <w:t xml:space="preserve"> for males. We assume </w:t>
            </w:r>
            <w:r w:rsidDel="00000000" w:rsidR="00000000" w:rsidRPr="00000000">
              <w:rPr>
                <w:rFonts w:ascii="Calibri" w:cs="Calibri" w:eastAsia="Calibri" w:hAnsi="Calibri"/>
                <w:b w:val="1"/>
                <w:sz w:val="18"/>
                <w:szCs w:val="18"/>
                <w:rtl w:val="0"/>
              </w:rPr>
              <w:t xml:space="preserve">65%</w:t>
            </w:r>
            <w:r w:rsidDel="00000000" w:rsidR="00000000" w:rsidRPr="00000000">
              <w:rPr>
                <w:rFonts w:ascii="Calibri" w:cs="Calibri" w:eastAsia="Calibri" w:hAnsi="Calibri"/>
                <w:sz w:val="18"/>
                <w:szCs w:val="18"/>
                <w:rtl w:val="0"/>
              </w:rPr>
              <w:t xml:space="preserve"> of men develop symptoms, in line with </w:t>
            </w:r>
            <w:r w:rsidDel="00000000" w:rsidR="00000000" w:rsidRPr="00000000">
              <w:rPr>
                <w:rFonts w:ascii="Calibri" w:cs="Calibri" w:eastAsia="Calibri" w:hAnsi="Calibri"/>
                <w:sz w:val="18"/>
                <w:szCs w:val="18"/>
                <w:rtl w:val="0"/>
              </w:rPr>
              <w:t xml:space="preserve">(4)</w:t>
            </w:r>
            <w:r w:rsidDel="00000000" w:rsidR="00000000" w:rsidRPr="00000000">
              <w:rPr>
                <w:rFonts w:ascii="Calibri" w:cs="Calibri" w:eastAsia="Calibri" w:hAnsi="Calibri"/>
                <w:sz w:val="18"/>
                <w:szCs w:val="18"/>
                <w:rtl w:val="0"/>
              </w:rPr>
              <w:t xml:space="preserve">. The symptomatic proportion of women is estimated during calibration from the range 10-20%.</w:t>
            </w:r>
          </w:p>
        </w:tc>
        <w:tc>
          <w:tcPr>
            <w:shd w:fill="auto" w:val="clear"/>
            <w:tcMar>
              <w:top w:w="43.2" w:type="dxa"/>
              <w:left w:w="43.2" w:type="dxa"/>
              <w:bottom w:w="43.2" w:type="dxa"/>
              <w:right w:w="43.2" w:type="dxa"/>
            </w:tcMar>
            <w:vAlign w:val="top"/>
          </w:tcPr>
          <w:p w:rsidR="00000000" w:rsidDel="00000000" w:rsidP="00000000" w:rsidRDefault="00000000" w:rsidRPr="00000000" w14:paraId="0000002A">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10-30%</w:t>
            </w:r>
          </w:p>
          <w:p w:rsidR="00000000" w:rsidDel="00000000" w:rsidP="00000000" w:rsidRDefault="00000000" w:rsidRPr="00000000" w14:paraId="0000002B">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54%</w:t>
            </w:r>
          </w:p>
          <w:p w:rsidR="00000000" w:rsidDel="00000000" w:rsidP="00000000" w:rsidRDefault="00000000" w:rsidRPr="00000000" w14:paraId="0000002C">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For women, the estimated proportion of asymptomatic incident infections ranges from </w:t>
            </w:r>
            <w:r w:rsidDel="00000000" w:rsidR="00000000" w:rsidRPr="00000000">
              <w:rPr>
                <w:rFonts w:ascii="Calibri" w:cs="Calibri" w:eastAsia="Calibri" w:hAnsi="Calibri"/>
                <w:b w:val="1"/>
                <w:sz w:val="18"/>
                <w:szCs w:val="18"/>
                <w:rtl w:val="0"/>
              </w:rPr>
              <w:t xml:space="preserve">75-85%</w:t>
            </w:r>
            <w:r w:rsidDel="00000000" w:rsidR="00000000" w:rsidRPr="00000000">
              <w:rPr>
                <w:rFonts w:ascii="Calibri" w:cs="Calibri" w:eastAsia="Calibri" w:hAnsi="Calibri"/>
                <w:sz w:val="18"/>
                <w:szCs w:val="18"/>
                <w:rtl w:val="0"/>
              </w:rPr>
              <w:t xml:space="preserve"> </w:t>
            </w:r>
            <w:r w:rsidDel="00000000" w:rsidR="00000000" w:rsidRPr="00000000">
              <w:rPr>
                <w:rFonts w:ascii="Calibri" w:cs="Calibri" w:eastAsia="Calibri" w:hAnsi="Calibri"/>
                <w:sz w:val="18"/>
                <w:szCs w:val="18"/>
                <w:shd w:fill="auto" w:val="clear"/>
                <w:vertAlign w:val="baseline"/>
                <w:rtl w:val="0"/>
              </w:rPr>
              <w:t xml:space="preserve">(4–6)</w:t>
            </w:r>
            <w:r w:rsidDel="00000000" w:rsidR="00000000" w:rsidRPr="00000000">
              <w:rPr>
                <w:rFonts w:ascii="Calibri" w:cs="Calibri" w:eastAsia="Calibri" w:hAnsi="Calibri"/>
                <w:sz w:val="18"/>
                <w:szCs w:val="18"/>
                <w:rtl w:val="0"/>
              </w:rPr>
              <w:t xml:space="preserve">. For men, . We assume </w:t>
            </w:r>
            <w:r w:rsidDel="00000000" w:rsidR="00000000" w:rsidRPr="00000000">
              <w:rPr>
                <w:rFonts w:ascii="Calibri" w:cs="Calibri" w:eastAsia="Calibri" w:hAnsi="Calibri"/>
                <w:b w:val="1"/>
                <w:sz w:val="18"/>
                <w:szCs w:val="18"/>
                <w:rtl w:val="0"/>
              </w:rPr>
              <w:t xml:space="preserve">54%</w:t>
            </w:r>
            <w:r w:rsidDel="00000000" w:rsidR="00000000" w:rsidRPr="00000000">
              <w:rPr>
                <w:rFonts w:ascii="Calibri" w:cs="Calibri" w:eastAsia="Calibri" w:hAnsi="Calibri"/>
                <w:sz w:val="18"/>
                <w:szCs w:val="18"/>
                <w:rtl w:val="0"/>
              </w:rPr>
              <w:t xml:space="preserve"> of men are symptomatic </w:t>
            </w:r>
            <w:r w:rsidDel="00000000" w:rsidR="00000000" w:rsidRPr="00000000">
              <w:rPr>
                <w:rFonts w:ascii="Calibri" w:cs="Calibri" w:eastAsia="Calibri" w:hAnsi="Calibri"/>
                <w:sz w:val="18"/>
                <w:szCs w:val="18"/>
                <w:rtl w:val="0"/>
              </w:rPr>
              <w:t xml:space="preserve">(4)</w:t>
            </w:r>
            <w:r w:rsidDel="00000000" w:rsidR="00000000" w:rsidRPr="00000000">
              <w:rPr>
                <w:rFonts w:ascii="Calibri" w:cs="Calibri" w:eastAsia="Calibri" w:hAnsi="Calibri"/>
                <w:sz w:val="18"/>
                <w:szCs w:val="18"/>
                <w:rtl w:val="0"/>
              </w:rPr>
              <w:t xml:space="preserve">. The symptomatic proportion of women is estimated during calibration from the range 10-30%.</w:t>
            </w:r>
          </w:p>
        </w:tc>
        <w:tc>
          <w:tcPr>
            <w:shd w:fill="auto" w:val="clear"/>
            <w:tcMar>
              <w:top w:w="43.2" w:type="dxa"/>
              <w:left w:w="43.2" w:type="dxa"/>
              <w:bottom w:w="43.2" w:type="dxa"/>
              <w:right w:w="43.2" w:type="dxa"/>
            </w:tcMar>
            <w:vAlign w:val="top"/>
          </w:tcPr>
          <w:p w:rsidR="00000000" w:rsidDel="00000000" w:rsidP="00000000" w:rsidRDefault="00000000" w:rsidRPr="00000000" w14:paraId="0000002D">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15-75%</w:t>
            </w:r>
          </w:p>
          <w:p w:rsidR="00000000" w:rsidDel="00000000" w:rsidP="00000000" w:rsidRDefault="00000000" w:rsidRPr="00000000" w14:paraId="0000002E">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50%</w:t>
            </w:r>
          </w:p>
          <w:p w:rsidR="00000000" w:rsidDel="00000000" w:rsidP="00000000" w:rsidRDefault="00000000" w:rsidRPr="00000000" w14:paraId="0000002F">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Estimates of the share of women with asymptomatic infection range from </w:t>
            </w:r>
            <w:r w:rsidDel="00000000" w:rsidR="00000000" w:rsidRPr="00000000">
              <w:rPr>
                <w:rFonts w:ascii="Calibri" w:cs="Calibri" w:eastAsia="Calibri" w:hAnsi="Calibri"/>
                <w:b w:val="1"/>
                <w:sz w:val="18"/>
                <w:szCs w:val="18"/>
                <w:rtl w:val="0"/>
              </w:rPr>
              <w:t xml:space="preserve">25-85% </w:t>
            </w:r>
            <w:r w:rsidDel="00000000" w:rsidR="00000000" w:rsidRPr="00000000">
              <w:rPr>
                <w:rFonts w:ascii="Calibri" w:cs="Calibri" w:eastAsia="Calibri" w:hAnsi="Calibri"/>
                <w:sz w:val="18"/>
                <w:szCs w:val="18"/>
                <w:shd w:fill="auto" w:val="clear"/>
                <w:vertAlign w:val="baseline"/>
                <w:rtl w:val="0"/>
              </w:rPr>
              <w:t xml:space="preserve">(7,8)</w:t>
            </w:r>
            <w:r w:rsidDel="00000000" w:rsidR="00000000" w:rsidRPr="00000000">
              <w:rPr>
                <w:rFonts w:ascii="Calibri" w:cs="Calibri" w:eastAsia="Calibri" w:hAnsi="Calibri"/>
                <w:sz w:val="18"/>
                <w:szCs w:val="18"/>
                <w:rtl w:val="0"/>
              </w:rPr>
              <w:t xml:space="preserve">. While there is little data on men, we follow assumptions used by Bowden and Garnett </w:t>
            </w:r>
            <w:r w:rsidDel="00000000" w:rsidR="00000000" w:rsidRPr="00000000">
              <w:rPr>
                <w:rFonts w:ascii="Calibri" w:cs="Calibri" w:eastAsia="Calibri" w:hAnsi="Calibri"/>
                <w:sz w:val="18"/>
                <w:szCs w:val="18"/>
                <w:shd w:fill="auto" w:val="clear"/>
                <w:vertAlign w:val="baseline"/>
                <w:rtl w:val="0"/>
              </w:rPr>
              <w:t xml:space="preserve">(9)</w:t>
            </w:r>
            <w:r w:rsidDel="00000000" w:rsidR="00000000" w:rsidRPr="00000000">
              <w:rPr>
                <w:rFonts w:ascii="Calibri" w:cs="Calibri" w:eastAsia="Calibri" w:hAnsi="Calibri"/>
                <w:sz w:val="18"/>
                <w:szCs w:val="18"/>
                <w:rtl w:val="0"/>
              </w:rPr>
              <w:t xml:space="preserve"> that </w:t>
            </w:r>
            <w:r w:rsidDel="00000000" w:rsidR="00000000" w:rsidRPr="00000000">
              <w:rPr>
                <w:rFonts w:ascii="Calibri" w:cs="Calibri" w:eastAsia="Calibri" w:hAnsi="Calibri"/>
                <w:b w:val="1"/>
                <w:sz w:val="18"/>
                <w:szCs w:val="18"/>
                <w:rtl w:val="0"/>
              </w:rPr>
              <w:t xml:space="preserve">50%</w:t>
            </w:r>
            <w:r w:rsidDel="00000000" w:rsidR="00000000" w:rsidRPr="00000000">
              <w:rPr>
                <w:rFonts w:ascii="Calibri" w:cs="Calibri" w:eastAsia="Calibri" w:hAnsi="Calibri"/>
                <w:sz w:val="18"/>
                <w:szCs w:val="18"/>
                <w:rtl w:val="0"/>
              </w:rPr>
              <w:t xml:space="preserve"> of men will develop symptoms. The symptomatic proportion of women is estimated during calibration from the range 15-75%.</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30">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p_clear</w:t>
            </w:r>
          </w:p>
        </w:tc>
        <w:tc>
          <w:tcPr>
            <w:shd w:fill="auto" w:val="clear"/>
            <w:tcMar>
              <w:top w:w="43.2" w:type="dxa"/>
              <w:left w:w="43.2" w:type="dxa"/>
              <w:bottom w:w="43.2" w:type="dxa"/>
              <w:right w:w="43.2" w:type="dxa"/>
            </w:tcMar>
            <w:vAlign w:val="top"/>
          </w:tcPr>
          <w:p w:rsidR="00000000" w:rsidDel="00000000" w:rsidP="00000000" w:rsidRDefault="00000000" w:rsidRPr="00000000" w14:paraId="00000031">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Percentage of infections that naturally clear</w:t>
            </w:r>
          </w:p>
        </w:tc>
        <w:tc>
          <w:tcPr>
            <w:shd w:fill="auto" w:val="clear"/>
            <w:tcMar>
              <w:top w:w="43.2" w:type="dxa"/>
              <w:left w:w="43.2" w:type="dxa"/>
              <w:bottom w:w="43.2" w:type="dxa"/>
              <w:right w:w="43.2" w:type="dxa"/>
            </w:tcMar>
            <w:vAlign w:val="top"/>
          </w:tcPr>
          <w:p w:rsidR="00000000" w:rsidDel="00000000" w:rsidP="00000000" w:rsidRDefault="00000000" w:rsidRPr="00000000" w14:paraId="00000032">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100%</w:t>
            </w:r>
          </w:p>
          <w:p w:rsidR="00000000" w:rsidDel="00000000" w:rsidP="00000000" w:rsidRDefault="00000000" w:rsidRPr="00000000" w14:paraId="00000033">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100%</w:t>
            </w:r>
          </w:p>
          <w:p w:rsidR="00000000" w:rsidDel="00000000" w:rsidP="00000000" w:rsidRDefault="00000000" w:rsidRPr="00000000" w14:paraId="00000034">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All infections are assumed to eventually clear.</w:t>
            </w:r>
          </w:p>
        </w:tc>
        <w:tc>
          <w:tcPr>
            <w:shd w:fill="auto" w:val="clear"/>
            <w:tcMar>
              <w:top w:w="43.2" w:type="dxa"/>
              <w:left w:w="43.2" w:type="dxa"/>
              <w:bottom w:w="43.2" w:type="dxa"/>
              <w:right w:w="43.2" w:type="dxa"/>
            </w:tcMar>
            <w:vAlign w:val="top"/>
          </w:tcPr>
          <w:p w:rsidR="00000000" w:rsidDel="00000000" w:rsidP="00000000" w:rsidRDefault="00000000" w:rsidRPr="00000000" w14:paraId="00000035">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100%</w:t>
            </w:r>
          </w:p>
          <w:p w:rsidR="00000000" w:rsidDel="00000000" w:rsidP="00000000" w:rsidRDefault="00000000" w:rsidRPr="00000000" w14:paraId="00000036">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100%</w:t>
            </w:r>
          </w:p>
          <w:p w:rsidR="00000000" w:rsidDel="00000000" w:rsidP="00000000" w:rsidRDefault="00000000" w:rsidRPr="00000000" w14:paraId="00000037">
            <w:pPr>
              <w:widowControl w:val="0"/>
              <w:spacing w:line="240" w:lineRule="auto"/>
              <w:jc w:val="left"/>
              <w:rPr>
                <w:rFonts w:ascii="Calibri" w:cs="Calibri" w:eastAsia="Calibri" w:hAnsi="Calibri"/>
                <w:sz w:val="18"/>
                <w:szCs w:val="18"/>
                <w:u w:val="single"/>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All infections are assumed to eventually clear.</w:t>
            </w: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038">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10%</w:t>
            </w:r>
          </w:p>
          <w:p w:rsidR="00000000" w:rsidDel="00000000" w:rsidP="00000000" w:rsidRDefault="00000000" w:rsidRPr="00000000" w14:paraId="00000039">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100%</w:t>
            </w:r>
          </w:p>
          <w:p w:rsidR="00000000" w:rsidDel="00000000" w:rsidP="00000000" w:rsidRDefault="00000000" w:rsidRPr="00000000" w14:paraId="0000003A">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Bowden &amp; Garnett argue that an extremely long duration of infection best explains the high prevalence in older age groups </w:t>
            </w:r>
            <w:r w:rsidDel="00000000" w:rsidR="00000000" w:rsidRPr="00000000">
              <w:rPr>
                <w:rFonts w:ascii="Calibri" w:cs="Calibri" w:eastAsia="Calibri" w:hAnsi="Calibri"/>
                <w:sz w:val="18"/>
                <w:szCs w:val="18"/>
                <w:shd w:fill="auto" w:val="clear"/>
                <w:vertAlign w:val="baseline"/>
                <w:rtl w:val="0"/>
              </w:rPr>
              <w:t xml:space="preserve">(9)</w:t>
            </w:r>
            <w:r w:rsidDel="00000000" w:rsidR="00000000" w:rsidRPr="00000000">
              <w:rPr>
                <w:rFonts w:ascii="Calibri" w:cs="Calibri" w:eastAsia="Calibri" w:hAnsi="Calibri"/>
                <w:sz w:val="18"/>
                <w:szCs w:val="18"/>
                <w:rtl w:val="0"/>
              </w:rPr>
              <w:t xml:space="preserve">. Following their model, we assume 90% of women do not clear infection. </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3B">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dur_presymp</w:t>
            </w:r>
          </w:p>
        </w:tc>
        <w:tc>
          <w:tcPr>
            <w:shd w:fill="auto" w:val="clear"/>
            <w:tcMar>
              <w:top w:w="43.2" w:type="dxa"/>
              <w:left w:w="43.2" w:type="dxa"/>
              <w:bottom w:w="43.2" w:type="dxa"/>
              <w:right w:w="43.2" w:type="dxa"/>
            </w:tcMar>
            <w:vAlign w:val="top"/>
          </w:tcPr>
          <w:p w:rsidR="00000000" w:rsidDel="00000000" w:rsidP="00000000" w:rsidRDefault="00000000" w:rsidRPr="00000000" w14:paraId="0000003C">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Time before symptoms appear (weeks)</w:t>
            </w:r>
          </w:p>
        </w:tc>
        <w:tc>
          <w:tcPr>
            <w:shd w:fill="auto" w:val="clear"/>
            <w:tcMar>
              <w:top w:w="43.2" w:type="dxa"/>
              <w:left w:w="43.2" w:type="dxa"/>
              <w:bottom w:w="43.2" w:type="dxa"/>
              <w:right w:w="43.2" w:type="dxa"/>
            </w:tcMar>
            <w:vAlign w:val="top"/>
          </w:tcPr>
          <w:p w:rsidR="00000000" w:rsidDel="00000000" w:rsidP="00000000" w:rsidRDefault="00000000" w:rsidRPr="00000000" w14:paraId="0000003D">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LogN(1, 12)</w:t>
            </w:r>
          </w:p>
          <w:p w:rsidR="00000000" w:rsidDel="00000000" w:rsidP="00000000" w:rsidRDefault="00000000" w:rsidRPr="00000000" w14:paraId="0000003E">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LogN(0.25, 1)</w:t>
            </w:r>
          </w:p>
          <w:p w:rsidR="00000000" w:rsidDel="00000000" w:rsidP="00000000" w:rsidRDefault="00000000" w:rsidRPr="00000000" w14:paraId="0000003F">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For women, the mean time between last sexual contact and onset of symptoms has been observed to take 1 week </w:t>
            </w:r>
            <w:r w:rsidDel="00000000" w:rsidR="00000000" w:rsidRPr="00000000">
              <w:rPr>
                <w:rFonts w:ascii="Calibri" w:cs="Calibri" w:eastAsia="Calibri" w:hAnsi="Calibri"/>
                <w:sz w:val="18"/>
                <w:szCs w:val="18"/>
                <w:shd w:fill="auto" w:val="clear"/>
                <w:vertAlign w:val="baseline"/>
                <w:rtl w:val="0"/>
              </w:rPr>
              <w:t xml:space="preserve">(10)</w:t>
            </w:r>
            <w:r w:rsidDel="00000000" w:rsidR="00000000" w:rsidRPr="00000000">
              <w:rPr>
                <w:rFonts w:ascii="Calibri" w:cs="Calibri" w:eastAsia="Calibri" w:hAnsi="Calibri"/>
                <w:sz w:val="18"/>
                <w:szCs w:val="18"/>
                <w:rtl w:val="0"/>
              </w:rPr>
              <w:t xml:space="preserve">, however symptoms might take months to appear. Symptoms in men appear within days.</w:t>
            </w:r>
          </w:p>
        </w:tc>
        <w:tc>
          <w:tcPr>
            <w:shd w:fill="auto" w:val="clear"/>
            <w:tcMar>
              <w:top w:w="43.2" w:type="dxa"/>
              <w:left w:w="43.2" w:type="dxa"/>
              <w:bottom w:w="43.2" w:type="dxa"/>
              <w:right w:w="43.2" w:type="dxa"/>
            </w:tcMar>
            <w:vAlign w:val="top"/>
          </w:tcPr>
          <w:p w:rsidR="00000000" w:rsidDel="00000000" w:rsidP="00000000" w:rsidRDefault="00000000" w:rsidRPr="00000000" w14:paraId="00000040">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LogN(1, 12)</w:t>
            </w:r>
          </w:p>
          <w:p w:rsidR="00000000" w:rsidDel="00000000" w:rsidP="00000000" w:rsidRDefault="00000000" w:rsidRPr="00000000" w14:paraId="00000041">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LogN(0.25, 1)</w:t>
            </w:r>
          </w:p>
          <w:p w:rsidR="00000000" w:rsidDel="00000000" w:rsidP="00000000" w:rsidRDefault="00000000" w:rsidRPr="00000000" w14:paraId="00000042">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Symptoms in men appear within days. In women, symptoms may appear several months after infection </w:t>
            </w:r>
            <w:r w:rsidDel="00000000" w:rsidR="00000000" w:rsidRPr="00000000">
              <w:rPr>
                <w:rFonts w:ascii="Calibri" w:cs="Calibri" w:eastAsia="Calibri" w:hAnsi="Calibri"/>
                <w:sz w:val="18"/>
                <w:szCs w:val="18"/>
                <w:shd w:fill="auto" w:val="clear"/>
                <w:vertAlign w:val="baseline"/>
                <w:rtl w:val="0"/>
              </w:rPr>
              <w:t xml:space="preserve">(11)</w:t>
            </w:r>
            <w:r w:rsidDel="00000000" w:rsidR="00000000" w:rsidRPr="00000000">
              <w:rPr>
                <w:rFonts w:ascii="Calibri" w:cs="Calibri" w:eastAsia="Calibri" w:hAnsi="Calibri"/>
                <w:sz w:val="18"/>
                <w:szCs w:val="18"/>
                <w:rtl w:val="0"/>
              </w:rPr>
              <w:t xml:space="preserve">. We use a lognormal distribution in which most symptoms in women appear within 1-2 weeks but longer presymptomatic periods are possible.</w:t>
            </w:r>
          </w:p>
        </w:tc>
        <w:tc>
          <w:tcPr>
            <w:shd w:fill="auto" w:val="clear"/>
            <w:tcMar>
              <w:top w:w="43.2" w:type="dxa"/>
              <w:left w:w="43.2" w:type="dxa"/>
              <w:bottom w:w="43.2" w:type="dxa"/>
              <w:right w:w="43.2" w:type="dxa"/>
            </w:tcMar>
            <w:vAlign w:val="top"/>
          </w:tcPr>
          <w:p w:rsidR="00000000" w:rsidDel="00000000" w:rsidP="00000000" w:rsidRDefault="00000000" w:rsidRPr="00000000" w14:paraId="00000043">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LogN(1, 12)</w:t>
            </w:r>
          </w:p>
          <w:p w:rsidR="00000000" w:rsidDel="00000000" w:rsidP="00000000" w:rsidRDefault="00000000" w:rsidRPr="00000000" w14:paraId="00000044">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LogN(0.25, 1)</w:t>
            </w:r>
          </w:p>
          <w:p w:rsidR="00000000" w:rsidDel="00000000" w:rsidP="00000000" w:rsidRDefault="00000000" w:rsidRPr="00000000" w14:paraId="00000045">
            <w:pPr>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In women, T. vaginalis has an incubation period of 5-28 days </w:t>
            </w:r>
            <w:r w:rsidDel="00000000" w:rsidR="00000000" w:rsidRPr="00000000">
              <w:rPr>
                <w:rFonts w:ascii="Calibri" w:cs="Calibri" w:eastAsia="Calibri" w:hAnsi="Calibri"/>
                <w:sz w:val="18"/>
                <w:szCs w:val="18"/>
                <w:shd w:fill="auto" w:val="clear"/>
                <w:vertAlign w:val="baseline"/>
                <w:rtl w:val="0"/>
              </w:rPr>
              <w:t xml:space="preserve">(12)</w:t>
            </w:r>
            <w:r w:rsidDel="00000000" w:rsidR="00000000" w:rsidRPr="00000000">
              <w:rPr>
                <w:rFonts w:ascii="Calibri" w:cs="Calibri" w:eastAsia="Calibri" w:hAnsi="Calibri"/>
                <w:sz w:val="18"/>
                <w:szCs w:val="18"/>
                <w:rtl w:val="0"/>
              </w:rPr>
              <w:t xml:space="preserve">. For men, symptoms should appear within days.</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46">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dur_asymp2clear</w:t>
            </w:r>
          </w:p>
        </w:tc>
        <w:tc>
          <w:tcPr>
            <w:shd w:fill="auto" w:val="clear"/>
            <w:tcMar>
              <w:top w:w="43.2" w:type="dxa"/>
              <w:left w:w="43.2" w:type="dxa"/>
              <w:bottom w:w="43.2" w:type="dxa"/>
              <w:right w:w="43.2" w:type="dxa"/>
            </w:tcMar>
            <w:vAlign w:val="top"/>
          </w:tcPr>
          <w:p w:rsidR="00000000" w:rsidDel="00000000" w:rsidP="00000000" w:rsidRDefault="00000000" w:rsidRPr="00000000" w14:paraId="00000047">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Duration of asymptomatic infection before clearance (months)</w:t>
            </w:r>
          </w:p>
        </w:tc>
        <w:tc>
          <w:tcPr>
            <w:shd w:fill="auto" w:val="clear"/>
            <w:tcMar>
              <w:top w:w="43.2" w:type="dxa"/>
              <w:left w:w="43.2" w:type="dxa"/>
              <w:bottom w:w="43.2" w:type="dxa"/>
              <w:right w:w="43.2" w:type="dxa"/>
            </w:tcMar>
            <w:vAlign w:val="top"/>
          </w:tcPr>
          <w:p w:rsidR="00000000" w:rsidDel="00000000" w:rsidP="00000000" w:rsidRDefault="00000000" w:rsidRPr="00000000" w14:paraId="00000048">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LogN(6, 1.5)</w:t>
            </w:r>
          </w:p>
          <w:p w:rsidR="00000000" w:rsidDel="00000000" w:rsidP="00000000" w:rsidRDefault="00000000" w:rsidRPr="00000000" w14:paraId="00000049">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LogN(4, 1.5)</w:t>
            </w:r>
          </w:p>
          <w:p w:rsidR="00000000" w:rsidDel="00000000" w:rsidP="00000000" w:rsidRDefault="00000000" w:rsidRPr="00000000" w14:paraId="0000004A">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For asymptomatic women, the duration of infection is estimated at 3-12 months, and for asymptomatic men, 3-6 months </w:t>
            </w:r>
            <w:r w:rsidDel="00000000" w:rsidR="00000000" w:rsidRPr="00000000">
              <w:rPr>
                <w:rFonts w:ascii="Calibri" w:cs="Calibri" w:eastAsia="Calibri" w:hAnsi="Calibri"/>
                <w:sz w:val="18"/>
                <w:szCs w:val="18"/>
                <w:shd w:fill="auto" w:val="clear"/>
                <w:vertAlign w:val="baseline"/>
                <w:rtl w:val="0"/>
              </w:rPr>
              <w:t xml:space="preserve">(13)</w:t>
            </w:r>
            <w:r w:rsidDel="00000000" w:rsidR="00000000" w:rsidRPr="00000000">
              <w:rPr>
                <w:rFonts w:ascii="Calibri" w:cs="Calibri" w:eastAsia="Calibri" w:hAnsi="Calibri"/>
                <w:sz w:val="18"/>
                <w:szCs w:val="18"/>
                <w:rtl w:val="0"/>
              </w:rPr>
              <w:t xml:space="preserve">.</w:t>
            </w:r>
          </w:p>
        </w:tc>
        <w:tc>
          <w:tcPr>
            <w:shd w:fill="auto" w:val="clear"/>
            <w:tcMar>
              <w:top w:w="43.2" w:type="dxa"/>
              <w:left w:w="43.2" w:type="dxa"/>
              <w:bottom w:w="43.2" w:type="dxa"/>
              <w:right w:w="43.2" w:type="dxa"/>
            </w:tcMar>
            <w:vAlign w:val="top"/>
          </w:tcPr>
          <w:p w:rsidR="00000000" w:rsidDel="00000000" w:rsidP="00000000" w:rsidRDefault="00000000" w:rsidRPr="00000000" w14:paraId="0000004B">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LogN(14, 1.5)</w:t>
            </w:r>
          </w:p>
          <w:p w:rsidR="00000000" w:rsidDel="00000000" w:rsidP="00000000" w:rsidRDefault="00000000" w:rsidRPr="00000000" w14:paraId="0000004C">
            <w:pPr>
              <w:widowControl w:val="0"/>
              <w:spacing w:line="240" w:lineRule="auto"/>
              <w:jc w:val="left"/>
              <w:rPr>
                <w:rFonts w:ascii="Calibri" w:cs="Calibri" w:eastAsia="Calibri" w:hAnsi="Calibri"/>
                <w:sz w:val="18"/>
                <w:szCs w:val="18"/>
                <w:u w:val="single"/>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LogN(14, 1.5)</w:t>
            </w:r>
            <w:r w:rsidDel="00000000" w:rsidR="00000000" w:rsidRPr="00000000">
              <w:rPr>
                <w:rtl w:val="0"/>
              </w:rPr>
            </w:r>
          </w:p>
          <w:p w:rsidR="00000000" w:rsidDel="00000000" w:rsidP="00000000" w:rsidRDefault="00000000" w:rsidRPr="00000000" w14:paraId="0000004D">
            <w:pPr>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The duration of asymptomatic infection is estimated at 14-15 months for men and women </w:t>
            </w:r>
            <w:r w:rsidDel="00000000" w:rsidR="00000000" w:rsidRPr="00000000">
              <w:rPr>
                <w:rFonts w:ascii="Calibri" w:cs="Calibri" w:eastAsia="Calibri" w:hAnsi="Calibri"/>
                <w:sz w:val="18"/>
                <w:szCs w:val="18"/>
                <w:shd w:fill="auto" w:val="clear"/>
                <w:vertAlign w:val="baseline"/>
                <w:rtl w:val="0"/>
              </w:rPr>
              <w:t xml:space="preserve">(4,14)</w:t>
            </w: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04E">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LogN(36, 3.5)</w:t>
            </w:r>
          </w:p>
          <w:p w:rsidR="00000000" w:rsidDel="00000000" w:rsidP="00000000" w:rsidRDefault="00000000" w:rsidRPr="00000000" w14:paraId="0000004F">
            <w:pPr>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LogN(4, 1)</w:t>
            </w:r>
          </w:p>
          <w:p w:rsidR="00000000" w:rsidDel="00000000" w:rsidP="00000000" w:rsidRDefault="00000000" w:rsidRPr="00000000" w14:paraId="00000050">
            <w:pPr>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Bowden and Garnett assume an average duration of infection in men of 4 months </w:t>
            </w:r>
            <w:r w:rsidDel="00000000" w:rsidR="00000000" w:rsidRPr="00000000">
              <w:rPr>
                <w:rFonts w:ascii="Calibri" w:cs="Calibri" w:eastAsia="Calibri" w:hAnsi="Calibri"/>
                <w:sz w:val="18"/>
                <w:szCs w:val="18"/>
                <w:shd w:fill="auto" w:val="clear"/>
                <w:vertAlign w:val="baseline"/>
                <w:rtl w:val="0"/>
              </w:rPr>
              <w:t xml:space="preserve">(9)</w:t>
            </w:r>
            <w:r w:rsidDel="00000000" w:rsidR="00000000" w:rsidRPr="00000000">
              <w:rPr>
                <w:rFonts w:ascii="Calibri" w:cs="Calibri" w:eastAsia="Calibri" w:hAnsi="Calibri"/>
                <w:sz w:val="18"/>
                <w:szCs w:val="18"/>
                <w:rtl w:val="0"/>
              </w:rPr>
              <w:t xml:space="preserve"> For the 10% of women who spontaneously clear, the average duration of infection is assumed to be 24 months </w:t>
            </w:r>
            <w:r w:rsidDel="00000000" w:rsidR="00000000" w:rsidRPr="00000000">
              <w:rPr>
                <w:rFonts w:ascii="Calibri" w:cs="Calibri" w:eastAsia="Calibri" w:hAnsi="Calibri"/>
                <w:sz w:val="18"/>
                <w:szCs w:val="18"/>
                <w:shd w:fill="auto" w:val="clear"/>
                <w:vertAlign w:val="baseline"/>
                <w:rtl w:val="0"/>
              </w:rPr>
              <w:t xml:space="preserve">(9)</w:t>
            </w:r>
            <w:r w:rsidDel="00000000" w:rsidR="00000000" w:rsidRPr="00000000">
              <w:rPr>
                <w:rFonts w:ascii="Calibri" w:cs="Calibri" w:eastAsia="Calibri" w:hAnsi="Calibri"/>
                <w:sz w:val="18"/>
                <w:szCs w:val="18"/>
                <w:rtl w:val="0"/>
              </w:rPr>
              <w:t xml:space="preserv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51">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dur_symp2clear</w:t>
            </w:r>
          </w:p>
        </w:tc>
        <w:tc>
          <w:tcPr>
            <w:shd w:fill="auto" w:val="clear"/>
            <w:tcMar>
              <w:top w:w="43.2" w:type="dxa"/>
              <w:left w:w="43.2" w:type="dxa"/>
              <w:bottom w:w="43.2" w:type="dxa"/>
              <w:right w:w="43.2" w:type="dxa"/>
            </w:tcMar>
            <w:vAlign w:val="top"/>
          </w:tcPr>
          <w:p w:rsidR="00000000" w:rsidDel="00000000" w:rsidP="00000000" w:rsidRDefault="00000000" w:rsidRPr="00000000" w14:paraId="00000052">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Duration of symptomatic infection before clearance (months)</w:t>
            </w:r>
          </w:p>
        </w:tc>
        <w:tc>
          <w:tcPr>
            <w:shd w:fill="auto" w:val="clear"/>
            <w:tcMar>
              <w:top w:w="43.2" w:type="dxa"/>
              <w:left w:w="43.2" w:type="dxa"/>
              <w:bottom w:w="43.2" w:type="dxa"/>
              <w:right w:w="43.2" w:type="dxa"/>
            </w:tcMar>
            <w:vAlign w:val="top"/>
          </w:tcPr>
          <w:p w:rsidR="00000000" w:rsidDel="00000000" w:rsidP="00000000" w:rsidRDefault="00000000" w:rsidRPr="00000000" w14:paraId="00000053">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LogN(1, 1)</w:t>
            </w:r>
          </w:p>
          <w:p w:rsidR="00000000" w:rsidDel="00000000" w:rsidP="00000000" w:rsidRDefault="00000000" w:rsidRPr="00000000" w14:paraId="00000054">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LogN(0.5, 1)</w:t>
            </w:r>
          </w:p>
          <w:p w:rsidR="00000000" w:rsidDel="00000000" w:rsidP="00000000" w:rsidRDefault="00000000" w:rsidRPr="00000000" w14:paraId="00000055">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For symptomatic women, 3-45 days; for symptomatic men, 3-30 days </w:t>
            </w:r>
            <w:r w:rsidDel="00000000" w:rsidR="00000000" w:rsidRPr="00000000">
              <w:rPr>
                <w:rFonts w:ascii="Calibri" w:cs="Calibri" w:eastAsia="Calibri" w:hAnsi="Calibri"/>
                <w:sz w:val="18"/>
                <w:szCs w:val="18"/>
                <w:shd w:fill="auto" w:val="clear"/>
                <w:vertAlign w:val="baseline"/>
                <w:rtl w:val="0"/>
              </w:rPr>
              <w:t xml:space="preserve">(13)</w:t>
            </w:r>
            <w:r w:rsidDel="00000000" w:rsidR="00000000" w:rsidRPr="00000000">
              <w:rPr>
                <w:rFonts w:ascii="Calibri" w:cs="Calibri" w:eastAsia="Calibri" w:hAnsi="Calibri"/>
                <w:sz w:val="18"/>
                <w:szCs w:val="18"/>
                <w:rtl w:val="0"/>
              </w:rPr>
              <w:t xml:space="preserve">.</w:t>
            </w:r>
          </w:p>
        </w:tc>
        <w:tc>
          <w:tcPr>
            <w:shd w:fill="auto" w:val="clear"/>
            <w:tcMar>
              <w:top w:w="43.2" w:type="dxa"/>
              <w:left w:w="43.2" w:type="dxa"/>
              <w:bottom w:w="43.2" w:type="dxa"/>
              <w:right w:w="43.2" w:type="dxa"/>
            </w:tcMar>
            <w:vAlign w:val="top"/>
          </w:tcPr>
          <w:p w:rsidR="00000000" w:rsidDel="00000000" w:rsidP="00000000" w:rsidRDefault="00000000" w:rsidRPr="00000000" w14:paraId="00000056">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LogN(14, 1.5)</w:t>
            </w:r>
          </w:p>
          <w:p w:rsidR="00000000" w:rsidDel="00000000" w:rsidP="00000000" w:rsidRDefault="00000000" w:rsidRPr="00000000" w14:paraId="00000057">
            <w:pPr>
              <w:widowControl w:val="0"/>
              <w:spacing w:line="240" w:lineRule="auto"/>
              <w:jc w:val="left"/>
              <w:rPr>
                <w:rFonts w:ascii="Calibri" w:cs="Calibri" w:eastAsia="Calibri" w:hAnsi="Calibri"/>
                <w:sz w:val="18"/>
                <w:szCs w:val="18"/>
                <w:u w:val="single"/>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LogN(14, 1.5)</w:t>
            </w:r>
            <w:r w:rsidDel="00000000" w:rsidR="00000000" w:rsidRPr="00000000">
              <w:rPr>
                <w:rtl w:val="0"/>
              </w:rPr>
            </w:r>
          </w:p>
          <w:p w:rsidR="00000000" w:rsidDel="00000000" w:rsidP="00000000" w:rsidRDefault="00000000" w:rsidRPr="00000000" w14:paraId="00000058">
            <w:pPr>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As above</w:t>
            </w:r>
          </w:p>
        </w:tc>
        <w:tc>
          <w:tcPr>
            <w:shd w:fill="auto" w:val="clear"/>
            <w:tcMar>
              <w:top w:w="43.2" w:type="dxa"/>
              <w:left w:w="43.2" w:type="dxa"/>
              <w:bottom w:w="43.2" w:type="dxa"/>
              <w:right w:w="43.2" w:type="dxa"/>
            </w:tcMar>
            <w:vAlign w:val="top"/>
          </w:tcPr>
          <w:p w:rsidR="00000000" w:rsidDel="00000000" w:rsidP="00000000" w:rsidRDefault="00000000" w:rsidRPr="00000000" w14:paraId="00000059">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Women</w:t>
            </w:r>
            <w:r w:rsidDel="00000000" w:rsidR="00000000" w:rsidRPr="00000000">
              <w:rPr>
                <w:rFonts w:ascii="Calibri" w:cs="Calibri" w:eastAsia="Calibri" w:hAnsi="Calibri"/>
                <w:sz w:val="18"/>
                <w:szCs w:val="18"/>
                <w:rtl w:val="0"/>
              </w:rPr>
              <w:t xml:space="preserve">: LogN(4.5, 1)</w:t>
            </w:r>
          </w:p>
          <w:p w:rsidR="00000000" w:rsidDel="00000000" w:rsidP="00000000" w:rsidRDefault="00000000" w:rsidRPr="00000000" w14:paraId="0000005A">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Men</w:t>
            </w:r>
            <w:r w:rsidDel="00000000" w:rsidR="00000000" w:rsidRPr="00000000">
              <w:rPr>
                <w:rFonts w:ascii="Calibri" w:cs="Calibri" w:eastAsia="Calibri" w:hAnsi="Calibri"/>
                <w:sz w:val="18"/>
                <w:szCs w:val="18"/>
                <w:rtl w:val="0"/>
              </w:rPr>
              <w:t xml:space="preserve">: LogN(2.5, 1)</w:t>
            </w:r>
          </w:p>
          <w:p w:rsidR="00000000" w:rsidDel="00000000" w:rsidP="00000000" w:rsidRDefault="00000000" w:rsidRPr="00000000" w14:paraId="0000005B">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u w:val="single"/>
                <w:rtl w:val="0"/>
              </w:rPr>
              <w:t xml:space="preserve">Notes</w:t>
            </w:r>
            <w:r w:rsidDel="00000000" w:rsidR="00000000" w:rsidRPr="00000000">
              <w:rPr>
                <w:rFonts w:ascii="Calibri" w:cs="Calibri" w:eastAsia="Calibri" w:hAnsi="Calibri"/>
                <w:sz w:val="18"/>
                <w:szCs w:val="18"/>
                <w:rtl w:val="0"/>
              </w:rPr>
              <w:t xml:space="preserve">: </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5C">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beta</w:t>
            </w:r>
          </w:p>
        </w:tc>
        <w:tc>
          <w:tcPr>
            <w:shd w:fill="auto" w:val="clear"/>
            <w:tcMar>
              <w:top w:w="43.2" w:type="dxa"/>
              <w:left w:w="43.2" w:type="dxa"/>
              <w:bottom w:w="43.2" w:type="dxa"/>
              <w:right w:w="43.2" w:type="dxa"/>
            </w:tcMar>
            <w:vAlign w:val="top"/>
          </w:tcPr>
          <w:p w:rsidR="00000000" w:rsidDel="00000000" w:rsidP="00000000" w:rsidRDefault="00000000" w:rsidRPr="00000000" w14:paraId="0000005D">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Per-act transmission </w:t>
            </w:r>
          </w:p>
        </w:tc>
        <w:tc>
          <w:tcPr>
            <w:shd w:fill="auto" w:val="clear"/>
            <w:tcMar>
              <w:top w:w="43.2" w:type="dxa"/>
              <w:left w:w="43.2" w:type="dxa"/>
              <w:bottom w:w="43.2" w:type="dxa"/>
              <w:right w:w="43.2" w:type="dxa"/>
            </w:tcMar>
            <w:vAlign w:val="top"/>
          </w:tcPr>
          <w:p w:rsidR="00000000" w:rsidDel="00000000" w:rsidP="00000000" w:rsidRDefault="00000000" w:rsidRPr="00000000" w14:paraId="0000005E">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Estimated: ~12% per act depending on implementation scenario; see Table S10</w:t>
            </w:r>
          </w:p>
        </w:tc>
        <w:tc>
          <w:tcPr>
            <w:shd w:fill="auto" w:val="clear"/>
            <w:tcMar>
              <w:top w:w="43.2" w:type="dxa"/>
              <w:left w:w="43.2" w:type="dxa"/>
              <w:bottom w:w="43.2" w:type="dxa"/>
              <w:right w:w="43.2" w:type="dxa"/>
            </w:tcMar>
            <w:vAlign w:val="top"/>
          </w:tcPr>
          <w:p w:rsidR="00000000" w:rsidDel="00000000" w:rsidP="00000000" w:rsidRDefault="00000000" w:rsidRPr="00000000" w14:paraId="0000005F">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Estimated: ~15% per act depending on implementation scenario; see Table S10</w:t>
            </w:r>
          </w:p>
        </w:tc>
        <w:tc>
          <w:tcPr>
            <w:shd w:fill="auto" w:val="clear"/>
            <w:tcMar>
              <w:top w:w="43.2" w:type="dxa"/>
              <w:left w:w="43.2" w:type="dxa"/>
              <w:bottom w:w="43.2" w:type="dxa"/>
              <w:right w:w="43.2" w:type="dxa"/>
            </w:tcMar>
            <w:vAlign w:val="top"/>
          </w:tcPr>
          <w:p w:rsidR="00000000" w:rsidDel="00000000" w:rsidP="00000000" w:rsidRDefault="00000000" w:rsidRPr="00000000" w14:paraId="00000060">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Estimated: ~14% per act depending on implementation scenario; see Table S10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061">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eff_condom</w:t>
            </w:r>
          </w:p>
        </w:tc>
        <w:tc>
          <w:tcPr>
            <w:shd w:fill="auto" w:val="clear"/>
            <w:tcMar>
              <w:top w:w="43.2" w:type="dxa"/>
              <w:left w:w="43.2" w:type="dxa"/>
              <w:bottom w:w="43.2" w:type="dxa"/>
              <w:right w:w="43.2" w:type="dxa"/>
            </w:tcMar>
            <w:vAlign w:val="top"/>
          </w:tcPr>
          <w:p w:rsidR="00000000" w:rsidDel="00000000" w:rsidP="00000000" w:rsidRDefault="00000000" w:rsidRPr="00000000" w14:paraId="00000062">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Efficacy of condoms  (reduction in beta per act)</w:t>
            </w:r>
          </w:p>
        </w:tc>
        <w:tc>
          <w:tcPr>
            <w:shd w:fill="auto" w:val="clear"/>
            <w:tcMar>
              <w:top w:w="43.2" w:type="dxa"/>
              <w:left w:w="43.2" w:type="dxa"/>
              <w:bottom w:w="43.2" w:type="dxa"/>
              <w:right w:w="43.2" w:type="dxa"/>
            </w:tcMar>
            <w:vAlign w:val="top"/>
          </w:tcPr>
          <w:p w:rsidR="00000000" w:rsidDel="00000000" w:rsidP="00000000" w:rsidRDefault="00000000" w:rsidRPr="00000000" w14:paraId="00000063">
            <w:pPr>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90% </w:t>
            </w:r>
            <w:r w:rsidDel="00000000" w:rsidR="00000000" w:rsidRPr="00000000">
              <w:rPr>
                <w:rFonts w:ascii="Calibri" w:cs="Calibri" w:eastAsia="Calibri" w:hAnsi="Calibri"/>
                <w:sz w:val="18"/>
                <w:szCs w:val="18"/>
                <w:shd w:fill="auto" w:val="clear"/>
                <w:vertAlign w:val="baseline"/>
                <w:rtl w:val="0"/>
              </w:rPr>
              <w:t xml:space="preserve">(15)</w:t>
            </w: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064">
            <w:pPr>
              <w:widowControl w:val="0"/>
              <w:spacing w:line="240" w:lineRule="auto"/>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70% </w:t>
            </w:r>
            <w:r w:rsidDel="00000000" w:rsidR="00000000" w:rsidRPr="00000000">
              <w:rPr>
                <w:rFonts w:ascii="Calibri" w:cs="Calibri" w:eastAsia="Calibri" w:hAnsi="Calibri"/>
                <w:sz w:val="18"/>
                <w:szCs w:val="18"/>
                <w:shd w:fill="auto" w:val="clear"/>
                <w:vertAlign w:val="baseline"/>
                <w:rtl w:val="0"/>
              </w:rPr>
              <w:t xml:space="preserve">(15)</w:t>
            </w: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065">
            <w:pPr>
              <w:jc w:val="left"/>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90% </w:t>
            </w:r>
            <w:r w:rsidDel="00000000" w:rsidR="00000000" w:rsidRPr="00000000">
              <w:rPr>
                <w:rFonts w:ascii="Calibri" w:cs="Calibri" w:eastAsia="Calibri" w:hAnsi="Calibri"/>
                <w:sz w:val="18"/>
                <w:szCs w:val="18"/>
                <w:shd w:fill="auto" w:val="clear"/>
                <w:vertAlign w:val="baseline"/>
                <w:rtl w:val="0"/>
              </w:rPr>
              <w:t xml:space="preserve">(15)</w:t>
            </w:r>
            <w:r w:rsidDel="00000000" w:rsidR="00000000" w:rsidRPr="00000000">
              <w:rPr>
                <w:rtl w:val="0"/>
              </w:rPr>
            </w:r>
          </w:p>
        </w:tc>
      </w:tr>
    </w:tbl>
    <w:p w:rsidR="00000000" w:rsidDel="00000000" w:rsidP="00000000" w:rsidRDefault="00000000" w:rsidRPr="00000000" w14:paraId="00000066">
      <w:pPr>
        <w:rPr/>
      </w:pPr>
      <w:r w:rsidDel="00000000" w:rsidR="00000000" w:rsidRPr="00000000">
        <w:rPr>
          <w:rtl w:val="0"/>
        </w:rPr>
        <w:t xml:space="preserve">Table S1. Parameter sources for models of NG, CT, and TV. LogN is the log-normal distribution.</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pStyle w:val="Heading1"/>
        <w:spacing w:line="240" w:lineRule="auto"/>
        <w:ind w:left="384.00000000000006"/>
        <w:jc w:val="left"/>
        <w:rPr>
          <w:sz w:val="20"/>
          <w:szCs w:val="20"/>
        </w:rPr>
      </w:pPr>
      <w:bookmarkStart w:colFirst="0" w:colLast="0" w:name="_59rehfm5ozsy" w:id="4"/>
      <w:bookmarkEnd w:id="4"/>
      <w:r w:rsidDel="00000000" w:rsidR="00000000" w:rsidRPr="00000000">
        <w:rPr>
          <w:rtl w:val="0"/>
        </w:rPr>
      </w:r>
    </w:p>
    <w:p w:rsidR="00000000" w:rsidDel="00000000" w:rsidP="00000000" w:rsidRDefault="00000000" w:rsidRPr="00000000" w14:paraId="00000069">
      <w:pPr>
        <w:pStyle w:val="Heading1"/>
        <w:spacing w:line="240" w:lineRule="auto"/>
        <w:ind w:left="384.00000000000006"/>
        <w:jc w:val="left"/>
        <w:rPr/>
      </w:pPr>
      <w:bookmarkStart w:colFirst="0" w:colLast="0" w:name="_3yzb6wwa84g5" w:id="5"/>
      <w:bookmarkEnd w:id="5"/>
      <w:r w:rsidDel="00000000" w:rsidR="00000000" w:rsidRPr="00000000">
        <w:rPr>
          <w:rtl w:val="0"/>
        </w:rPr>
        <w:t xml:space="preserve">Zimbabwe’s national VDS treatment guidelines</w:t>
      </w:r>
    </w:p>
    <w:p w:rsidR="00000000" w:rsidDel="00000000" w:rsidP="00000000" w:rsidRDefault="00000000" w:rsidRPr="00000000" w14:paraId="0000006A">
      <w:pPr>
        <w:rPr/>
      </w:pPr>
      <w:r w:rsidDel="00000000" w:rsidR="00000000" w:rsidRPr="00000000">
        <w:rPr>
          <w:rtl w:val="0"/>
        </w:rPr>
        <w:t xml:space="preserve">Figure S1 reproduces Zimbabwe’s national guidelines for the management of vaginal discharge syndrome (VDS). According to these guidelines, women should be given a risk assessment to determine whether treatment for NG and CT is indicated, ideally with the addition of a genital examination with/without speculum depending on patient preferences. Particular factors that should indicate treatment for NG and CT include having a partner who has reported discharge or ulcers; being under 25 years; being unmarried; or having a new/more than one sexual partner in the past three months. Even if a risk assessment is negative, however, treatment for NG+CT should be given if symptoms are considered to be consistent with cervical infection, e.g. profuse/offensive yellow, green or pus-like discharge.</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rFonts w:ascii="Avenir" w:cs="Avenir" w:eastAsia="Avenir" w:hAnsi="Avenir"/>
        </w:rPr>
      </w:pPr>
      <w:r w:rsidDel="00000000" w:rsidR="00000000" w:rsidRPr="00000000">
        <w:rPr/>
        <w:drawing>
          <wp:inline distB="114300" distT="114300" distL="114300" distR="114300">
            <wp:extent cx="5731200" cy="318770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31877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rPr>
          <w:rFonts w:ascii="Avenir" w:cs="Avenir" w:eastAsia="Avenir" w:hAnsi="Avenir"/>
        </w:rPr>
      </w:pPr>
      <w:r w:rsidDel="00000000" w:rsidR="00000000" w:rsidRPr="00000000">
        <w:rPr>
          <w:rtl w:val="0"/>
        </w:rPr>
      </w:r>
    </w:p>
    <w:p w:rsidR="00000000" w:rsidDel="00000000" w:rsidP="00000000" w:rsidRDefault="00000000" w:rsidRPr="00000000" w14:paraId="0000006E">
      <w:pPr>
        <w:pStyle w:val="Heading1"/>
        <w:rPr>
          <w:rFonts w:ascii="Avenir" w:cs="Avenir" w:eastAsia="Avenir" w:hAnsi="Avenir"/>
        </w:rPr>
      </w:pPr>
      <w:bookmarkStart w:colFirst="0" w:colLast="0" w:name="_4di0ooepufqk" w:id="6"/>
      <w:bookmarkEnd w:id="6"/>
      <w:r w:rsidDel="00000000" w:rsidR="00000000" w:rsidRPr="00000000">
        <w:rPr>
          <w:rFonts w:ascii="Avenir" w:cs="Avenir" w:eastAsia="Avenir" w:hAnsi="Avenir"/>
          <w:rtl w:val="0"/>
        </w:rPr>
        <w:t xml:space="preserve">HIV model </w:t>
      </w:r>
    </w:p>
    <w:p w:rsidR="00000000" w:rsidDel="00000000" w:rsidP="00000000" w:rsidRDefault="00000000" w:rsidRPr="00000000" w14:paraId="0000006F">
      <w:pPr>
        <w:rPr/>
      </w:pPr>
      <w:r w:rsidDel="00000000" w:rsidR="00000000" w:rsidRPr="00000000">
        <w:rPr>
          <w:rtl w:val="0"/>
        </w:rPr>
        <w:t xml:space="preserve">In addition to modeling the three curable STIs contributing to VDS, we model HIV transmission, progression, and treatment. We include HIV for two reasons: 1) to leverage the relatively robust data on HIV prevalence, incidence, mortality, and treatment over time to improve calibration of the underlying sexual network; 2) to capture the effects of HIV in shaping the current and future epidemiology of STIs in Zimbabwe, given the well-established interdependence between these infections. Although not yet clearly demonstrated in practice </w:t>
      </w:r>
      <w:r w:rsidDel="00000000" w:rsidR="00000000" w:rsidRPr="00000000">
        <w:rPr>
          <w:shd w:fill="auto" w:val="clear"/>
          <w:vertAlign w:val="baseline"/>
          <w:rtl w:val="0"/>
        </w:rPr>
        <w:t xml:space="preserve">(16–21)</w:t>
      </w:r>
      <w:r w:rsidDel="00000000" w:rsidR="00000000" w:rsidRPr="00000000">
        <w:rPr>
          <w:rtl w:val="0"/>
        </w:rPr>
        <w:t xml:space="preserve">, there is some evidence that improved management of STIs may lead to reductions in HIV incidence </w:t>
      </w:r>
      <w:r w:rsidDel="00000000" w:rsidR="00000000" w:rsidRPr="00000000">
        <w:rPr>
          <w:shd w:fill="auto" w:val="clear"/>
          <w:vertAlign w:val="baseline"/>
          <w:rtl w:val="0"/>
        </w:rPr>
        <w:t xml:space="preserve">(17)</w:t>
      </w:r>
      <w:r w:rsidDel="00000000" w:rsidR="00000000" w:rsidRPr="00000000">
        <w:rPr>
          <w:rtl w:val="0"/>
        </w:rPr>
        <w:t xml:space="preserve">. </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Several of the authors of this paper have previously published documented, tested, and validated models of HIV, including the Optima HIV model </w:t>
      </w:r>
      <w:r w:rsidDel="00000000" w:rsidR="00000000" w:rsidRPr="00000000">
        <w:rPr>
          <w:shd w:fill="auto" w:val="clear"/>
          <w:vertAlign w:val="baseline"/>
          <w:rtl w:val="0"/>
        </w:rPr>
        <w:t xml:space="preserve">(22–25)</w:t>
      </w:r>
      <w:r w:rsidDel="00000000" w:rsidR="00000000" w:rsidRPr="00000000">
        <w:rPr>
          <w:rtl w:val="0"/>
        </w:rPr>
        <w:t xml:space="preserve"> and the EMOD-HIV model </w:t>
      </w:r>
      <w:r w:rsidDel="00000000" w:rsidR="00000000" w:rsidRPr="00000000">
        <w:rPr>
          <w:shd w:fill="auto" w:val="clear"/>
          <w:vertAlign w:val="baseline"/>
          <w:rtl w:val="0"/>
        </w:rPr>
        <w:t xml:space="preserve">(26,27)</w:t>
      </w:r>
      <w:r w:rsidDel="00000000" w:rsidR="00000000" w:rsidRPr="00000000">
        <w:rPr>
          <w:rtl w:val="0"/>
        </w:rPr>
        <w:t xml:space="preserve">. To develop the model of HIV used in this paper, we drew heavily upon our previously published work to inform parameter values, model structure, and other assumptions.</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pStyle w:val="Heading2"/>
        <w:rPr>
          <w:rFonts w:ascii="Avenir" w:cs="Avenir" w:eastAsia="Avenir" w:hAnsi="Avenir"/>
        </w:rPr>
      </w:pPr>
      <w:bookmarkStart w:colFirst="0" w:colLast="0" w:name="_rr7beqgflom4" w:id="7"/>
      <w:bookmarkEnd w:id="7"/>
      <w:r w:rsidDel="00000000" w:rsidR="00000000" w:rsidRPr="00000000">
        <w:rPr>
          <w:rFonts w:ascii="Avenir" w:cs="Avenir" w:eastAsia="Avenir" w:hAnsi="Avenir"/>
          <w:rtl w:val="0"/>
        </w:rPr>
        <w:t xml:space="preserve">Natural history</w:t>
      </w:r>
    </w:p>
    <w:p w:rsidR="00000000" w:rsidDel="00000000" w:rsidP="00000000" w:rsidRDefault="00000000" w:rsidRPr="00000000" w14:paraId="00000074">
      <w:pPr>
        <w:pStyle w:val="Heading3"/>
        <w:rPr>
          <w:rFonts w:ascii="Avenir" w:cs="Avenir" w:eastAsia="Avenir" w:hAnsi="Avenir"/>
        </w:rPr>
      </w:pPr>
      <w:bookmarkStart w:colFirst="0" w:colLast="0" w:name="_u9meoo7neyri" w:id="8"/>
      <w:bookmarkEnd w:id="8"/>
      <w:r w:rsidDel="00000000" w:rsidR="00000000" w:rsidRPr="00000000">
        <w:rPr>
          <w:rFonts w:ascii="Avenir" w:cs="Avenir" w:eastAsia="Avenir" w:hAnsi="Avenir"/>
          <w:rtl w:val="0"/>
        </w:rPr>
        <w:t xml:space="preserve">Untreated infection</w:t>
      </w:r>
    </w:p>
    <w:p w:rsidR="00000000" w:rsidDel="00000000" w:rsidP="00000000" w:rsidRDefault="00000000" w:rsidRPr="00000000" w14:paraId="00000075">
      <w:pPr>
        <w:pStyle w:val="Heading4"/>
        <w:rPr>
          <w:rFonts w:ascii="Avenir" w:cs="Avenir" w:eastAsia="Avenir" w:hAnsi="Avenir"/>
        </w:rPr>
      </w:pPr>
      <w:bookmarkStart w:colFirst="0" w:colLast="0" w:name="_56ueih21j5u8" w:id="9"/>
      <w:bookmarkEnd w:id="9"/>
      <w:r w:rsidDel="00000000" w:rsidR="00000000" w:rsidRPr="00000000">
        <w:rPr>
          <w:rFonts w:ascii="Avenir" w:cs="Avenir" w:eastAsia="Avenir" w:hAnsi="Avenir"/>
          <w:rtl w:val="0"/>
        </w:rPr>
        <w:t xml:space="preserve">Acute and latent infection</w:t>
      </w:r>
    </w:p>
    <w:p w:rsidR="00000000" w:rsidDel="00000000" w:rsidP="00000000" w:rsidRDefault="00000000" w:rsidRPr="00000000" w14:paraId="00000076">
      <w:pPr>
        <w:rPr>
          <w:rFonts w:ascii="Avenir" w:cs="Avenir" w:eastAsia="Avenir" w:hAnsi="Avenir"/>
        </w:rPr>
      </w:pPr>
      <w:r w:rsidDel="00000000" w:rsidR="00000000" w:rsidRPr="00000000">
        <w:rPr>
          <w:rFonts w:ascii="Avenir" w:cs="Avenir" w:eastAsia="Avenir" w:hAnsi="Avenir"/>
          <w:rtl w:val="0"/>
        </w:rPr>
        <w:t xml:space="preserve">Within our model, we use CD4 counts as the key metric for determining an individual's transmissibility and health outcomes. Prior to infection, all agents begin with a baseline level of CD4 cells. There is evidence of notable variation in baseline CD4 counts for HIV-negative individuals both between individuals and across geographies </w:t>
      </w:r>
      <w:r w:rsidDel="00000000" w:rsidR="00000000" w:rsidRPr="00000000">
        <w:rPr>
          <w:rFonts w:ascii="Avenir" w:cs="Avenir" w:eastAsia="Avenir" w:hAnsi="Avenir"/>
          <w:shd w:fill="auto" w:val="clear"/>
          <w:vertAlign w:val="baseline"/>
          <w:rtl w:val="0"/>
        </w:rPr>
        <w:t xml:space="preserve">(28)</w:t>
      </w:r>
      <w:r w:rsidDel="00000000" w:rsidR="00000000" w:rsidRPr="00000000">
        <w:rPr>
          <w:rFonts w:ascii="Avenir" w:cs="Avenir" w:eastAsia="Avenir" w:hAnsi="Avenir"/>
          <w:rtl w:val="0"/>
        </w:rPr>
        <w:t xml:space="preserve">.</w:t>
      </w:r>
      <w:r w:rsidDel="00000000" w:rsidR="00000000" w:rsidRPr="00000000">
        <w:rPr>
          <w:rFonts w:ascii="Avenir" w:cs="Avenir" w:eastAsia="Avenir" w:hAnsi="Avenir"/>
          <w:rtl w:val="0"/>
        </w:rPr>
        <w:t xml:space="preserve"> We assume that the baseline level is normally distributed with a mean of 800 and standard deviation of 50 in line with available studies of similar populations </w:t>
      </w:r>
      <w:r w:rsidDel="00000000" w:rsidR="00000000" w:rsidRPr="00000000">
        <w:rPr>
          <w:rFonts w:ascii="Avenir" w:cs="Avenir" w:eastAsia="Avenir" w:hAnsi="Avenir"/>
          <w:shd w:fill="auto" w:val="clear"/>
          <w:vertAlign w:val="baseline"/>
          <w:rtl w:val="0"/>
        </w:rPr>
        <w:t xml:space="preserve">(29–31)</w:t>
      </w:r>
      <w:r w:rsidDel="00000000" w:rsidR="00000000" w:rsidRPr="00000000">
        <w:rPr>
          <w:rFonts w:ascii="Avenir" w:cs="Avenir" w:eastAsia="Avenir" w:hAnsi="Avenir"/>
          <w:rtl w:val="0"/>
        </w:rPr>
        <w:t xml:space="preserve">. Upon an infection, individuals enter an initial acute stage of infection, characterized by rapidly expanding viral load and falling CD4 counts </w:t>
      </w:r>
      <w:r w:rsidDel="00000000" w:rsidR="00000000" w:rsidRPr="00000000">
        <w:rPr>
          <w:rFonts w:ascii="Avenir" w:cs="Avenir" w:eastAsia="Avenir" w:hAnsi="Avenir"/>
          <w:shd w:fill="auto" w:val="clear"/>
          <w:vertAlign w:val="baseline"/>
          <w:rtl w:val="0"/>
        </w:rPr>
        <w:t xml:space="preserve">(32)</w:t>
      </w:r>
      <w:r w:rsidDel="00000000" w:rsidR="00000000" w:rsidRPr="00000000">
        <w:rPr>
          <w:rFonts w:ascii="Avenir" w:cs="Avenir" w:eastAsia="Avenir" w:hAnsi="Avenir"/>
          <w:rtl w:val="0"/>
        </w:rPr>
        <w:t xml:space="preserve">. This initial acute phase is estimated to last 2.90 (1.23-6.00) months </w:t>
      </w:r>
      <w:r w:rsidDel="00000000" w:rsidR="00000000" w:rsidRPr="00000000">
        <w:rPr>
          <w:rFonts w:ascii="Avenir" w:cs="Avenir" w:eastAsia="Avenir" w:hAnsi="Avenir"/>
          <w:shd w:fill="auto" w:val="clear"/>
          <w:vertAlign w:val="baseline"/>
          <w:rtl w:val="0"/>
        </w:rPr>
        <w:t xml:space="preserve">(33)</w:t>
      </w:r>
      <w:r w:rsidDel="00000000" w:rsidR="00000000" w:rsidRPr="00000000">
        <w:rPr>
          <w:rFonts w:ascii="Avenir" w:cs="Avenir" w:eastAsia="Avenir" w:hAnsi="Avenir"/>
          <w:rtl w:val="0"/>
        </w:rPr>
        <w:t xml:space="preserve">; we represent this by drawing the distribution of acute infection from a log-normal distribution with mean of 3 months and standard deviation of 1 month. During this phase, we assume that CD4 levels decline linearly to reach an initial latent value cd4_latent ~ N(500, 50). </w:t>
      </w:r>
    </w:p>
    <w:p w:rsidR="00000000" w:rsidDel="00000000" w:rsidP="00000000" w:rsidRDefault="00000000" w:rsidRPr="00000000" w14:paraId="00000077">
      <w:pPr>
        <w:rPr>
          <w:rFonts w:ascii="Avenir" w:cs="Avenir" w:eastAsia="Avenir" w:hAnsi="Avenir"/>
        </w:rPr>
      </w:pPr>
      <w:r w:rsidDel="00000000" w:rsidR="00000000" w:rsidRPr="00000000">
        <w:rPr>
          <w:rtl w:val="0"/>
        </w:rPr>
      </w:r>
    </w:p>
    <w:p w:rsidR="00000000" w:rsidDel="00000000" w:rsidP="00000000" w:rsidRDefault="00000000" w:rsidRPr="00000000" w14:paraId="00000078">
      <w:pPr>
        <w:rPr>
          <w:rFonts w:ascii="Avenir" w:cs="Avenir" w:eastAsia="Avenir" w:hAnsi="Avenir"/>
        </w:rPr>
      </w:pPr>
      <w:r w:rsidDel="00000000" w:rsidR="00000000" w:rsidRPr="00000000">
        <w:rPr>
          <w:rFonts w:ascii="Avenir" w:cs="Avenir" w:eastAsia="Avenir" w:hAnsi="Avenir"/>
          <w:rtl w:val="0"/>
        </w:rPr>
        <w:t xml:space="preserve">Latent infe</w:t>
      </w:r>
      <w:r w:rsidDel="00000000" w:rsidR="00000000" w:rsidRPr="00000000">
        <w:rPr>
          <w:rFonts w:ascii="Avenir" w:cs="Avenir" w:eastAsia="Avenir" w:hAnsi="Avenir"/>
          <w:rtl w:val="0"/>
        </w:rPr>
        <w:t xml:space="preserve">ction is a chronic and largely symptomless phase of infection, during which CD4 counts remain relatively stable or gradually declining. The CASCADE study followed ~18,500 individuals and found that the median time from seroconversion to CD4 of 500 was 1.19 (1.12–1.26) years, 4.19 (4.09–4.28) years to CD4 of 350, and 7.93 (7.76–8.09) years until CD4 of 200. In our model, we simplify this process by drawing an overall duration of latent infection from a log-norm</w:t>
      </w:r>
      <w:r w:rsidDel="00000000" w:rsidR="00000000" w:rsidRPr="00000000">
        <w:rPr>
          <w:rFonts w:ascii="Avenir" w:cs="Avenir" w:eastAsia="Avenir" w:hAnsi="Avenir"/>
          <w:rtl w:val="0"/>
        </w:rPr>
        <w:t xml:space="preserve">al distribution with a mean of 12 years and standard deviation of 3 years. During this time, we assume that CD4 levels decline linearly from 500 to 200. </w:t>
      </w:r>
    </w:p>
    <w:p w:rsidR="00000000" w:rsidDel="00000000" w:rsidP="00000000" w:rsidRDefault="00000000" w:rsidRPr="00000000" w14:paraId="00000079">
      <w:pPr>
        <w:pStyle w:val="Heading4"/>
        <w:rPr>
          <w:rFonts w:ascii="Avenir" w:cs="Avenir" w:eastAsia="Avenir" w:hAnsi="Avenir"/>
        </w:rPr>
      </w:pPr>
      <w:bookmarkStart w:colFirst="0" w:colLast="0" w:name="_gq8u3xyip2sy" w:id="10"/>
      <w:bookmarkEnd w:id="10"/>
      <w:r w:rsidDel="00000000" w:rsidR="00000000" w:rsidRPr="00000000">
        <w:rPr>
          <w:rFonts w:ascii="Avenir" w:cs="Avenir" w:eastAsia="Avenir" w:hAnsi="Avenir"/>
          <w:rtl w:val="0"/>
        </w:rPr>
        <w:t xml:space="preserve">Late-stage infection, AIDS, and AIDS-related death</w:t>
      </w:r>
    </w:p>
    <w:p w:rsidR="00000000" w:rsidDel="00000000" w:rsidP="00000000" w:rsidRDefault="00000000" w:rsidRPr="00000000" w14:paraId="0000007A">
      <w:pPr>
        <w:rPr>
          <w:rFonts w:ascii="Avenir" w:cs="Avenir" w:eastAsia="Avenir" w:hAnsi="Avenir"/>
        </w:rPr>
      </w:pPr>
      <w:r w:rsidDel="00000000" w:rsidR="00000000" w:rsidRPr="00000000">
        <w:rPr>
          <w:rFonts w:ascii="Avenir" w:cs="Avenir" w:eastAsia="Avenir" w:hAnsi="Avenir"/>
          <w:rtl w:val="0"/>
        </w:rPr>
        <w:t xml:space="preserve">After this time, CD4 counts begin to decline more rapidly as individuals enter late-stage infection. We again assume that individual CD4 counts decline linearly over this phase, beginning from the level at the conclusion of their latent phase and declining down to zero (corresponding to AIDS-related death) over a period of time which we take to be log-normally distributed with a mean of </w:t>
      </w:r>
      <w:r w:rsidDel="00000000" w:rsidR="00000000" w:rsidRPr="00000000">
        <w:rPr>
          <w:rFonts w:ascii="Avenir" w:cs="Avenir" w:eastAsia="Avenir" w:hAnsi="Avenir"/>
          <w:sz w:val="22"/>
          <w:szCs w:val="22"/>
          <w:rtl w:val="0"/>
        </w:rPr>
        <w:t xml:space="preserve"> 3 years</w:t>
      </w:r>
      <w:r w:rsidDel="00000000" w:rsidR="00000000" w:rsidRPr="00000000">
        <w:rPr>
          <w:rFonts w:ascii="Avenir" w:cs="Avenir" w:eastAsia="Avenir" w:hAnsi="Avenir"/>
          <w:rtl w:val="0"/>
        </w:rPr>
        <w:t xml:space="preserve">, in line with the parameter values used in the Optima HIV model </w:t>
      </w:r>
      <w:r w:rsidDel="00000000" w:rsidR="00000000" w:rsidRPr="00000000">
        <w:rPr>
          <w:rFonts w:ascii="Avenir" w:cs="Avenir" w:eastAsia="Avenir" w:hAnsi="Avenir"/>
          <w:shd w:fill="auto" w:val="clear"/>
          <w:vertAlign w:val="baseline"/>
          <w:rtl w:val="0"/>
        </w:rPr>
        <w:t xml:space="preserve">(23)</w:t>
      </w:r>
      <w:r w:rsidDel="00000000" w:rsidR="00000000" w:rsidRPr="00000000">
        <w:rPr>
          <w:rFonts w:ascii="Avenir" w:cs="Avenir" w:eastAsia="Avenir" w:hAnsi="Avenir"/>
          <w:rtl w:val="0"/>
        </w:rPr>
        <w:t xml:space="preserve">.</w:t>
      </w:r>
      <w:r w:rsidDel="00000000" w:rsidR="00000000" w:rsidRPr="00000000">
        <w:rPr>
          <w:rtl w:val="0"/>
        </w:rPr>
      </w:r>
    </w:p>
    <w:p w:rsidR="00000000" w:rsidDel="00000000" w:rsidP="00000000" w:rsidRDefault="00000000" w:rsidRPr="00000000" w14:paraId="0000007B">
      <w:pPr>
        <w:pStyle w:val="Heading4"/>
        <w:rPr>
          <w:rFonts w:ascii="Avenir" w:cs="Avenir" w:eastAsia="Avenir" w:hAnsi="Avenir"/>
        </w:rPr>
      </w:pPr>
      <w:bookmarkStart w:colFirst="0" w:colLast="0" w:name="_m1qiagpvh8jx" w:id="11"/>
      <w:bookmarkEnd w:id="11"/>
      <w:r w:rsidDel="00000000" w:rsidR="00000000" w:rsidRPr="00000000">
        <w:rPr>
          <w:rFonts w:ascii="Avenir" w:cs="Avenir" w:eastAsia="Avenir" w:hAnsi="Avenir"/>
          <w:rtl w:val="0"/>
        </w:rPr>
        <w:t xml:space="preserve">Mortality</w:t>
      </w:r>
    </w:p>
    <w:p w:rsidR="00000000" w:rsidDel="00000000" w:rsidP="00000000" w:rsidRDefault="00000000" w:rsidRPr="00000000" w14:paraId="0000007C">
      <w:pPr>
        <w:rPr>
          <w:rFonts w:ascii="Avenir" w:cs="Avenir" w:eastAsia="Avenir" w:hAnsi="Avenir"/>
        </w:rPr>
      </w:pPr>
      <w:r w:rsidDel="00000000" w:rsidR="00000000" w:rsidRPr="00000000">
        <w:rPr>
          <w:rFonts w:ascii="Avenir" w:cs="Avenir" w:eastAsia="Avenir" w:hAnsi="Avenir"/>
          <w:rtl w:val="0"/>
        </w:rPr>
        <w:t xml:space="preserve">People with HIV who do not receive treatment are exposed to additional mortality risk throughout the course of their HIV infection. These mortality rates were researched extensively for the Optima HIV model and are documented in the parameter guide </w:t>
      </w:r>
      <w:r w:rsidDel="00000000" w:rsidR="00000000" w:rsidRPr="00000000">
        <w:rPr>
          <w:shd w:fill="auto" w:val="clear"/>
          <w:vertAlign w:val="baseline"/>
          <w:rtl w:val="0"/>
        </w:rPr>
        <w:t xml:space="preserve">(34)</w:t>
      </w:r>
      <w:r w:rsidDel="00000000" w:rsidR="00000000" w:rsidRPr="00000000">
        <w:rPr>
          <w:rFonts w:ascii="Avenir" w:cs="Avenir" w:eastAsia="Avenir" w:hAnsi="Avenir"/>
          <w:rtl w:val="0"/>
        </w:rPr>
        <w:t xml:space="preserve">. These mortality rates are documented in Table S</w:t>
      </w:r>
      <w:r w:rsidDel="00000000" w:rsidR="00000000" w:rsidRPr="00000000">
        <w:rPr>
          <w:rtl w:val="0"/>
        </w:rPr>
        <w:t xml:space="preserve">2</w:t>
      </w:r>
      <w:r w:rsidDel="00000000" w:rsidR="00000000" w:rsidRPr="00000000">
        <w:rPr>
          <w:rFonts w:ascii="Avenir" w:cs="Avenir" w:eastAsia="Avenir" w:hAnsi="Avenir"/>
          <w:rtl w:val="0"/>
        </w:rPr>
        <w:t xml:space="preserve">.</w:t>
      </w:r>
    </w:p>
    <w:p w:rsidR="00000000" w:rsidDel="00000000" w:rsidP="00000000" w:rsidRDefault="00000000" w:rsidRPr="00000000" w14:paraId="0000007D">
      <w:pPr>
        <w:rPr>
          <w:rFonts w:ascii="Avenir" w:cs="Avenir" w:eastAsia="Avenir" w:hAnsi="Avenir"/>
        </w:rPr>
      </w:pPr>
      <w:r w:rsidDel="00000000" w:rsidR="00000000" w:rsidRPr="00000000">
        <w:rPr>
          <w:rtl w:val="0"/>
        </w:rPr>
      </w:r>
    </w:p>
    <w:tbl>
      <w:tblPr>
        <w:tblStyle w:val="Table2"/>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3333333333333"/>
        <w:gridCol w:w="1504.3333333333333"/>
        <w:gridCol w:w="1504.3333333333333"/>
        <w:gridCol w:w="1504.3333333333333"/>
        <w:gridCol w:w="1504.3333333333333"/>
        <w:gridCol w:w="1504.3333333333333"/>
        <w:tblGridChange w:id="0">
          <w:tblGrid>
            <w:gridCol w:w="1504.3333333333333"/>
            <w:gridCol w:w="1504.3333333333333"/>
            <w:gridCol w:w="1504.3333333333333"/>
            <w:gridCol w:w="1504.3333333333333"/>
            <w:gridCol w:w="1504.3333333333333"/>
            <w:gridCol w:w="1504.333333333333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rFonts w:ascii="Avenir" w:cs="Avenir" w:eastAsia="Avenir" w:hAnsi="Avenir"/>
                <w:b w:val="1"/>
              </w:rPr>
            </w:pPr>
            <w:r w:rsidDel="00000000" w:rsidR="00000000" w:rsidRPr="00000000">
              <w:rPr>
                <w:rFonts w:ascii="Avenir" w:cs="Avenir" w:eastAsia="Avenir" w:hAnsi="Avenir"/>
                <w:b w:val="1"/>
                <w:rtl w:val="0"/>
              </w:rPr>
              <w:t xml:space="preserve">CD4 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&gt; 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[350, 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[200, 350]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[50, 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&lt; 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rFonts w:ascii="Avenir" w:cs="Avenir" w:eastAsia="Avenir" w:hAnsi="Avenir"/>
                <w:b w:val="1"/>
              </w:rPr>
            </w:pPr>
            <w:r w:rsidDel="00000000" w:rsidR="00000000" w:rsidRPr="00000000">
              <w:rPr>
                <w:rFonts w:ascii="Avenir" w:cs="Avenir" w:eastAsia="Avenir" w:hAnsi="Avenir"/>
                <w:b w:val="1"/>
                <w:rtl w:val="0"/>
              </w:rPr>
              <w:t xml:space="preserve">Mortality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0.003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0.005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0.05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0.3</w:t>
            </w:r>
          </w:p>
        </w:tc>
      </w:tr>
    </w:tbl>
    <w:p w:rsidR="00000000" w:rsidDel="00000000" w:rsidP="00000000" w:rsidRDefault="00000000" w:rsidRPr="00000000" w14:paraId="0000008A">
      <w:pPr>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2</w:t>
      </w:r>
      <w:r w:rsidDel="00000000" w:rsidR="00000000" w:rsidRPr="00000000">
        <w:rPr>
          <w:rFonts w:ascii="Avenir" w:cs="Avenir" w:eastAsia="Avenir" w:hAnsi="Avenir"/>
          <w:rtl w:val="0"/>
        </w:rPr>
        <w:t xml:space="preserve">: Excess mortality rates associated with HIV by CD4 count</w:t>
      </w:r>
    </w:p>
    <w:p w:rsidR="00000000" w:rsidDel="00000000" w:rsidP="00000000" w:rsidRDefault="00000000" w:rsidRPr="00000000" w14:paraId="0000008B">
      <w:pPr>
        <w:pStyle w:val="Heading3"/>
        <w:rPr>
          <w:rFonts w:ascii="Avenir" w:cs="Avenir" w:eastAsia="Avenir" w:hAnsi="Avenir"/>
        </w:rPr>
      </w:pPr>
      <w:bookmarkStart w:colFirst="0" w:colLast="0" w:name="_w78dmhqsa592" w:id="12"/>
      <w:bookmarkEnd w:id="12"/>
      <w:r w:rsidDel="00000000" w:rsidR="00000000" w:rsidRPr="00000000">
        <w:rPr>
          <w:rFonts w:ascii="Avenir" w:cs="Avenir" w:eastAsia="Avenir" w:hAnsi="Avenir"/>
          <w:rtl w:val="0"/>
        </w:rPr>
        <w:t xml:space="preserve">Treated infection</w:t>
      </w:r>
    </w:p>
    <w:p w:rsidR="00000000" w:rsidDel="00000000" w:rsidP="00000000" w:rsidRDefault="00000000" w:rsidRPr="00000000" w14:paraId="0000008C">
      <w:pPr>
        <w:pStyle w:val="Heading4"/>
        <w:rPr>
          <w:rFonts w:ascii="Avenir" w:cs="Avenir" w:eastAsia="Avenir" w:hAnsi="Avenir"/>
        </w:rPr>
      </w:pPr>
      <w:bookmarkStart w:colFirst="0" w:colLast="0" w:name="_4y1tsrh4tnno" w:id="13"/>
      <w:bookmarkEnd w:id="13"/>
      <w:r w:rsidDel="00000000" w:rsidR="00000000" w:rsidRPr="00000000">
        <w:rPr>
          <w:rFonts w:ascii="Avenir" w:cs="Avenir" w:eastAsia="Avenir" w:hAnsi="Avenir"/>
          <w:rtl w:val="0"/>
        </w:rPr>
        <w:t xml:space="preserve">CD4 reconstitution </w:t>
      </w:r>
    </w:p>
    <w:p w:rsidR="00000000" w:rsidDel="00000000" w:rsidP="00000000" w:rsidRDefault="00000000" w:rsidRPr="00000000" w14:paraId="0000008D">
      <w:pPr>
        <w:rPr>
          <w:rFonts w:ascii="Avenir" w:cs="Avenir" w:eastAsia="Avenir" w:hAnsi="Avenir"/>
        </w:rPr>
      </w:pPr>
      <w:r w:rsidDel="00000000" w:rsidR="00000000" w:rsidRPr="00000000">
        <w:rPr>
          <w:rFonts w:ascii="Avenir" w:cs="Avenir" w:eastAsia="Avenir" w:hAnsi="Avenir"/>
          <w:rtl w:val="0"/>
        </w:rPr>
        <w:t xml:space="preserve">Effective antiretroviral treatment (ART) can suppress viral load (thereby virtually eliminating the risk of transmission) and reconstitute an individual’s CD4 counts </w:t>
      </w:r>
      <w:r w:rsidDel="00000000" w:rsidR="00000000" w:rsidRPr="00000000">
        <w:rPr>
          <w:rFonts w:ascii="Avenir" w:cs="Avenir" w:eastAsia="Avenir" w:hAnsi="Avenir"/>
          <w:shd w:fill="auto" w:val="clear"/>
          <w:vertAlign w:val="baseline"/>
          <w:rtl w:val="0"/>
        </w:rPr>
        <w:t xml:space="preserve">(35–37)</w:t>
      </w:r>
      <w:r w:rsidDel="00000000" w:rsidR="00000000" w:rsidRPr="00000000">
        <w:rPr>
          <w:rFonts w:ascii="Avenir" w:cs="Avenir" w:eastAsia="Avenir" w:hAnsi="Avenir"/>
          <w:rtl w:val="0"/>
        </w:rPr>
        <w:t xml:space="preserve">. There is evidence to suggest that an individual’s potential CD4 level (i.e. the level they will be able to attain after stabilizing on ART) is dependent on their CD4 nadir (i.e. their CD4 level prior to initiating treatment) </w:t>
      </w:r>
      <w:r w:rsidDel="00000000" w:rsidR="00000000" w:rsidRPr="00000000">
        <w:rPr>
          <w:rFonts w:ascii="Avenir" w:cs="Avenir" w:eastAsia="Avenir" w:hAnsi="Avenir"/>
          <w:shd w:fill="auto" w:val="clear"/>
          <w:vertAlign w:val="baseline"/>
          <w:rtl w:val="0"/>
        </w:rPr>
        <w:t xml:space="preserve">(38,39)</w:t>
      </w:r>
      <w:r w:rsidDel="00000000" w:rsidR="00000000" w:rsidRPr="00000000">
        <w:rPr>
          <w:rFonts w:ascii="Avenir" w:cs="Avenir" w:eastAsia="Avenir" w:hAnsi="Avenir"/>
          <w:rtl w:val="0"/>
        </w:rPr>
        <w:t xml:space="preserve">. When an individual initiates treatment, we calculate their potential CD4 count as: </w:t>
      </w:r>
    </w:p>
    <w:p w:rsidR="00000000" w:rsidDel="00000000" w:rsidP="00000000" w:rsidRDefault="00000000" w:rsidRPr="00000000" w14:paraId="0000008E">
      <w:pPr>
        <w:jc w:val="center"/>
        <w:rPr>
          <w:rFonts w:ascii="Avenir" w:cs="Avenir" w:eastAsia="Avenir" w:hAnsi="Avenir"/>
        </w:rPr>
      </w:pPr>
      <m:oMath>
        <m:r>
          <w:rPr>
            <w:rFonts w:ascii="Avenir" w:cs="Avenir" w:eastAsia="Avenir" w:hAnsi="Avenir"/>
          </w:rPr>
          <m:t xml:space="preserve">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potential</m:t>
            </m:r>
          </m:sub>
        </m:sSub>
        <m:r>
          <w:rPr>
            <w:rFonts w:ascii="Avenir" w:cs="Avenir" w:eastAsia="Avenir" w:hAnsi="Avenir"/>
          </w:rPr>
          <m:t xml:space="preserve">=CD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nadir</m:t>
            </m:r>
          </m:sub>
        </m:sSub>
        <m:r>
          <w:rPr>
            <w:rFonts w:ascii="Avenir" w:cs="Avenir" w:eastAsia="Avenir" w:hAnsi="Avenir"/>
          </w:rPr>
          <m:t xml:space="preserve">*</m:t>
        </m:r>
        <m:f>
          <m:fPr>
            <m:ctrlPr>
              <w:rPr>
                <w:rFonts w:ascii="Avenir" w:cs="Avenir" w:eastAsia="Avenir" w:hAnsi="Avenir"/>
              </w:rPr>
            </m:ctrlPr>
          </m:fPr>
          <m:num>
            <m:r>
              <w:rPr>
                <w:rFonts w:ascii="Avenir" w:cs="Avenir" w:eastAsia="Avenir" w:hAnsi="Avenir"/>
              </w:rPr>
              <m:t xml:space="preserve">1000-CD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nadir</m:t>
                </m:r>
              </m:sub>
            </m:sSub>
          </m:num>
          <m:den>
            <m:r>
              <w:rPr>
                <w:rFonts w:ascii="Avenir" w:cs="Avenir" w:eastAsia="Avenir" w:hAnsi="Avenir"/>
              </w:rPr>
              <m:t xml:space="preserve">500*ln(</m:t>
            </m:r>
            <m:f>
              <m:fPr>
                <m:ctrlPr>
                  <w:rPr>
                    <w:rFonts w:ascii="Avenir" w:cs="Avenir" w:eastAsia="Avenir" w:hAnsi="Avenir"/>
                  </w:rPr>
                </m:ctrlPr>
              </m:fPr>
              <m:num>
                <m:r>
                  <w:rPr>
                    <w:rFonts w:ascii="Avenir" w:cs="Avenir" w:eastAsia="Avenir" w:hAnsi="Avenir"/>
                  </w:rPr>
                  <m:t xml:space="preserve">1000</m:t>
                </m:r>
              </m:num>
              <m:den>
                <m:r>
                  <w:rPr>
                    <w:rFonts w:ascii="Avenir" w:cs="Avenir" w:eastAsia="Avenir" w:hAnsi="Avenir"/>
                  </w:rPr>
                  <m:t xml:space="preserve">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nadir</m:t>
                    </m:r>
                  </m:sub>
                </m:sSub>
              </m:den>
            </m:f>
            <m:r>
              <w:rPr>
                <w:rFonts w:ascii="Avenir" w:cs="Avenir" w:eastAsia="Avenir" w:hAnsi="Avenir"/>
              </w:rPr>
              <m:t xml:space="preserve">)</m:t>
            </m:r>
          </m:den>
        </m:f>
      </m:oMath>
      <w:r w:rsidDel="00000000" w:rsidR="00000000" w:rsidRPr="00000000">
        <w:rPr>
          <w:rFonts w:ascii="Avenir" w:cs="Avenir" w:eastAsia="Avenir" w:hAnsi="Avenir"/>
          <w:rtl w:val="0"/>
        </w:rPr>
        <w:t xml:space="preserve">.</w:t>
      </w:r>
    </w:p>
    <w:p w:rsidR="00000000" w:rsidDel="00000000" w:rsidP="00000000" w:rsidRDefault="00000000" w:rsidRPr="00000000" w14:paraId="0000008F">
      <w:pPr>
        <w:rPr>
          <w:rFonts w:ascii="Avenir" w:cs="Avenir" w:eastAsia="Avenir" w:hAnsi="Avenir"/>
        </w:rPr>
      </w:pPr>
      <w:r w:rsidDel="00000000" w:rsidR="00000000" w:rsidRPr="00000000">
        <w:rPr>
          <w:rFonts w:ascii="Avenir" w:cs="Avenir" w:eastAsia="Avenir" w:hAnsi="Avenir"/>
          <w:rtl w:val="0"/>
        </w:rPr>
        <w:t xml:space="preserve">After initiating ART, an individual’s CD4 count is assumed to increase from pre-ART levels up to this potential count, following a logarithmic growth function defined as:</w:t>
      </w:r>
    </w:p>
    <w:p w:rsidR="00000000" w:rsidDel="00000000" w:rsidP="00000000" w:rsidRDefault="00000000" w:rsidRPr="00000000" w14:paraId="00000090">
      <w:pPr>
        <w:rPr>
          <w:rFonts w:ascii="Avenir" w:cs="Avenir" w:eastAsia="Avenir" w:hAnsi="Avenir"/>
        </w:rPr>
      </w:pPr>
      <w:r w:rsidDel="00000000" w:rsidR="00000000" w:rsidRPr="00000000">
        <w:rPr>
          <w:rtl w:val="0"/>
        </w:rPr>
      </w:r>
    </w:p>
    <w:p w:rsidR="00000000" w:rsidDel="00000000" w:rsidP="00000000" w:rsidRDefault="00000000" w:rsidRPr="00000000" w14:paraId="00000091">
      <w:pPr>
        <w:jc w:val="center"/>
        <w:rPr>
          <w:rFonts w:ascii="Avenir" w:cs="Avenir" w:eastAsia="Avenir" w:hAnsi="Avenir"/>
        </w:rPr>
      </w:pPr>
      <m:oMath>
        <m:r>
          <w:rPr>
            <w:rFonts w:ascii="Avenir" w:cs="Avenir" w:eastAsia="Avenir" w:hAnsi="Avenir"/>
          </w:rPr>
          <m:t xml:space="preserve">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t</m:t>
            </m:r>
          </m:sub>
        </m:sSub>
        <m:r>
          <w:rPr>
            <w:rFonts w:ascii="Avenir" w:cs="Avenir" w:eastAsia="Avenir" w:hAnsi="Avenir"/>
          </w:rPr>
          <m:t xml:space="preserve">=</m:t>
        </m:r>
        <m:f>
          <m:fPr>
            <m:ctrlPr>
              <w:rPr>
                <w:rFonts w:ascii="Avenir" w:cs="Avenir" w:eastAsia="Avenir" w:hAnsi="Avenir"/>
                <w:color w:val="a9b7c6"/>
                <w:sz w:val="23"/>
                <w:szCs w:val="23"/>
              </w:rPr>
            </m:ctrlPr>
          </m:fPr>
          <m:num>
            <m:r>
              <w:rPr>
                <w:rFonts w:ascii="Avenir" w:cs="Avenir" w:eastAsia="Avenir" w:hAnsi="Avenir"/>
                <w:color w:val="a9b7c6"/>
                <w:sz w:val="23"/>
                <w:szCs w:val="23"/>
              </w:rPr>
              <m:t xml:space="preserve">2*</m:t>
            </m:r>
            <m:d>
              <m:dPr>
                <m:begChr m:val="("/>
                <m:endChr m:val=")"/>
                <m:ctrlPr>
                  <w:rPr>
                    <w:rFonts w:ascii="Avenir" w:cs="Avenir" w:eastAsia="Avenir" w:hAnsi="Avenir"/>
                    <w:color w:val="a9b7c6"/>
                    <w:sz w:val="23"/>
                    <w:szCs w:val="23"/>
                  </w:rPr>
                </m:ctrlPr>
              </m:dPr>
              <m:e>
                <m:r>
                  <w:rPr>
                    <w:rFonts w:ascii="Avenir" w:cs="Avenir" w:eastAsia="Avenir" w:hAnsi="Avenir"/>
                    <w:color w:val="a9b7c6"/>
                    <w:sz w:val="23"/>
                    <w:szCs w:val="23"/>
                  </w:rPr>
                  <m:t xml:space="preserve">CD</m:t>
                </m:r>
                <m:sSub>
                  <m:sSubPr>
                    <m:ctrlPr>
                      <w:rPr>
                        <w:rFonts w:ascii="Avenir" w:cs="Avenir" w:eastAsia="Avenir" w:hAnsi="Avenir"/>
                        <w:color w:val="a9b7c6"/>
                        <w:sz w:val="23"/>
                        <w:szCs w:val="23"/>
                      </w:rPr>
                    </m:ctrlPr>
                  </m:sSubPr>
                  <m:e>
                    <m:r>
                      <w:rPr>
                        <w:rFonts w:ascii="Avenir" w:cs="Avenir" w:eastAsia="Avenir" w:hAnsi="Avenir"/>
                        <w:color w:val="a9b7c6"/>
                        <w:sz w:val="23"/>
                        <w:szCs w:val="23"/>
                      </w:rPr>
                      <m:t xml:space="preserve">4</m:t>
                    </m:r>
                  </m:e>
                  <m:sub>
                    <m:r>
                      <w:rPr>
                        <w:rFonts w:ascii="Avenir" w:cs="Avenir" w:eastAsia="Avenir" w:hAnsi="Avenir"/>
                        <w:color w:val="a9b7c6"/>
                        <w:sz w:val="23"/>
                        <w:szCs w:val="23"/>
                      </w:rPr>
                      <m:t xml:space="preserve">potential</m:t>
                    </m:r>
                  </m:sub>
                </m:sSub>
                <m:r>
                  <w:rPr>
                    <w:rFonts w:ascii="Avenir" w:cs="Avenir" w:eastAsia="Avenir" w:hAnsi="Avenir"/>
                    <w:color w:val="a9b7c6"/>
                    <w:sz w:val="23"/>
                    <w:szCs w:val="23"/>
                  </w:rPr>
                  <m:t xml:space="preserve">-CD</m:t>
                </m:r>
                <m:sSub>
                  <m:sSubPr>
                    <m:ctrlPr>
                      <w:rPr>
                        <w:rFonts w:ascii="Avenir" w:cs="Avenir" w:eastAsia="Avenir" w:hAnsi="Avenir"/>
                        <w:color w:val="a9b7c6"/>
                        <w:sz w:val="23"/>
                        <w:szCs w:val="23"/>
                      </w:rPr>
                    </m:ctrlPr>
                  </m:sSubPr>
                  <m:e>
                    <m:r>
                      <w:rPr>
                        <w:rFonts w:ascii="Avenir" w:cs="Avenir" w:eastAsia="Avenir" w:hAnsi="Avenir"/>
                        <w:color w:val="a9b7c6"/>
                        <w:sz w:val="23"/>
                        <w:szCs w:val="23"/>
                      </w:rPr>
                      <m:t xml:space="preserve">4</m:t>
                    </m:r>
                  </m:e>
                  <m:sub>
                    <m:r>
                      <w:rPr>
                        <w:rFonts w:ascii="Avenir" w:cs="Avenir" w:eastAsia="Avenir" w:hAnsi="Avenir"/>
                        <w:color w:val="a9b7c6"/>
                        <w:sz w:val="23"/>
                        <w:szCs w:val="23"/>
                      </w:rPr>
                      <m:t xml:space="preserve">nadir</m:t>
                    </m:r>
                  </m:sub>
                </m:sSub>
              </m:e>
            </m:d>
          </m:num>
          <m:den>
            <m:r>
              <w:rPr>
                <w:rFonts w:ascii="Avenir" w:cs="Avenir" w:eastAsia="Avenir" w:hAnsi="Avenir"/>
                <w:color w:val="a9b7c6"/>
                <w:sz w:val="23"/>
                <w:szCs w:val="23"/>
              </w:rPr>
              <m:t xml:space="preserve">1+exp(-kt)</m:t>
            </m:r>
          </m:den>
        </m:f>
        <m:r>
          <w:rPr>
            <w:rFonts w:ascii="Avenir" w:cs="Avenir" w:eastAsia="Avenir" w:hAnsi="Avenir"/>
            <w:color w:val="a9b7c6"/>
            <w:sz w:val="23"/>
            <w:szCs w:val="23"/>
          </w:rPr>
          <m:t xml:space="preserve">-</m:t>
        </m:r>
        <m:d>
          <m:dPr>
            <m:begChr m:val="("/>
            <m:endChr m:val=")"/>
            <m:ctrlPr>
              <w:rPr>
                <w:rFonts w:ascii="Avenir" w:cs="Avenir" w:eastAsia="Avenir" w:hAnsi="Avenir"/>
                <w:color w:val="a9b7c6"/>
                <w:sz w:val="23"/>
                <w:szCs w:val="23"/>
              </w:rPr>
            </m:ctrlPr>
          </m:dPr>
          <m:e>
            <m:r>
              <w:rPr>
                <w:rFonts w:ascii="Avenir" w:cs="Avenir" w:eastAsia="Avenir" w:hAnsi="Avenir"/>
                <w:color w:val="a9b7c6"/>
                <w:sz w:val="23"/>
                <w:szCs w:val="23"/>
              </w:rPr>
              <m:t xml:space="preserve">CD</m:t>
            </m:r>
            <m:sSub>
              <m:sSubPr>
                <m:ctrlPr>
                  <w:rPr>
                    <w:rFonts w:ascii="Avenir" w:cs="Avenir" w:eastAsia="Avenir" w:hAnsi="Avenir"/>
                    <w:color w:val="a9b7c6"/>
                    <w:sz w:val="23"/>
                    <w:szCs w:val="23"/>
                  </w:rPr>
                </m:ctrlPr>
              </m:sSubPr>
              <m:e>
                <m:r>
                  <w:rPr>
                    <w:rFonts w:ascii="Avenir" w:cs="Avenir" w:eastAsia="Avenir" w:hAnsi="Avenir"/>
                    <w:color w:val="a9b7c6"/>
                    <w:sz w:val="23"/>
                    <w:szCs w:val="23"/>
                  </w:rPr>
                  <m:t xml:space="preserve">4</m:t>
                </m:r>
              </m:e>
              <m:sub>
                <m:r>
                  <w:rPr>
                    <w:rFonts w:ascii="Avenir" w:cs="Avenir" w:eastAsia="Avenir" w:hAnsi="Avenir"/>
                    <w:color w:val="a9b7c6"/>
                    <w:sz w:val="23"/>
                    <w:szCs w:val="23"/>
                  </w:rPr>
                  <m:t xml:space="preserve">potential</m:t>
                </m:r>
              </m:sub>
            </m:sSub>
            <m:r>
              <w:rPr>
                <w:rFonts w:ascii="Avenir" w:cs="Avenir" w:eastAsia="Avenir" w:hAnsi="Avenir"/>
                <w:color w:val="a9b7c6"/>
                <w:sz w:val="23"/>
                <w:szCs w:val="23"/>
              </w:rPr>
              <m:t xml:space="preserve">-CD</m:t>
            </m:r>
            <m:sSub>
              <m:sSubPr>
                <m:ctrlPr>
                  <w:rPr>
                    <w:rFonts w:ascii="Avenir" w:cs="Avenir" w:eastAsia="Avenir" w:hAnsi="Avenir"/>
                    <w:color w:val="a9b7c6"/>
                    <w:sz w:val="23"/>
                    <w:szCs w:val="23"/>
                  </w:rPr>
                </m:ctrlPr>
              </m:sSubPr>
              <m:e>
                <m:r>
                  <w:rPr>
                    <w:rFonts w:ascii="Avenir" w:cs="Avenir" w:eastAsia="Avenir" w:hAnsi="Avenir"/>
                    <w:color w:val="a9b7c6"/>
                    <w:sz w:val="23"/>
                    <w:szCs w:val="23"/>
                  </w:rPr>
                  <m:t xml:space="preserve">4</m:t>
                </m:r>
              </m:e>
              <m:sub>
                <m:r>
                  <w:rPr>
                    <w:rFonts w:ascii="Avenir" w:cs="Avenir" w:eastAsia="Avenir" w:hAnsi="Avenir"/>
                    <w:color w:val="a9b7c6"/>
                    <w:sz w:val="23"/>
                    <w:szCs w:val="23"/>
                  </w:rPr>
                  <m:t xml:space="preserve">nadir</m:t>
                </m:r>
              </m:sub>
            </m:sSub>
          </m:e>
        </m:d>
        <m:r>
          <w:rPr>
            <w:rFonts w:ascii="Avenir" w:cs="Avenir" w:eastAsia="Avenir" w:hAnsi="Avenir"/>
            <w:color w:val="a9b7c6"/>
            <w:sz w:val="23"/>
            <w:szCs w:val="23"/>
          </w:rPr>
          <m:t xml:space="preserve">+CD</m:t>
        </m:r>
        <m:sSub>
          <m:sSubPr>
            <m:ctrlPr>
              <w:rPr>
                <w:rFonts w:ascii="Avenir" w:cs="Avenir" w:eastAsia="Avenir" w:hAnsi="Avenir"/>
                <w:color w:val="a9b7c6"/>
                <w:sz w:val="23"/>
                <w:szCs w:val="23"/>
              </w:rPr>
            </m:ctrlPr>
          </m:sSubPr>
          <m:e>
            <m:r>
              <w:rPr>
                <w:rFonts w:ascii="Avenir" w:cs="Avenir" w:eastAsia="Avenir" w:hAnsi="Avenir"/>
                <w:color w:val="a9b7c6"/>
                <w:sz w:val="23"/>
                <w:szCs w:val="23"/>
              </w:rPr>
              <m:t xml:space="preserve">4</m:t>
            </m:r>
          </m:e>
          <m:sub>
            <m:r>
              <w:rPr>
                <w:rFonts w:ascii="Avenir" w:cs="Avenir" w:eastAsia="Avenir" w:hAnsi="Avenir"/>
                <w:color w:val="a9b7c6"/>
                <w:sz w:val="23"/>
                <w:szCs w:val="23"/>
              </w:rPr>
              <m:t xml:space="preserve">nadir</m:t>
            </m:r>
          </m:sub>
        </m:sSub>
      </m:oMath>
      <w:r w:rsidDel="00000000" w:rsidR="00000000" w:rsidRPr="00000000">
        <w:rPr>
          <w:rtl w:val="0"/>
        </w:rPr>
      </w:r>
    </w:p>
    <w:p w:rsidR="00000000" w:rsidDel="00000000" w:rsidP="00000000" w:rsidRDefault="00000000" w:rsidRPr="00000000" w14:paraId="00000092">
      <w:pPr>
        <w:jc w:val="left"/>
        <w:rPr>
          <w:rFonts w:ascii="Avenir" w:cs="Avenir" w:eastAsia="Avenir" w:hAnsi="Avenir"/>
        </w:rPr>
      </w:pPr>
      <w:r w:rsidDel="00000000" w:rsidR="00000000" w:rsidRPr="00000000">
        <w:rPr>
          <w:rtl w:val="0"/>
        </w:rPr>
      </w:r>
    </w:p>
    <w:p w:rsidR="00000000" w:rsidDel="00000000" w:rsidP="00000000" w:rsidRDefault="00000000" w:rsidRPr="00000000" w14:paraId="00000093">
      <w:pPr>
        <w:rPr>
          <w:rFonts w:ascii="Avenir" w:cs="Avenir" w:eastAsia="Avenir" w:hAnsi="Avenir"/>
        </w:rPr>
      </w:pPr>
      <w:r w:rsidDel="00000000" w:rsidR="00000000" w:rsidRPr="00000000">
        <w:rPr>
          <w:rFonts w:ascii="Avenir" w:cs="Avenir" w:eastAsia="Avenir" w:hAnsi="Avenir"/>
          <w:rtl w:val="0"/>
        </w:rPr>
        <w:t xml:space="preserve">where t is the number of months since initiating treatment, and k is a growth parameter selected so that the overall CD4 reconstitution function corresponds to those that are used in the EMOD-HIV model for those with CD4 nadirs of 50 </w:t>
      </w:r>
      <w:r w:rsidDel="00000000" w:rsidR="00000000" w:rsidRPr="00000000">
        <w:rPr>
          <w:rFonts w:ascii="Avenir" w:cs="Avenir" w:eastAsia="Avenir" w:hAnsi="Avenir"/>
          <w:shd w:fill="auto" w:val="clear"/>
          <w:vertAlign w:val="baseline"/>
          <w:rtl w:val="0"/>
        </w:rPr>
        <w:t xml:space="preserve">(40)</w:t>
      </w:r>
      <w:r w:rsidDel="00000000" w:rsidR="00000000" w:rsidRPr="00000000">
        <w:rPr>
          <w:rFonts w:ascii="Avenir" w:cs="Avenir" w:eastAsia="Avenir" w:hAnsi="Avenir"/>
          <w:rtl w:val="0"/>
        </w:rPr>
        <w:t xml:space="preserve">. CD4 reconstitution curves for various CD4 nadirs are shown in Figure S2. </w:t>
      </w:r>
    </w:p>
    <w:p w:rsidR="00000000" w:rsidDel="00000000" w:rsidP="00000000" w:rsidRDefault="00000000" w:rsidRPr="00000000" w14:paraId="00000094">
      <w:pPr>
        <w:rPr>
          <w:rFonts w:ascii="Avenir" w:cs="Avenir" w:eastAsia="Avenir" w:hAnsi="Avenir"/>
        </w:rPr>
      </w:pPr>
      <w:r w:rsidDel="00000000" w:rsidR="00000000" w:rsidRPr="00000000">
        <w:rPr>
          <w:rtl w:val="0"/>
        </w:rPr>
      </w:r>
    </w:p>
    <w:p w:rsidR="00000000" w:rsidDel="00000000" w:rsidP="00000000" w:rsidRDefault="00000000" w:rsidRPr="00000000" w14:paraId="00000095">
      <w:pPr>
        <w:jc w:val="left"/>
        <w:rPr>
          <w:rFonts w:ascii="Avenir" w:cs="Avenir" w:eastAsia="Avenir" w:hAnsi="Avenir"/>
        </w:rPr>
      </w:pPr>
      <w:r w:rsidDel="00000000" w:rsidR="00000000" w:rsidRPr="00000000">
        <w:rPr>
          <w:rFonts w:ascii="Avenir" w:cs="Avenir" w:eastAsia="Avenir" w:hAnsi="Avenir"/>
        </w:rPr>
        <w:drawing>
          <wp:inline distB="114300" distT="114300" distL="114300" distR="114300">
            <wp:extent cx="5795237" cy="3157538"/>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95237" cy="3157538"/>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rPr>
          <w:rFonts w:ascii="Avenir" w:cs="Avenir" w:eastAsia="Avenir" w:hAnsi="Avenir"/>
        </w:rPr>
      </w:pPr>
      <w:r w:rsidDel="00000000" w:rsidR="00000000" w:rsidRPr="00000000">
        <w:rPr>
          <w:rFonts w:ascii="Avenir" w:cs="Avenir" w:eastAsia="Avenir" w:hAnsi="Avenir"/>
          <w:rtl w:val="0"/>
        </w:rPr>
        <w:t xml:space="preserve">Figure S2</w:t>
      </w:r>
      <w:r w:rsidDel="00000000" w:rsidR="00000000" w:rsidRPr="00000000">
        <w:rPr>
          <w:rFonts w:ascii="Avenir" w:cs="Avenir" w:eastAsia="Avenir" w:hAnsi="Avenir"/>
          <w:rtl w:val="0"/>
        </w:rPr>
        <w:t xml:space="preserve">: CD4 reconstitution after commencing ART is assumed to follow a logistic growth curve, whose saturation point depends on the CD4 nadir at initialization.</w:t>
      </w:r>
    </w:p>
    <w:p w:rsidR="00000000" w:rsidDel="00000000" w:rsidP="00000000" w:rsidRDefault="00000000" w:rsidRPr="00000000" w14:paraId="00000097">
      <w:pPr>
        <w:pStyle w:val="Heading4"/>
        <w:rPr>
          <w:rFonts w:ascii="Avenir" w:cs="Avenir" w:eastAsia="Avenir" w:hAnsi="Avenir"/>
        </w:rPr>
      </w:pPr>
      <w:bookmarkStart w:colFirst="0" w:colLast="0" w:name="_cqh9eekqkqwk" w:id="14"/>
      <w:bookmarkEnd w:id="14"/>
      <w:r w:rsidDel="00000000" w:rsidR="00000000" w:rsidRPr="00000000">
        <w:rPr>
          <w:rFonts w:ascii="Avenir" w:cs="Avenir" w:eastAsia="Avenir" w:hAnsi="Avenir"/>
          <w:rtl w:val="0"/>
        </w:rPr>
        <w:t xml:space="preserve">Viral dynamics</w:t>
      </w:r>
    </w:p>
    <w:p w:rsidR="00000000" w:rsidDel="00000000" w:rsidP="00000000" w:rsidRDefault="00000000" w:rsidRPr="00000000" w14:paraId="00000098">
      <w:pPr>
        <w:rPr>
          <w:rFonts w:ascii="Avenir" w:cs="Avenir" w:eastAsia="Avenir" w:hAnsi="Avenir"/>
        </w:rPr>
      </w:pPr>
      <w:r w:rsidDel="00000000" w:rsidR="00000000" w:rsidRPr="00000000">
        <w:rPr>
          <w:rFonts w:ascii="Avenir" w:cs="Avenir" w:eastAsia="Avenir" w:hAnsi="Avenir"/>
          <w:rtl w:val="0"/>
        </w:rPr>
        <w:t xml:space="preserve">Virally suppressive ART has been shown to be highly effective at preventing transmission of HIV, with an estimated 93% reduction in linked transmissions in the pivotal Cohen study </w:t>
      </w:r>
      <w:r w:rsidDel="00000000" w:rsidR="00000000" w:rsidRPr="00000000">
        <w:rPr>
          <w:rFonts w:ascii="Avenir" w:cs="Avenir" w:eastAsia="Avenir" w:hAnsi="Avenir"/>
          <w:shd w:fill="auto" w:val="clear"/>
          <w:vertAlign w:val="baseline"/>
          <w:rtl w:val="0"/>
        </w:rPr>
        <w:t xml:space="preserve">(37)</w:t>
      </w:r>
      <w:r w:rsidDel="00000000" w:rsidR="00000000" w:rsidRPr="00000000">
        <w:rPr>
          <w:rFonts w:ascii="Avenir" w:cs="Avenir" w:eastAsia="Avenir" w:hAnsi="Avenir"/>
          <w:rtl w:val="0"/>
        </w:rPr>
        <w:t xml:space="preserve">. Other studies have estimated even greater reductions, finding either no or very few instances of transmission in serodiscordant couples with a virally suppressed partner </w:t>
      </w:r>
      <w:r w:rsidDel="00000000" w:rsidR="00000000" w:rsidRPr="00000000">
        <w:rPr>
          <w:rFonts w:ascii="Avenir" w:cs="Avenir" w:eastAsia="Avenir" w:hAnsi="Avenir"/>
          <w:shd w:fill="auto" w:val="clear"/>
          <w:vertAlign w:val="baseline"/>
          <w:rtl w:val="0"/>
        </w:rPr>
        <w:t xml:space="preserve">(41,42)</w:t>
      </w:r>
      <w:r w:rsidDel="00000000" w:rsidR="00000000" w:rsidRPr="00000000">
        <w:rPr>
          <w:rFonts w:ascii="Avenir" w:cs="Avenir" w:eastAsia="Avenir" w:hAnsi="Avenir"/>
          <w:rtl w:val="0"/>
        </w:rPr>
        <w:t xml:space="preserve">. </w:t>
      </w:r>
      <w:r w:rsidDel="00000000" w:rsidR="00000000" w:rsidRPr="00000000">
        <w:rPr>
          <w:rFonts w:ascii="Avenir" w:cs="Avenir" w:eastAsia="Avenir" w:hAnsi="Avenir"/>
          <w:rtl w:val="0"/>
        </w:rPr>
        <w:t xml:space="preserve">Because our model does not differentiate between those who are virally suppressed vs not, we assume that all individuals on ART are 92.5% less transmissible, which roughly corresponds to 90% of individuals being virally suppressed (and therefore 96% less transmissible taking the average of results across partner studies </w:t>
      </w:r>
      <w:r w:rsidDel="00000000" w:rsidR="00000000" w:rsidRPr="00000000">
        <w:rPr>
          <w:rFonts w:ascii="Avenir" w:cs="Avenir" w:eastAsia="Avenir" w:hAnsi="Avenir"/>
          <w:shd w:fill="auto" w:val="clear"/>
          <w:vertAlign w:val="baseline"/>
          <w:rtl w:val="0"/>
        </w:rPr>
        <w:t xml:space="preserve">(37,41,42)</w:t>
      </w:r>
      <w:r w:rsidDel="00000000" w:rsidR="00000000" w:rsidRPr="00000000">
        <w:rPr>
          <w:rFonts w:ascii="Avenir" w:cs="Avenir" w:eastAsia="Avenir" w:hAnsi="Avenir"/>
          <w:rtl w:val="0"/>
        </w:rPr>
        <w:t xml:space="preserve">), and the remaining 10% not being virally suppressed (and therefore 50% less transmissible following the Optima HIV model assumptions </w:t>
      </w:r>
      <w:r w:rsidDel="00000000" w:rsidR="00000000" w:rsidRPr="00000000">
        <w:rPr>
          <w:rFonts w:ascii="Avenir" w:cs="Avenir" w:eastAsia="Avenir" w:hAnsi="Avenir"/>
          <w:shd w:fill="auto" w:val="clear"/>
          <w:vertAlign w:val="baseline"/>
          <w:rtl w:val="0"/>
        </w:rPr>
        <w:t xml:space="preserve">(34)</w:t>
      </w:r>
      <w:r w:rsidDel="00000000" w:rsidR="00000000" w:rsidRPr="00000000">
        <w:rPr>
          <w:rFonts w:ascii="Avenir" w:cs="Avenir" w:eastAsia="Avenir" w:hAnsi="Avenir"/>
          <w:rtl w:val="0"/>
        </w:rPr>
        <w:t xml:space="preserve">). </w:t>
      </w:r>
    </w:p>
    <w:p w:rsidR="00000000" w:rsidDel="00000000" w:rsidP="00000000" w:rsidRDefault="00000000" w:rsidRPr="00000000" w14:paraId="00000099">
      <w:pPr>
        <w:rPr>
          <w:rFonts w:ascii="Avenir" w:cs="Avenir" w:eastAsia="Avenir" w:hAnsi="Avenir"/>
        </w:rPr>
      </w:pPr>
      <w:r w:rsidDel="00000000" w:rsidR="00000000" w:rsidRPr="00000000">
        <w:rPr>
          <w:rtl w:val="0"/>
        </w:rPr>
      </w:r>
    </w:p>
    <w:p w:rsidR="00000000" w:rsidDel="00000000" w:rsidP="00000000" w:rsidRDefault="00000000" w:rsidRPr="00000000" w14:paraId="0000009A">
      <w:pPr>
        <w:rPr>
          <w:rFonts w:ascii="Avenir" w:cs="Avenir" w:eastAsia="Avenir" w:hAnsi="Avenir"/>
        </w:rPr>
      </w:pPr>
      <w:r w:rsidDel="00000000" w:rsidR="00000000" w:rsidRPr="00000000">
        <w:rPr>
          <w:rFonts w:ascii="Avenir" w:cs="Avenir" w:eastAsia="Avenir" w:hAnsi="Avenir"/>
          <w:rtl w:val="0"/>
        </w:rPr>
        <w:t xml:space="preserve">We assume that ART takes 6 months before reaching full efficacy in preventing transmission, and over the first 6 months of treatment, we assume that relative transmissibility declines linearly until it reaches 7.5% of its untreated level after 6 months. If an individual stops ART, we assume that their viral load immediately rebounds to its untreated levels. </w:t>
      </w:r>
    </w:p>
    <w:p w:rsidR="00000000" w:rsidDel="00000000" w:rsidP="00000000" w:rsidRDefault="00000000" w:rsidRPr="00000000" w14:paraId="0000009B">
      <w:pPr>
        <w:rPr>
          <w:rFonts w:ascii="Avenir" w:cs="Avenir" w:eastAsia="Avenir" w:hAnsi="Avenir"/>
        </w:rPr>
      </w:pPr>
      <w:r w:rsidDel="00000000" w:rsidR="00000000" w:rsidRPr="00000000">
        <w:rPr>
          <w:rtl w:val="0"/>
        </w:rPr>
      </w:r>
    </w:p>
    <w:p w:rsidR="00000000" w:rsidDel="00000000" w:rsidP="00000000" w:rsidRDefault="00000000" w:rsidRPr="00000000" w14:paraId="0000009C">
      <w:pPr>
        <w:rPr>
          <w:rFonts w:ascii="Avenir" w:cs="Avenir" w:eastAsia="Avenir" w:hAnsi="Avenir"/>
        </w:rPr>
      </w:pPr>
      <w:r w:rsidDel="00000000" w:rsidR="00000000" w:rsidRPr="00000000">
        <w:rPr>
          <w:rFonts w:ascii="Avenir" w:cs="Avenir" w:eastAsia="Avenir" w:hAnsi="Avenir"/>
          <w:rtl w:val="0"/>
        </w:rPr>
        <w:t xml:space="preserve">We also assume increases in relative transmissibility during both the early acute and the late stages of infection. Following the approach used in the Optima HIV model, we set individuals in acute-stage infection to be 5.6x more infectious </w:t>
      </w:r>
      <w:r w:rsidDel="00000000" w:rsidR="00000000" w:rsidRPr="00000000">
        <w:rPr>
          <w:rFonts w:ascii="Avenir" w:cs="Avenir" w:eastAsia="Avenir" w:hAnsi="Avenir"/>
          <w:shd w:fill="auto" w:val="clear"/>
          <w:vertAlign w:val="baseline"/>
          <w:rtl w:val="0"/>
        </w:rPr>
        <w:t xml:space="preserve">(43)</w:t>
      </w:r>
      <w:r w:rsidDel="00000000" w:rsidR="00000000" w:rsidRPr="00000000">
        <w:rPr>
          <w:rFonts w:ascii="Avenir" w:cs="Avenir" w:eastAsia="Avenir" w:hAnsi="Avenir"/>
          <w:rtl w:val="0"/>
        </w:rPr>
        <w:t xml:space="preserve"> and individuals in late-stage infection to be 7.2x more infectious compared to people in the latent phase of infection </w:t>
      </w:r>
      <w:r w:rsidDel="00000000" w:rsidR="00000000" w:rsidRPr="00000000">
        <w:rPr>
          <w:rFonts w:ascii="Avenir" w:cs="Avenir" w:eastAsia="Avenir" w:hAnsi="Avenir"/>
          <w:shd w:fill="auto" w:val="clear"/>
          <w:vertAlign w:val="baseline"/>
          <w:rtl w:val="0"/>
        </w:rPr>
        <w:t xml:space="preserve">(34)</w:t>
      </w:r>
      <w:r w:rsidDel="00000000" w:rsidR="00000000" w:rsidRPr="00000000">
        <w:rPr>
          <w:rFonts w:ascii="Avenir" w:cs="Avenir" w:eastAsia="Avenir" w:hAnsi="Avenir"/>
          <w:rtl w:val="0"/>
        </w:rPr>
        <w:t xml:space="preserve">. </w:t>
      </w:r>
      <w:r w:rsidDel="00000000" w:rsidR="00000000" w:rsidRPr="00000000">
        <w:rPr>
          <w:rtl w:val="0"/>
        </w:rPr>
      </w:r>
    </w:p>
    <w:p w:rsidR="00000000" w:rsidDel="00000000" w:rsidP="00000000" w:rsidRDefault="00000000" w:rsidRPr="00000000" w14:paraId="0000009D">
      <w:pPr>
        <w:pStyle w:val="Heading4"/>
        <w:rPr>
          <w:rFonts w:ascii="Avenir" w:cs="Avenir" w:eastAsia="Avenir" w:hAnsi="Avenir"/>
        </w:rPr>
      </w:pPr>
      <w:bookmarkStart w:colFirst="0" w:colLast="0" w:name="_62i3iqjreb93" w:id="15"/>
      <w:bookmarkEnd w:id="15"/>
      <w:r w:rsidDel="00000000" w:rsidR="00000000" w:rsidRPr="00000000">
        <w:rPr>
          <w:rFonts w:ascii="Avenir" w:cs="Avenir" w:eastAsia="Avenir" w:hAnsi="Avenir"/>
          <w:rtl w:val="0"/>
        </w:rPr>
        <w:t xml:space="preserve">CD4 decline after treatment cessation</w:t>
      </w:r>
    </w:p>
    <w:p w:rsidR="00000000" w:rsidDel="00000000" w:rsidP="00000000" w:rsidRDefault="00000000" w:rsidRPr="00000000" w14:paraId="0000009E">
      <w:pPr>
        <w:rPr>
          <w:rFonts w:ascii="Avenir" w:cs="Avenir" w:eastAsia="Avenir" w:hAnsi="Avenir"/>
        </w:rPr>
      </w:pPr>
      <w:r w:rsidDel="00000000" w:rsidR="00000000" w:rsidRPr="00000000">
        <w:rPr>
          <w:rFonts w:ascii="Avenir" w:cs="Avenir" w:eastAsia="Avenir" w:hAnsi="Avenir"/>
          <w:rtl w:val="0"/>
        </w:rPr>
        <w:t xml:space="preserve">For individuals that stop ART, we draw their life expectancy post-ART from a normal distribution. The mean of this normal distribution depends on their CD4 count prior to initiating ART (their nadir levels), their treatment-stabilized potential CD4 count, and the CD4 count that they registered immediately before stopping treatment. We model this as:</w:t>
      </w:r>
    </w:p>
    <w:p w:rsidR="00000000" w:rsidDel="00000000" w:rsidP="00000000" w:rsidRDefault="00000000" w:rsidRPr="00000000" w14:paraId="0000009F">
      <w:pPr>
        <w:jc w:val="center"/>
        <w:rPr>
          <w:rFonts w:ascii="Avenir" w:cs="Avenir" w:eastAsia="Avenir" w:hAnsi="Avenir"/>
        </w:rPr>
      </w:pPr>
      <m:oMath>
        <m:r>
          <w:rPr>
            <w:rFonts w:ascii="Avenir" w:cs="Avenir" w:eastAsia="Avenir" w:hAnsi="Avenir"/>
          </w:rPr>
          <m:t xml:space="preserve">mea</m:t>
        </m:r>
        <m:sSub>
          <m:sSubPr>
            <m:ctrlPr>
              <w:rPr>
                <w:rFonts w:ascii="Avenir" w:cs="Avenir" w:eastAsia="Avenir" w:hAnsi="Avenir"/>
              </w:rPr>
            </m:ctrlPr>
          </m:sSubPr>
          <m:e>
            <m:r>
              <w:rPr>
                <w:rFonts w:ascii="Avenir" w:cs="Avenir" w:eastAsia="Avenir" w:hAnsi="Avenir"/>
              </w:rPr>
              <m:t xml:space="preserve">n</m:t>
            </m:r>
          </m:e>
          <m:sub>
            <m:r>
              <w:rPr>
                <w:rFonts w:ascii="Avenir" w:cs="Avenir" w:eastAsia="Avenir" w:hAnsi="Avenir"/>
              </w:rPr>
              <m:t xml:space="preserve">post-ART-life-expectancy</m:t>
            </m:r>
          </m:sub>
        </m:sSub>
        <m:r>
          <w:rPr>
            <w:rFonts w:ascii="Avenir" w:cs="Avenir" w:eastAsia="Avenir" w:hAnsi="Avenir"/>
          </w:rPr>
          <m:t xml:space="preserve">= ln</m:t>
        </m:r>
        <m:d>
          <m:dPr>
            <m:begChr m:val="("/>
            <m:endChr m:val=")"/>
            <m:ctrlPr>
              <w:rPr>
                <w:rFonts w:ascii="Avenir" w:cs="Avenir" w:eastAsia="Avenir" w:hAnsi="Avenir"/>
              </w:rPr>
            </m:ctrlPr>
          </m:dPr>
          <m:e>
            <m:r>
              <w:rPr>
                <w:rFonts w:ascii="Avenir" w:cs="Avenir" w:eastAsia="Avenir" w:hAnsi="Avenir"/>
              </w:rPr>
              <m:t xml:space="preserve">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nadir</m:t>
                </m:r>
              </m:sub>
            </m:sSub>
          </m:e>
        </m:d>
        <m:r>
          <w:rPr>
            <w:rFonts w:ascii="Avenir" w:cs="Avenir" w:eastAsia="Avenir" w:hAnsi="Avenir"/>
          </w:rPr>
          <m:t xml:space="preserve">*</m:t>
        </m:r>
        <m:f>
          <m:fPr>
            <m:ctrlPr>
              <w:rPr>
                <w:rFonts w:ascii="Avenir" w:cs="Avenir" w:eastAsia="Avenir" w:hAnsi="Avenir"/>
              </w:rPr>
            </m:ctrlPr>
          </m:fPr>
          <m:num>
            <m:r>
              <w:rPr>
                <w:rFonts w:ascii="Avenir" w:cs="Avenir" w:eastAsia="Avenir" w:hAnsi="Avenir"/>
              </w:rPr>
              <m:t xml:space="preserve">CD4</m:t>
            </m:r>
          </m:num>
          <m:den>
            <m:r>
              <w:rPr>
                <w:rFonts w:ascii="Avenir" w:cs="Avenir" w:eastAsia="Avenir" w:hAnsi="Avenir"/>
              </w:rPr>
              <m:t xml:space="preserve">CD</m:t>
            </m:r>
            <m:sSub>
              <m:sSubPr>
                <m:ctrlPr>
                  <w:rPr>
                    <w:rFonts w:ascii="Avenir" w:cs="Avenir" w:eastAsia="Avenir" w:hAnsi="Avenir"/>
                  </w:rPr>
                </m:ctrlPr>
              </m:sSubPr>
              <m:e>
                <m:r>
                  <w:rPr>
                    <w:rFonts w:ascii="Avenir" w:cs="Avenir" w:eastAsia="Avenir" w:hAnsi="Avenir"/>
                  </w:rPr>
                  <m:t xml:space="preserve">4</m:t>
                </m:r>
              </m:e>
              <m:sub>
                <m:r>
                  <w:rPr>
                    <w:rFonts w:ascii="Avenir" w:cs="Avenir" w:eastAsia="Avenir" w:hAnsi="Avenir"/>
                  </w:rPr>
                  <m:t xml:space="preserve">potential</m:t>
                </m:r>
              </m:sub>
            </m:sSub>
          </m:den>
        </m:f>
      </m:oMath>
      <w:r w:rsidDel="00000000" w:rsidR="00000000" w:rsidRPr="00000000">
        <w:rPr>
          <w:rFonts w:ascii="Avenir" w:cs="Avenir" w:eastAsia="Avenir" w:hAnsi="Avenir"/>
          <w:rtl w:val="0"/>
        </w:rPr>
        <w:t xml:space="preserve">.</w:t>
      </w:r>
    </w:p>
    <w:p w:rsidR="00000000" w:rsidDel="00000000" w:rsidP="00000000" w:rsidRDefault="00000000" w:rsidRPr="00000000" w14:paraId="000000A0">
      <w:pPr>
        <w:jc w:val="left"/>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3</w:t>
      </w:r>
      <w:r w:rsidDel="00000000" w:rsidR="00000000" w:rsidRPr="00000000">
        <w:rPr>
          <w:rFonts w:ascii="Avenir" w:cs="Avenir" w:eastAsia="Avenir" w:hAnsi="Avenir"/>
          <w:rtl w:val="0"/>
        </w:rPr>
        <w:t xml:space="preserve"> illustrates the modeled life expectancies of people who initiated and stopped ART with varying CD4 counts. </w:t>
      </w:r>
    </w:p>
    <w:p w:rsidR="00000000" w:rsidDel="00000000" w:rsidP="00000000" w:rsidRDefault="00000000" w:rsidRPr="00000000" w14:paraId="000000A1">
      <w:pPr>
        <w:rPr>
          <w:rFonts w:ascii="Avenir" w:cs="Avenir" w:eastAsia="Avenir" w:hAnsi="Avenir"/>
        </w:rPr>
      </w:pPr>
      <w:r w:rsidDel="00000000" w:rsidR="00000000" w:rsidRPr="00000000">
        <w:rPr>
          <w:rtl w:val="0"/>
        </w:rPr>
      </w:r>
    </w:p>
    <w:tbl>
      <w:tblPr>
        <w:tblStyle w:val="Table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68.3492727095496"/>
        <w:gridCol w:w="1018.0082097715779"/>
        <w:gridCol w:w="1005.5934755060707"/>
        <w:gridCol w:w="1005.5934755060707"/>
        <w:gridCol w:w="1005.5934755060707"/>
        <w:gridCol w:w="1005.5934755060707"/>
        <w:gridCol w:w="1005.5934755060707"/>
        <w:gridCol w:w="1005.5934755060707"/>
        <w:gridCol w:w="1005.5934755060707"/>
        <w:tblGridChange w:id="0">
          <w:tblGrid>
            <w:gridCol w:w="968.3492727095496"/>
            <w:gridCol w:w="1018.0082097715779"/>
            <w:gridCol w:w="1005.5934755060707"/>
            <w:gridCol w:w="1005.5934755060707"/>
            <w:gridCol w:w="1005.5934755060707"/>
            <w:gridCol w:w="1005.5934755060707"/>
            <w:gridCol w:w="1005.5934755060707"/>
            <w:gridCol w:w="1005.5934755060707"/>
            <w:gridCol w:w="1005.5934755060707"/>
          </w:tblGrid>
        </w:tblGridChange>
      </w:tblGrid>
      <w:tr>
        <w:trPr>
          <w:cantSplit w:val="0"/>
          <w:trHeight w:val="415" w:hRule="atLeast"/>
          <w:tblHeader w:val="0"/>
        </w:trPr>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0A2">
            <w:pPr>
              <w:rPr>
                <w:rFonts w:ascii="Avenir" w:cs="Avenir" w:eastAsia="Avenir" w:hAnsi="Aveni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0A3">
            <w:pPr>
              <w:rPr>
                <w:rFonts w:ascii="Avenir" w:cs="Avenir" w:eastAsia="Avenir" w:hAnsi="Avenir"/>
              </w:rPr>
            </w:pPr>
            <w:r w:rsidDel="00000000" w:rsidR="00000000" w:rsidRPr="00000000">
              <w:rPr>
                <w:rtl w:val="0"/>
              </w:rPr>
            </w:r>
          </w:p>
        </w:tc>
        <w:tc>
          <w:tcPr>
            <w:gridSpan w:val="7"/>
            <w:tcBorders>
              <w:top w:color="ffffff" w:space="0" w:sz="6" w:val="single"/>
              <w:left w:color="ffffff" w:space="0" w:sz="6" w:val="single"/>
              <w:bottom w:color="000000" w:space="0" w:sz="0" w:val="nil"/>
              <w:right w:color="ffffff" w:space="0" w:sz="6" w:val="single"/>
            </w:tcBorders>
            <w:shd w:fill="4472c4" w:val="clear"/>
            <w:tcMar>
              <w:top w:w="20.0" w:type="dxa"/>
              <w:left w:w="20.0" w:type="dxa"/>
              <w:bottom w:w="100.0" w:type="dxa"/>
              <w:right w:w="20.0" w:type="dxa"/>
            </w:tcMar>
            <w:vAlign w:val="bottom"/>
          </w:tcPr>
          <w:p w:rsidR="00000000" w:rsidDel="00000000" w:rsidP="00000000" w:rsidRDefault="00000000" w:rsidRPr="00000000" w14:paraId="000000A4">
            <w:pPr>
              <w:jc w:val="center"/>
              <w:rPr>
                <w:rFonts w:ascii="Avenir" w:cs="Avenir" w:eastAsia="Avenir" w:hAnsi="Avenir"/>
              </w:rPr>
            </w:pPr>
            <w:r w:rsidDel="00000000" w:rsidR="00000000" w:rsidRPr="00000000">
              <w:rPr>
                <w:rFonts w:ascii="Avenir" w:cs="Avenir" w:eastAsia="Avenir" w:hAnsi="Avenir"/>
                <w:b w:val="1"/>
                <w:color w:val="ffffff"/>
                <w:sz w:val="22"/>
                <w:szCs w:val="22"/>
                <w:rtl w:val="0"/>
              </w:rPr>
              <w:t xml:space="preserve">Months on treatment</w:t>
            </w:r>
            <w:r w:rsidDel="00000000" w:rsidR="00000000" w:rsidRPr="00000000">
              <w:rPr>
                <w:rtl w:val="0"/>
              </w:rPr>
            </w:r>
          </w:p>
        </w:tc>
      </w:tr>
      <w:tr>
        <w:trPr>
          <w:cantSplit w:val="0"/>
          <w:trHeight w:val="415" w:hRule="atLeast"/>
          <w:tblHeader w:val="0"/>
        </w:trPr>
        <w:tc>
          <w:tcPr>
            <w:tcBorders>
              <w:top w:color="000000" w:space="0" w:sz="0" w:val="nil"/>
              <w:left w:color="000000" w:space="0" w:sz="0" w:val="nil"/>
              <w:bottom w:color="000000" w:space="0" w:sz="0" w:val="nil"/>
              <w:right w:color="000000" w:space="0" w:sz="0" w:val="nil"/>
            </w:tcBorders>
            <w:shd w:fill="auto" w:val="clear"/>
            <w:tcMar>
              <w:top w:w="20.0" w:type="dxa"/>
              <w:left w:w="20.0" w:type="dxa"/>
              <w:bottom w:w="100.0" w:type="dxa"/>
              <w:right w:w="20.0" w:type="dxa"/>
            </w:tcMar>
            <w:vAlign w:val="bottom"/>
          </w:tcPr>
          <w:p w:rsidR="00000000" w:rsidDel="00000000" w:rsidP="00000000" w:rsidRDefault="00000000" w:rsidRPr="00000000" w14:paraId="000000AB">
            <w:pPr>
              <w:rPr>
                <w:rFonts w:ascii="Avenir" w:cs="Avenir" w:eastAsia="Avenir" w:hAnsi="Avenir"/>
              </w:rPr>
            </w:pP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auto" w:val="clear"/>
            <w:tcMar>
              <w:top w:w="20.0" w:type="dxa"/>
              <w:left w:w="20.0" w:type="dxa"/>
              <w:bottom w:w="100.0" w:type="dxa"/>
              <w:right w:w="20.0" w:type="dxa"/>
            </w:tcMar>
            <w:vAlign w:val="bottom"/>
          </w:tcPr>
          <w:p w:rsidR="00000000" w:rsidDel="00000000" w:rsidP="00000000" w:rsidRDefault="00000000" w:rsidRPr="00000000" w14:paraId="000000AC">
            <w:pPr>
              <w:jc w:val="right"/>
              <w:rPr>
                <w:rFonts w:ascii="Avenir" w:cs="Avenir" w:eastAsia="Avenir" w:hAnsi="Avenir"/>
              </w:rPr>
            </w:pPr>
            <w:r w:rsidDel="00000000" w:rsidR="00000000" w:rsidRPr="00000000">
              <w:rPr>
                <w:rFonts w:ascii="Avenir" w:cs="Avenir" w:eastAsia="Avenir" w:hAnsi="Avenir"/>
                <w:sz w:val="24"/>
                <w:szCs w:val="24"/>
                <w:rtl w:val="0"/>
              </w:rPr>
              <w:t xml:space="preserve"> </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8ea9db" w:val="clear"/>
            <w:tcMar>
              <w:top w:w="20.0" w:type="dxa"/>
              <w:left w:w="20.0" w:type="dxa"/>
              <w:bottom w:w="100.0" w:type="dxa"/>
              <w:right w:w="20.0" w:type="dxa"/>
            </w:tcMar>
            <w:vAlign w:val="bottom"/>
          </w:tcPr>
          <w:p w:rsidR="00000000" w:rsidDel="00000000" w:rsidP="00000000" w:rsidRDefault="00000000" w:rsidRPr="00000000" w14:paraId="000000AD">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6</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8ea9db" w:val="clear"/>
            <w:tcMar>
              <w:top w:w="20.0" w:type="dxa"/>
              <w:left w:w="20.0" w:type="dxa"/>
              <w:bottom w:w="100.0" w:type="dxa"/>
              <w:right w:w="20.0" w:type="dxa"/>
            </w:tcMar>
            <w:vAlign w:val="bottom"/>
          </w:tcPr>
          <w:p w:rsidR="00000000" w:rsidDel="00000000" w:rsidP="00000000" w:rsidRDefault="00000000" w:rsidRPr="00000000" w14:paraId="000000AE">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12</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8ea9db" w:val="clear"/>
            <w:tcMar>
              <w:top w:w="20.0" w:type="dxa"/>
              <w:left w:w="20.0" w:type="dxa"/>
              <w:bottom w:w="100.0" w:type="dxa"/>
              <w:right w:w="20.0" w:type="dxa"/>
            </w:tcMar>
            <w:vAlign w:val="bottom"/>
          </w:tcPr>
          <w:p w:rsidR="00000000" w:rsidDel="00000000" w:rsidP="00000000" w:rsidRDefault="00000000" w:rsidRPr="00000000" w14:paraId="000000AF">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24</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8ea9db" w:val="clear"/>
            <w:tcMar>
              <w:top w:w="20.0" w:type="dxa"/>
              <w:left w:w="20.0" w:type="dxa"/>
              <w:bottom w:w="100.0" w:type="dxa"/>
              <w:right w:w="20.0" w:type="dxa"/>
            </w:tcMar>
            <w:vAlign w:val="bottom"/>
          </w:tcPr>
          <w:p w:rsidR="00000000" w:rsidDel="00000000" w:rsidP="00000000" w:rsidRDefault="00000000" w:rsidRPr="00000000" w14:paraId="000000B0">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36</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8ea9db" w:val="clear"/>
            <w:tcMar>
              <w:top w:w="20.0" w:type="dxa"/>
              <w:left w:w="20.0" w:type="dxa"/>
              <w:bottom w:w="100.0" w:type="dxa"/>
              <w:right w:w="20.0" w:type="dxa"/>
            </w:tcMar>
            <w:vAlign w:val="bottom"/>
          </w:tcPr>
          <w:p w:rsidR="00000000" w:rsidDel="00000000" w:rsidP="00000000" w:rsidRDefault="00000000" w:rsidRPr="00000000" w14:paraId="000000B1">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48</w:t>
            </w:r>
            <w:r w:rsidDel="00000000" w:rsidR="00000000" w:rsidRPr="00000000">
              <w:rPr>
                <w:rtl w:val="0"/>
              </w:rPr>
            </w:r>
          </w:p>
        </w:tc>
        <w:tc>
          <w:tcPr>
            <w:tcBorders>
              <w:top w:color="000000" w:space="0" w:sz="0" w:val="nil"/>
              <w:left w:color="000000" w:space="0" w:sz="0" w:val="nil"/>
              <w:bottom w:color="ffffff" w:space="0" w:sz="6" w:val="single"/>
              <w:right w:color="000000" w:space="0" w:sz="0" w:val="nil"/>
            </w:tcBorders>
            <w:shd w:fill="8ea9db" w:val="clear"/>
            <w:tcMar>
              <w:top w:w="20.0" w:type="dxa"/>
              <w:left w:w="20.0" w:type="dxa"/>
              <w:bottom w:w="100.0" w:type="dxa"/>
              <w:right w:w="20.0" w:type="dxa"/>
            </w:tcMar>
            <w:vAlign w:val="bottom"/>
          </w:tcPr>
          <w:p w:rsidR="00000000" w:rsidDel="00000000" w:rsidP="00000000" w:rsidRDefault="00000000" w:rsidRPr="00000000" w14:paraId="000000B2">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60</w:t>
            </w:r>
            <w:r w:rsidDel="00000000" w:rsidR="00000000" w:rsidRPr="00000000">
              <w:rPr>
                <w:rtl w:val="0"/>
              </w:rPr>
            </w:r>
          </w:p>
        </w:tc>
        <w:tc>
          <w:tcPr>
            <w:tcBorders>
              <w:top w:color="000000" w:space="0" w:sz="0" w:val="nil"/>
              <w:left w:color="ffffff" w:space="0" w:sz="6" w:val="single"/>
              <w:bottom w:color="ffffff" w:space="0" w:sz="6" w:val="single"/>
              <w:right w:color="ffffff" w:space="0" w:sz="6" w:val="single"/>
            </w:tcBorders>
            <w:shd w:fill="8ea9db" w:val="clear"/>
            <w:tcMar>
              <w:top w:w="20.0" w:type="dxa"/>
              <w:left w:w="20.0" w:type="dxa"/>
              <w:bottom w:w="100.0" w:type="dxa"/>
              <w:right w:w="20.0" w:type="dxa"/>
            </w:tcMar>
            <w:vAlign w:val="bottom"/>
          </w:tcPr>
          <w:p w:rsidR="00000000" w:rsidDel="00000000" w:rsidP="00000000" w:rsidRDefault="00000000" w:rsidRPr="00000000" w14:paraId="000000B3">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120</w:t>
            </w:r>
            <w:r w:rsidDel="00000000" w:rsidR="00000000" w:rsidRPr="00000000">
              <w:rPr>
                <w:rtl w:val="0"/>
              </w:rPr>
            </w:r>
          </w:p>
        </w:tc>
      </w:tr>
      <w:tr>
        <w:trPr>
          <w:cantSplit w:val="0"/>
          <w:trHeight w:val="415" w:hRule="atLeast"/>
          <w:tblHeader w:val="0"/>
        </w:trPr>
        <w:tc>
          <w:tcPr>
            <w:vMerge w:val="restart"/>
            <w:tcBorders>
              <w:top w:color="000000" w:space="0" w:sz="0" w:val="nil"/>
              <w:left w:color="000000" w:space="0" w:sz="0" w:val="nil"/>
              <w:bottom w:color="000000" w:space="0" w:sz="0" w:val="nil"/>
              <w:right w:color="ffffff" w:space="0" w:sz="6" w:val="single"/>
            </w:tcBorders>
            <w:shd w:fill="4472c4" w:val="clear"/>
            <w:tcMar>
              <w:top w:w="20.0" w:type="dxa"/>
              <w:left w:w="20.0" w:type="dxa"/>
              <w:bottom w:w="100.0" w:type="dxa"/>
              <w:right w:w="20.0" w:type="dxa"/>
            </w:tcMar>
            <w:vAlign w:val="center"/>
          </w:tcPr>
          <w:p w:rsidR="00000000" w:rsidDel="00000000" w:rsidP="00000000" w:rsidRDefault="00000000" w:rsidRPr="00000000" w14:paraId="000000B4">
            <w:pPr>
              <w:jc w:val="center"/>
              <w:rPr>
                <w:rFonts w:ascii="Avenir" w:cs="Avenir" w:eastAsia="Avenir" w:hAnsi="Avenir"/>
              </w:rPr>
            </w:pPr>
            <w:r w:rsidDel="00000000" w:rsidR="00000000" w:rsidRPr="00000000">
              <w:rPr>
                <w:rFonts w:ascii="Avenir" w:cs="Avenir" w:eastAsia="Avenir" w:hAnsi="Avenir"/>
                <w:b w:val="1"/>
                <w:color w:val="ffffff"/>
                <w:sz w:val="24"/>
                <w:szCs w:val="24"/>
                <w:rtl w:val="0"/>
              </w:rPr>
              <w:t xml:space="preserve">CD4 nadir</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5">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600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6">
            <w:pPr>
              <w:jc w:val="right"/>
              <w:rPr>
                <w:rFonts w:ascii="Avenir" w:cs="Avenir" w:eastAsia="Avenir" w:hAnsi="Avenir"/>
              </w:rPr>
            </w:pPr>
            <w:r w:rsidDel="00000000" w:rsidR="00000000" w:rsidRPr="00000000">
              <w:rPr>
                <w:rFonts w:ascii="Avenir" w:cs="Avenir" w:eastAsia="Avenir" w:hAnsi="Avenir"/>
                <w:sz w:val="24"/>
                <w:szCs w:val="24"/>
                <w:rtl w:val="0"/>
              </w:rPr>
              <w:t xml:space="preserve">5.08</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7">
            <w:pPr>
              <w:jc w:val="right"/>
              <w:rPr>
                <w:rFonts w:ascii="Avenir" w:cs="Avenir" w:eastAsia="Avenir" w:hAnsi="Avenir"/>
              </w:rPr>
            </w:pPr>
            <w:r w:rsidDel="00000000" w:rsidR="00000000" w:rsidRPr="00000000">
              <w:rPr>
                <w:rFonts w:ascii="Avenir" w:cs="Avenir" w:eastAsia="Avenir" w:hAnsi="Avenir"/>
                <w:sz w:val="24"/>
                <w:szCs w:val="24"/>
                <w:rtl w:val="0"/>
              </w:rPr>
              <w:t xml:space="preserve">5.54</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8">
            <w:pPr>
              <w:jc w:val="right"/>
              <w:rPr>
                <w:rFonts w:ascii="Avenir" w:cs="Avenir" w:eastAsia="Avenir" w:hAnsi="Avenir"/>
              </w:rPr>
            </w:pPr>
            <w:r w:rsidDel="00000000" w:rsidR="00000000" w:rsidRPr="00000000">
              <w:rPr>
                <w:rFonts w:ascii="Avenir" w:cs="Avenir" w:eastAsia="Avenir" w:hAnsi="Avenir"/>
                <w:sz w:val="24"/>
                <w:szCs w:val="24"/>
                <w:rtl w:val="0"/>
              </w:rPr>
              <w:t xml:space="preserve">6.09</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9">
            <w:pPr>
              <w:jc w:val="right"/>
              <w:rPr>
                <w:rFonts w:ascii="Avenir" w:cs="Avenir" w:eastAsia="Avenir" w:hAnsi="Avenir"/>
              </w:rPr>
            </w:pPr>
            <w:r w:rsidDel="00000000" w:rsidR="00000000" w:rsidRPr="00000000">
              <w:rPr>
                <w:rFonts w:ascii="Avenir" w:cs="Avenir" w:eastAsia="Avenir" w:hAnsi="Avenir"/>
                <w:sz w:val="24"/>
                <w:szCs w:val="24"/>
                <w:rtl w:val="0"/>
              </w:rPr>
              <w:t xml:space="preserve">6.30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A">
            <w:pPr>
              <w:jc w:val="right"/>
              <w:rPr>
                <w:rFonts w:ascii="Avenir" w:cs="Avenir" w:eastAsia="Avenir" w:hAnsi="Avenir"/>
              </w:rPr>
            </w:pPr>
            <w:r w:rsidDel="00000000" w:rsidR="00000000" w:rsidRPr="00000000">
              <w:rPr>
                <w:rFonts w:ascii="Avenir" w:cs="Avenir" w:eastAsia="Avenir" w:hAnsi="Avenir"/>
                <w:sz w:val="24"/>
                <w:szCs w:val="24"/>
                <w:rtl w:val="0"/>
              </w:rPr>
              <w:t xml:space="preserve">6.37</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B">
            <w:pPr>
              <w:jc w:val="right"/>
              <w:rPr>
                <w:rFonts w:ascii="Avenir" w:cs="Avenir" w:eastAsia="Avenir" w:hAnsi="Avenir"/>
              </w:rPr>
            </w:pPr>
            <w:r w:rsidDel="00000000" w:rsidR="00000000" w:rsidRPr="00000000">
              <w:rPr>
                <w:rFonts w:ascii="Avenir" w:cs="Avenir" w:eastAsia="Avenir" w:hAnsi="Avenir"/>
                <w:sz w:val="24"/>
                <w:szCs w:val="24"/>
                <w:rtl w:val="0"/>
              </w:rPr>
              <w:t xml:space="preserve">6.39</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BC">
            <w:pPr>
              <w:jc w:val="right"/>
              <w:rPr>
                <w:rFonts w:ascii="Avenir" w:cs="Avenir" w:eastAsia="Avenir" w:hAnsi="Avenir"/>
              </w:rPr>
            </w:pPr>
            <w:r w:rsidDel="00000000" w:rsidR="00000000" w:rsidRPr="00000000">
              <w:rPr>
                <w:rFonts w:ascii="Avenir" w:cs="Avenir" w:eastAsia="Avenir" w:hAnsi="Avenir"/>
                <w:sz w:val="24"/>
                <w:szCs w:val="24"/>
                <w:rtl w:val="0"/>
              </w:rPr>
              <w:t xml:space="preserve">6.40</w:t>
            </w:r>
            <w:r w:rsidDel="00000000" w:rsidR="00000000" w:rsidRPr="00000000">
              <w:rPr>
                <w:rtl w:val="0"/>
              </w:rPr>
            </w:r>
          </w:p>
        </w:tc>
      </w:tr>
      <w:tr>
        <w:trPr>
          <w:cantSplit w:val="0"/>
          <w:trHeight w:val="415" w:hRule="atLeast"/>
          <w:tblHeader w:val="0"/>
        </w:trPr>
        <w:tc>
          <w:tcPr>
            <w:vMerge w:val="continue"/>
            <w:tcBorders>
              <w:top w:color="000000" w:space="0" w:sz="0" w:val="nil"/>
              <w:left w:color="000000" w:space="0" w:sz="0" w:val="nil"/>
              <w:bottom w:color="000000" w:space="0" w:sz="0" w:val="nil"/>
              <w:right w:color="ffffff"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BD">
            <w:pPr>
              <w:rPr>
                <w:rFonts w:ascii="Avenir" w:cs="Avenir" w:eastAsia="Avenir" w:hAnsi="Avenir"/>
              </w:rPr>
            </w:pP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BE">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500</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BF">
            <w:pPr>
              <w:jc w:val="right"/>
              <w:rPr>
                <w:rFonts w:ascii="Avenir" w:cs="Avenir" w:eastAsia="Avenir" w:hAnsi="Avenir"/>
              </w:rPr>
            </w:pPr>
            <w:r w:rsidDel="00000000" w:rsidR="00000000" w:rsidRPr="00000000">
              <w:rPr>
                <w:rFonts w:ascii="Avenir" w:cs="Avenir" w:eastAsia="Avenir" w:hAnsi="Avenir"/>
                <w:sz w:val="24"/>
                <w:szCs w:val="24"/>
                <w:rtl w:val="0"/>
              </w:rPr>
              <w:t xml:space="preserve">4.41</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C0">
            <w:pPr>
              <w:jc w:val="right"/>
              <w:rPr>
                <w:rFonts w:ascii="Avenir" w:cs="Avenir" w:eastAsia="Avenir" w:hAnsi="Avenir"/>
              </w:rPr>
            </w:pPr>
            <w:r w:rsidDel="00000000" w:rsidR="00000000" w:rsidRPr="00000000">
              <w:rPr>
                <w:rFonts w:ascii="Avenir" w:cs="Avenir" w:eastAsia="Avenir" w:hAnsi="Avenir"/>
                <w:sz w:val="24"/>
                <w:szCs w:val="24"/>
                <w:rtl w:val="0"/>
              </w:rPr>
              <w:t xml:space="preserve">5.04</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C1">
            <w:pPr>
              <w:jc w:val="right"/>
              <w:rPr>
                <w:rFonts w:ascii="Avenir" w:cs="Avenir" w:eastAsia="Avenir" w:hAnsi="Avenir"/>
              </w:rPr>
            </w:pPr>
            <w:r w:rsidDel="00000000" w:rsidR="00000000" w:rsidRPr="00000000">
              <w:rPr>
                <w:rFonts w:ascii="Avenir" w:cs="Avenir" w:eastAsia="Avenir" w:hAnsi="Avenir"/>
                <w:sz w:val="24"/>
                <w:szCs w:val="24"/>
                <w:rtl w:val="0"/>
              </w:rPr>
              <w:t xml:space="preserve">5.79</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C2">
            <w:pPr>
              <w:jc w:val="right"/>
              <w:rPr>
                <w:rFonts w:ascii="Avenir" w:cs="Avenir" w:eastAsia="Avenir" w:hAnsi="Avenir"/>
              </w:rPr>
            </w:pPr>
            <w:r w:rsidDel="00000000" w:rsidR="00000000" w:rsidRPr="00000000">
              <w:rPr>
                <w:rFonts w:ascii="Avenir" w:cs="Avenir" w:eastAsia="Avenir" w:hAnsi="Avenir"/>
                <w:sz w:val="24"/>
                <w:szCs w:val="24"/>
                <w:rtl w:val="0"/>
              </w:rPr>
              <w:t xml:space="preserve">6.08</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C3">
            <w:pPr>
              <w:jc w:val="right"/>
              <w:rPr>
                <w:rFonts w:ascii="Avenir" w:cs="Avenir" w:eastAsia="Avenir" w:hAnsi="Avenir"/>
              </w:rPr>
            </w:pPr>
            <w:r w:rsidDel="00000000" w:rsidR="00000000" w:rsidRPr="00000000">
              <w:rPr>
                <w:rFonts w:ascii="Avenir" w:cs="Avenir" w:eastAsia="Avenir" w:hAnsi="Avenir"/>
                <w:sz w:val="24"/>
                <w:szCs w:val="24"/>
                <w:rtl w:val="0"/>
              </w:rPr>
              <w:t xml:space="preserve">6.17</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C4">
            <w:pPr>
              <w:jc w:val="right"/>
              <w:rPr>
                <w:rFonts w:ascii="Avenir" w:cs="Avenir" w:eastAsia="Avenir" w:hAnsi="Avenir"/>
              </w:rPr>
            </w:pPr>
            <w:r w:rsidDel="00000000" w:rsidR="00000000" w:rsidRPr="00000000">
              <w:rPr>
                <w:rFonts w:ascii="Avenir" w:cs="Avenir" w:eastAsia="Avenir" w:hAnsi="Avenir"/>
                <w:sz w:val="24"/>
                <w:szCs w:val="24"/>
                <w:rtl w:val="0"/>
              </w:rPr>
              <w:t xml:space="preserve">6.20</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C5">
            <w:pPr>
              <w:jc w:val="right"/>
              <w:rPr>
                <w:rFonts w:ascii="Avenir" w:cs="Avenir" w:eastAsia="Avenir" w:hAnsi="Avenir"/>
              </w:rPr>
            </w:pPr>
            <w:r w:rsidDel="00000000" w:rsidR="00000000" w:rsidRPr="00000000">
              <w:rPr>
                <w:rFonts w:ascii="Avenir" w:cs="Avenir" w:eastAsia="Avenir" w:hAnsi="Avenir"/>
                <w:sz w:val="24"/>
                <w:szCs w:val="24"/>
                <w:rtl w:val="0"/>
              </w:rPr>
              <w:t xml:space="preserve">6.21</w:t>
            </w:r>
            <w:r w:rsidDel="00000000" w:rsidR="00000000" w:rsidRPr="00000000">
              <w:rPr>
                <w:rtl w:val="0"/>
              </w:rPr>
            </w:r>
          </w:p>
        </w:tc>
      </w:tr>
      <w:tr>
        <w:trPr>
          <w:cantSplit w:val="0"/>
          <w:trHeight w:val="415" w:hRule="atLeast"/>
          <w:tblHeader w:val="0"/>
        </w:trPr>
        <w:tc>
          <w:tcPr>
            <w:vMerge w:val="continue"/>
            <w:tcBorders>
              <w:top w:color="000000" w:space="0" w:sz="0" w:val="nil"/>
              <w:left w:color="000000" w:space="0" w:sz="0" w:val="nil"/>
              <w:bottom w:color="000000" w:space="0" w:sz="0" w:val="nil"/>
              <w:right w:color="ffffff"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C6">
            <w:pPr>
              <w:rPr>
                <w:rFonts w:ascii="Avenir" w:cs="Avenir" w:eastAsia="Avenir" w:hAnsi="Avenir"/>
              </w:rPr>
            </w:pP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7">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400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8">
            <w:pPr>
              <w:jc w:val="right"/>
              <w:rPr>
                <w:rFonts w:ascii="Avenir" w:cs="Avenir" w:eastAsia="Avenir" w:hAnsi="Avenir"/>
              </w:rPr>
            </w:pPr>
            <w:r w:rsidDel="00000000" w:rsidR="00000000" w:rsidRPr="00000000">
              <w:rPr>
                <w:rFonts w:ascii="Avenir" w:cs="Avenir" w:eastAsia="Avenir" w:hAnsi="Avenir"/>
                <w:sz w:val="24"/>
                <w:szCs w:val="24"/>
                <w:rtl w:val="0"/>
              </w:rPr>
              <w:t xml:space="preserve">3.77</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9">
            <w:pPr>
              <w:jc w:val="right"/>
              <w:rPr>
                <w:rFonts w:ascii="Avenir" w:cs="Avenir" w:eastAsia="Avenir" w:hAnsi="Avenir"/>
              </w:rPr>
            </w:pPr>
            <w:r w:rsidDel="00000000" w:rsidR="00000000" w:rsidRPr="00000000">
              <w:rPr>
                <w:rFonts w:ascii="Avenir" w:cs="Avenir" w:eastAsia="Avenir" w:hAnsi="Avenir"/>
                <w:sz w:val="24"/>
                <w:szCs w:val="24"/>
                <w:rtl w:val="0"/>
              </w:rPr>
              <w:t xml:space="preserve">4.54</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A">
            <w:pPr>
              <w:jc w:val="right"/>
              <w:rPr>
                <w:rFonts w:ascii="Avenir" w:cs="Avenir" w:eastAsia="Avenir" w:hAnsi="Avenir"/>
              </w:rPr>
            </w:pPr>
            <w:r w:rsidDel="00000000" w:rsidR="00000000" w:rsidRPr="00000000">
              <w:rPr>
                <w:rFonts w:ascii="Avenir" w:cs="Avenir" w:eastAsia="Avenir" w:hAnsi="Avenir"/>
                <w:sz w:val="24"/>
                <w:szCs w:val="24"/>
                <w:rtl w:val="0"/>
              </w:rPr>
              <w:t xml:space="preserve">5.47</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B">
            <w:pPr>
              <w:jc w:val="right"/>
              <w:rPr>
                <w:rFonts w:ascii="Avenir" w:cs="Avenir" w:eastAsia="Avenir" w:hAnsi="Avenir"/>
              </w:rPr>
            </w:pPr>
            <w:r w:rsidDel="00000000" w:rsidR="00000000" w:rsidRPr="00000000">
              <w:rPr>
                <w:rFonts w:ascii="Avenir" w:cs="Avenir" w:eastAsia="Avenir" w:hAnsi="Avenir"/>
                <w:sz w:val="24"/>
                <w:szCs w:val="24"/>
                <w:rtl w:val="0"/>
              </w:rPr>
              <w:t xml:space="preserve">5.82</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C">
            <w:pPr>
              <w:jc w:val="right"/>
              <w:rPr>
                <w:rFonts w:ascii="Avenir" w:cs="Avenir" w:eastAsia="Avenir" w:hAnsi="Avenir"/>
              </w:rPr>
            </w:pPr>
            <w:r w:rsidDel="00000000" w:rsidR="00000000" w:rsidRPr="00000000">
              <w:rPr>
                <w:rFonts w:ascii="Avenir" w:cs="Avenir" w:eastAsia="Avenir" w:hAnsi="Avenir"/>
                <w:sz w:val="24"/>
                <w:szCs w:val="24"/>
                <w:rtl w:val="0"/>
              </w:rPr>
              <w:t xml:space="preserve">5.94</w:t>
            </w:r>
            <w:r w:rsidDel="00000000" w:rsidR="00000000" w:rsidRPr="00000000">
              <w:rPr>
                <w:rtl w:val="0"/>
              </w:rPr>
            </w:r>
          </w:p>
        </w:tc>
        <w:tc>
          <w:tcPr>
            <w:tcBorders>
              <w:top w:color="ffffff" w:space="0" w:sz="6" w:val="single"/>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D">
            <w:pPr>
              <w:jc w:val="right"/>
              <w:rPr>
                <w:rFonts w:ascii="Avenir" w:cs="Avenir" w:eastAsia="Avenir" w:hAnsi="Avenir"/>
              </w:rPr>
            </w:pPr>
            <w:r w:rsidDel="00000000" w:rsidR="00000000" w:rsidRPr="00000000">
              <w:rPr>
                <w:rFonts w:ascii="Avenir" w:cs="Avenir" w:eastAsia="Avenir" w:hAnsi="Avenir"/>
                <w:sz w:val="24"/>
                <w:szCs w:val="24"/>
                <w:rtl w:val="0"/>
              </w:rPr>
              <w:t xml:space="preserve">5.98</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CE">
            <w:pPr>
              <w:jc w:val="right"/>
              <w:rPr>
                <w:rFonts w:ascii="Avenir" w:cs="Avenir" w:eastAsia="Avenir" w:hAnsi="Avenir"/>
              </w:rPr>
            </w:pPr>
            <w:r w:rsidDel="00000000" w:rsidR="00000000" w:rsidRPr="00000000">
              <w:rPr>
                <w:rFonts w:ascii="Avenir" w:cs="Avenir" w:eastAsia="Avenir" w:hAnsi="Avenir"/>
                <w:sz w:val="24"/>
                <w:szCs w:val="24"/>
                <w:rtl w:val="0"/>
              </w:rPr>
              <w:t xml:space="preserve">5.99</w:t>
            </w:r>
            <w:r w:rsidDel="00000000" w:rsidR="00000000" w:rsidRPr="00000000">
              <w:rPr>
                <w:rtl w:val="0"/>
              </w:rPr>
            </w:r>
          </w:p>
        </w:tc>
      </w:tr>
      <w:tr>
        <w:trPr>
          <w:cantSplit w:val="0"/>
          <w:trHeight w:val="415" w:hRule="atLeast"/>
          <w:tblHeader w:val="0"/>
        </w:trPr>
        <w:tc>
          <w:tcPr>
            <w:vMerge w:val="continue"/>
            <w:tcBorders>
              <w:top w:color="000000" w:space="0" w:sz="0" w:val="nil"/>
              <w:left w:color="000000" w:space="0" w:sz="0" w:val="nil"/>
              <w:bottom w:color="000000" w:space="0" w:sz="0" w:val="nil"/>
              <w:right w:color="ffffff"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CF">
            <w:pPr>
              <w:rPr>
                <w:rFonts w:ascii="Avenir" w:cs="Avenir" w:eastAsia="Avenir" w:hAnsi="Avenir"/>
              </w:rPr>
            </w:pP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0">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300</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1">
            <w:pPr>
              <w:jc w:val="right"/>
              <w:rPr>
                <w:rFonts w:ascii="Avenir" w:cs="Avenir" w:eastAsia="Avenir" w:hAnsi="Avenir"/>
              </w:rPr>
            </w:pPr>
            <w:r w:rsidDel="00000000" w:rsidR="00000000" w:rsidRPr="00000000">
              <w:rPr>
                <w:rFonts w:ascii="Avenir" w:cs="Avenir" w:eastAsia="Avenir" w:hAnsi="Avenir"/>
                <w:sz w:val="24"/>
                <w:szCs w:val="24"/>
                <w:rtl w:val="0"/>
              </w:rPr>
              <w:t xml:space="preserve">3.17</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2">
            <w:pPr>
              <w:jc w:val="right"/>
              <w:rPr>
                <w:rFonts w:ascii="Avenir" w:cs="Avenir" w:eastAsia="Avenir" w:hAnsi="Avenir"/>
              </w:rPr>
            </w:pPr>
            <w:r w:rsidDel="00000000" w:rsidR="00000000" w:rsidRPr="00000000">
              <w:rPr>
                <w:rFonts w:ascii="Avenir" w:cs="Avenir" w:eastAsia="Avenir" w:hAnsi="Avenir"/>
                <w:sz w:val="24"/>
                <w:szCs w:val="24"/>
                <w:rtl w:val="0"/>
              </w:rPr>
              <w:t xml:space="preserve">4.05</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3">
            <w:pPr>
              <w:jc w:val="right"/>
              <w:rPr>
                <w:rFonts w:ascii="Avenir" w:cs="Avenir" w:eastAsia="Avenir" w:hAnsi="Avenir"/>
              </w:rPr>
            </w:pPr>
            <w:r w:rsidDel="00000000" w:rsidR="00000000" w:rsidRPr="00000000">
              <w:rPr>
                <w:rFonts w:ascii="Avenir" w:cs="Avenir" w:eastAsia="Avenir" w:hAnsi="Avenir"/>
                <w:sz w:val="24"/>
                <w:szCs w:val="24"/>
                <w:rtl w:val="0"/>
              </w:rPr>
              <w:t xml:space="preserve">5.11</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4">
            <w:pPr>
              <w:jc w:val="right"/>
              <w:rPr>
                <w:rFonts w:ascii="Avenir" w:cs="Avenir" w:eastAsia="Avenir" w:hAnsi="Avenir"/>
              </w:rPr>
            </w:pPr>
            <w:r w:rsidDel="00000000" w:rsidR="00000000" w:rsidRPr="00000000">
              <w:rPr>
                <w:rFonts w:ascii="Avenir" w:cs="Avenir" w:eastAsia="Avenir" w:hAnsi="Avenir"/>
                <w:sz w:val="24"/>
                <w:szCs w:val="24"/>
                <w:rtl w:val="0"/>
              </w:rPr>
              <w:t xml:space="preserve">5.51</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5">
            <w:pPr>
              <w:jc w:val="right"/>
              <w:rPr>
                <w:rFonts w:ascii="Avenir" w:cs="Avenir" w:eastAsia="Avenir" w:hAnsi="Avenir"/>
              </w:rPr>
            </w:pPr>
            <w:r w:rsidDel="00000000" w:rsidR="00000000" w:rsidRPr="00000000">
              <w:rPr>
                <w:rFonts w:ascii="Avenir" w:cs="Avenir" w:eastAsia="Avenir" w:hAnsi="Avenir"/>
                <w:sz w:val="24"/>
                <w:szCs w:val="24"/>
                <w:rtl w:val="0"/>
              </w:rPr>
              <w:t xml:space="preserve">5.65</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6">
            <w:pPr>
              <w:jc w:val="right"/>
              <w:rPr>
                <w:rFonts w:ascii="Avenir" w:cs="Avenir" w:eastAsia="Avenir" w:hAnsi="Avenir"/>
              </w:rPr>
            </w:pPr>
            <w:r w:rsidDel="00000000" w:rsidR="00000000" w:rsidRPr="00000000">
              <w:rPr>
                <w:rFonts w:ascii="Avenir" w:cs="Avenir" w:eastAsia="Avenir" w:hAnsi="Avenir"/>
                <w:sz w:val="24"/>
                <w:szCs w:val="24"/>
                <w:rtl w:val="0"/>
              </w:rPr>
              <w:t xml:space="preserve">5.69</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D7">
            <w:pPr>
              <w:jc w:val="right"/>
              <w:rPr>
                <w:rFonts w:ascii="Avenir" w:cs="Avenir" w:eastAsia="Avenir" w:hAnsi="Avenir"/>
              </w:rPr>
            </w:pPr>
            <w:r w:rsidDel="00000000" w:rsidR="00000000" w:rsidRPr="00000000">
              <w:rPr>
                <w:rFonts w:ascii="Avenir" w:cs="Avenir" w:eastAsia="Avenir" w:hAnsi="Avenir"/>
                <w:sz w:val="24"/>
                <w:szCs w:val="24"/>
                <w:rtl w:val="0"/>
              </w:rPr>
              <w:t xml:space="preserve">5.70</w:t>
            </w:r>
            <w:r w:rsidDel="00000000" w:rsidR="00000000" w:rsidRPr="00000000">
              <w:rPr>
                <w:rtl w:val="0"/>
              </w:rPr>
            </w:r>
          </w:p>
        </w:tc>
      </w:tr>
      <w:tr>
        <w:trPr>
          <w:cantSplit w:val="0"/>
          <w:trHeight w:val="415" w:hRule="atLeast"/>
          <w:tblHeader w:val="0"/>
        </w:trPr>
        <w:tc>
          <w:tcPr>
            <w:vMerge w:val="continue"/>
            <w:tcBorders>
              <w:top w:color="000000" w:space="0" w:sz="0" w:val="nil"/>
              <w:left w:color="000000" w:space="0" w:sz="0" w:val="nil"/>
              <w:bottom w:color="000000" w:space="0" w:sz="0" w:val="nil"/>
              <w:right w:color="ffffff"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D8">
            <w:pPr>
              <w:rPr>
                <w:rFonts w:ascii="Avenir" w:cs="Avenir" w:eastAsia="Avenir" w:hAnsi="Avenir"/>
              </w:rPr>
            </w:pP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9">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200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A">
            <w:pPr>
              <w:jc w:val="right"/>
              <w:rPr>
                <w:rFonts w:ascii="Avenir" w:cs="Avenir" w:eastAsia="Avenir" w:hAnsi="Avenir"/>
              </w:rPr>
            </w:pPr>
            <w:r w:rsidDel="00000000" w:rsidR="00000000" w:rsidRPr="00000000">
              <w:rPr>
                <w:rFonts w:ascii="Avenir" w:cs="Avenir" w:eastAsia="Avenir" w:hAnsi="Avenir"/>
                <w:sz w:val="24"/>
                <w:szCs w:val="24"/>
                <w:rtl w:val="0"/>
              </w:rPr>
              <w:t xml:space="preserve">2.59</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B">
            <w:pPr>
              <w:jc w:val="right"/>
              <w:rPr>
                <w:rFonts w:ascii="Avenir" w:cs="Avenir" w:eastAsia="Avenir" w:hAnsi="Avenir"/>
              </w:rPr>
            </w:pPr>
            <w:r w:rsidDel="00000000" w:rsidR="00000000" w:rsidRPr="00000000">
              <w:rPr>
                <w:rFonts w:ascii="Avenir" w:cs="Avenir" w:eastAsia="Avenir" w:hAnsi="Avenir"/>
                <w:sz w:val="24"/>
                <w:szCs w:val="24"/>
                <w:rtl w:val="0"/>
              </w:rPr>
              <w:t xml:space="preserve">3.53</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C">
            <w:pPr>
              <w:jc w:val="right"/>
              <w:rPr>
                <w:rFonts w:ascii="Avenir" w:cs="Avenir" w:eastAsia="Avenir" w:hAnsi="Avenir"/>
              </w:rPr>
            </w:pPr>
            <w:r w:rsidDel="00000000" w:rsidR="00000000" w:rsidRPr="00000000">
              <w:rPr>
                <w:rFonts w:ascii="Avenir" w:cs="Avenir" w:eastAsia="Avenir" w:hAnsi="Avenir"/>
                <w:sz w:val="24"/>
                <w:szCs w:val="24"/>
                <w:rtl w:val="0"/>
              </w:rPr>
              <w:t xml:space="preserve">4.66</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D">
            <w:pPr>
              <w:jc w:val="right"/>
              <w:rPr>
                <w:rFonts w:ascii="Avenir" w:cs="Avenir" w:eastAsia="Avenir" w:hAnsi="Avenir"/>
              </w:rPr>
            </w:pPr>
            <w:r w:rsidDel="00000000" w:rsidR="00000000" w:rsidRPr="00000000">
              <w:rPr>
                <w:rFonts w:ascii="Avenir" w:cs="Avenir" w:eastAsia="Avenir" w:hAnsi="Avenir"/>
                <w:sz w:val="24"/>
                <w:szCs w:val="24"/>
                <w:rtl w:val="0"/>
              </w:rPr>
              <w:t xml:space="preserve">5.10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E">
            <w:pPr>
              <w:jc w:val="right"/>
              <w:rPr>
                <w:rFonts w:ascii="Avenir" w:cs="Avenir" w:eastAsia="Avenir" w:hAnsi="Avenir"/>
              </w:rPr>
            </w:pPr>
            <w:r w:rsidDel="00000000" w:rsidR="00000000" w:rsidRPr="00000000">
              <w:rPr>
                <w:rFonts w:ascii="Avenir" w:cs="Avenir" w:eastAsia="Avenir" w:hAnsi="Avenir"/>
                <w:sz w:val="24"/>
                <w:szCs w:val="24"/>
                <w:rtl w:val="0"/>
              </w:rPr>
              <w:t xml:space="preserve">5.24</w:t>
            </w:r>
            <w:r w:rsidDel="00000000" w:rsidR="00000000" w:rsidRPr="00000000">
              <w:rPr>
                <w:rtl w:val="0"/>
              </w:rPr>
            </w:r>
          </w:p>
        </w:tc>
        <w:tc>
          <w:tcPr>
            <w:tcBorders>
              <w:top w:color="ffffff" w:space="0" w:sz="6" w:val="single"/>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DF">
            <w:pPr>
              <w:jc w:val="right"/>
              <w:rPr>
                <w:rFonts w:ascii="Avenir" w:cs="Avenir" w:eastAsia="Avenir" w:hAnsi="Avenir"/>
              </w:rPr>
            </w:pPr>
            <w:r w:rsidDel="00000000" w:rsidR="00000000" w:rsidRPr="00000000">
              <w:rPr>
                <w:rFonts w:ascii="Avenir" w:cs="Avenir" w:eastAsia="Avenir" w:hAnsi="Avenir"/>
                <w:sz w:val="24"/>
                <w:szCs w:val="24"/>
                <w:rtl w:val="0"/>
              </w:rPr>
              <w:t xml:space="preserve">5.28</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E0">
            <w:pPr>
              <w:jc w:val="right"/>
              <w:rPr>
                <w:rFonts w:ascii="Avenir" w:cs="Avenir" w:eastAsia="Avenir" w:hAnsi="Avenir"/>
              </w:rPr>
            </w:pPr>
            <w:r w:rsidDel="00000000" w:rsidR="00000000" w:rsidRPr="00000000">
              <w:rPr>
                <w:rFonts w:ascii="Avenir" w:cs="Avenir" w:eastAsia="Avenir" w:hAnsi="Avenir"/>
                <w:sz w:val="24"/>
                <w:szCs w:val="24"/>
                <w:rtl w:val="0"/>
              </w:rPr>
              <w:t xml:space="preserve">5.30</w:t>
            </w:r>
            <w:r w:rsidDel="00000000" w:rsidR="00000000" w:rsidRPr="00000000">
              <w:rPr>
                <w:rtl w:val="0"/>
              </w:rPr>
            </w:r>
          </w:p>
        </w:tc>
      </w:tr>
      <w:tr>
        <w:trPr>
          <w:cantSplit w:val="0"/>
          <w:trHeight w:val="415" w:hRule="atLeast"/>
          <w:tblHeader w:val="0"/>
        </w:trPr>
        <w:tc>
          <w:tcPr>
            <w:vMerge w:val="continue"/>
            <w:tcBorders>
              <w:top w:color="000000" w:space="0" w:sz="0" w:val="nil"/>
              <w:left w:color="000000" w:space="0" w:sz="0" w:val="nil"/>
              <w:bottom w:color="000000" w:space="0" w:sz="0" w:val="nil"/>
              <w:right w:color="ffffff"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1">
            <w:pPr>
              <w:rPr>
                <w:rFonts w:ascii="Avenir" w:cs="Avenir" w:eastAsia="Avenir" w:hAnsi="Avenir"/>
              </w:rPr>
            </w:pP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2">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100</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3">
            <w:pPr>
              <w:jc w:val="right"/>
              <w:rPr>
                <w:rFonts w:ascii="Avenir" w:cs="Avenir" w:eastAsia="Avenir" w:hAnsi="Avenir"/>
              </w:rPr>
            </w:pPr>
            <w:r w:rsidDel="00000000" w:rsidR="00000000" w:rsidRPr="00000000">
              <w:rPr>
                <w:rFonts w:ascii="Avenir" w:cs="Avenir" w:eastAsia="Avenir" w:hAnsi="Avenir"/>
                <w:sz w:val="24"/>
                <w:szCs w:val="24"/>
                <w:rtl w:val="0"/>
              </w:rPr>
              <w:t xml:space="preserve">1.98</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4">
            <w:pPr>
              <w:jc w:val="right"/>
              <w:rPr>
                <w:rFonts w:ascii="Avenir" w:cs="Avenir" w:eastAsia="Avenir" w:hAnsi="Avenir"/>
              </w:rPr>
            </w:pPr>
            <w:r w:rsidDel="00000000" w:rsidR="00000000" w:rsidRPr="00000000">
              <w:rPr>
                <w:rFonts w:ascii="Avenir" w:cs="Avenir" w:eastAsia="Avenir" w:hAnsi="Avenir"/>
                <w:sz w:val="24"/>
                <w:szCs w:val="24"/>
                <w:rtl w:val="0"/>
              </w:rPr>
              <w:t xml:space="preserve">2.89</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5">
            <w:pPr>
              <w:jc w:val="right"/>
              <w:rPr>
                <w:rFonts w:ascii="Avenir" w:cs="Avenir" w:eastAsia="Avenir" w:hAnsi="Avenir"/>
              </w:rPr>
            </w:pPr>
            <w:r w:rsidDel="00000000" w:rsidR="00000000" w:rsidRPr="00000000">
              <w:rPr>
                <w:rFonts w:ascii="Avenir" w:cs="Avenir" w:eastAsia="Avenir" w:hAnsi="Avenir"/>
                <w:sz w:val="24"/>
                <w:szCs w:val="24"/>
                <w:rtl w:val="0"/>
              </w:rPr>
              <w:t xml:space="preserve">3.99</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6">
            <w:pPr>
              <w:jc w:val="right"/>
              <w:rPr>
                <w:rFonts w:ascii="Avenir" w:cs="Avenir" w:eastAsia="Avenir" w:hAnsi="Avenir"/>
              </w:rPr>
            </w:pPr>
            <w:r w:rsidDel="00000000" w:rsidR="00000000" w:rsidRPr="00000000">
              <w:rPr>
                <w:rFonts w:ascii="Avenir" w:cs="Avenir" w:eastAsia="Avenir" w:hAnsi="Avenir"/>
                <w:sz w:val="24"/>
                <w:szCs w:val="24"/>
                <w:rtl w:val="0"/>
              </w:rPr>
              <w:t xml:space="preserve">4.41</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7">
            <w:pPr>
              <w:jc w:val="right"/>
              <w:rPr>
                <w:rFonts w:ascii="Avenir" w:cs="Avenir" w:eastAsia="Avenir" w:hAnsi="Avenir"/>
              </w:rPr>
            </w:pPr>
            <w:r w:rsidDel="00000000" w:rsidR="00000000" w:rsidRPr="00000000">
              <w:rPr>
                <w:rFonts w:ascii="Avenir" w:cs="Avenir" w:eastAsia="Avenir" w:hAnsi="Avenir"/>
                <w:sz w:val="24"/>
                <w:szCs w:val="24"/>
                <w:rtl w:val="0"/>
              </w:rPr>
              <w:t xml:space="preserve">4.54</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8">
            <w:pPr>
              <w:jc w:val="right"/>
              <w:rPr>
                <w:rFonts w:ascii="Avenir" w:cs="Avenir" w:eastAsia="Avenir" w:hAnsi="Avenir"/>
              </w:rPr>
            </w:pPr>
            <w:r w:rsidDel="00000000" w:rsidR="00000000" w:rsidRPr="00000000">
              <w:rPr>
                <w:rFonts w:ascii="Avenir" w:cs="Avenir" w:eastAsia="Avenir" w:hAnsi="Avenir"/>
                <w:sz w:val="24"/>
                <w:szCs w:val="24"/>
                <w:rtl w:val="0"/>
              </w:rPr>
              <w:t xml:space="preserve">4.59</w:t>
            </w:r>
            <w:r w:rsidDel="00000000" w:rsidR="00000000" w:rsidRPr="00000000">
              <w:rPr>
                <w:rtl w:val="0"/>
              </w:rPr>
            </w:r>
          </w:p>
        </w:tc>
        <w:tc>
          <w:tcPr>
            <w:tcBorders>
              <w:top w:color="000000" w:space="0" w:sz="0" w:val="nil"/>
              <w:left w:color="000000" w:space="0" w:sz="0" w:val="nil"/>
              <w:bottom w:color="000000" w:space="0" w:sz="0" w:val="nil"/>
              <w:right w:color="ffffff" w:space="0" w:sz="6" w:val="single"/>
            </w:tcBorders>
            <w:shd w:fill="d9e1f2" w:val="clear"/>
            <w:tcMar>
              <w:top w:w="20.0" w:type="dxa"/>
              <w:left w:w="20.0" w:type="dxa"/>
              <w:bottom w:w="100.0" w:type="dxa"/>
              <w:right w:w="20.0" w:type="dxa"/>
            </w:tcMar>
            <w:vAlign w:val="bottom"/>
          </w:tcPr>
          <w:p w:rsidR="00000000" w:rsidDel="00000000" w:rsidP="00000000" w:rsidRDefault="00000000" w:rsidRPr="00000000" w14:paraId="000000E9">
            <w:pPr>
              <w:jc w:val="right"/>
              <w:rPr>
                <w:rFonts w:ascii="Avenir" w:cs="Avenir" w:eastAsia="Avenir" w:hAnsi="Avenir"/>
              </w:rPr>
            </w:pPr>
            <w:r w:rsidDel="00000000" w:rsidR="00000000" w:rsidRPr="00000000">
              <w:rPr>
                <w:rFonts w:ascii="Avenir" w:cs="Avenir" w:eastAsia="Avenir" w:hAnsi="Avenir"/>
                <w:sz w:val="24"/>
                <w:szCs w:val="24"/>
                <w:rtl w:val="0"/>
              </w:rPr>
              <w:t xml:space="preserve">4.61</w:t>
            </w:r>
            <w:r w:rsidDel="00000000" w:rsidR="00000000" w:rsidRPr="00000000">
              <w:rPr>
                <w:rtl w:val="0"/>
              </w:rPr>
            </w:r>
          </w:p>
        </w:tc>
      </w:tr>
      <w:tr>
        <w:trPr>
          <w:cantSplit w:val="0"/>
          <w:trHeight w:val="415" w:hRule="atLeast"/>
          <w:tblHeader w:val="0"/>
        </w:trPr>
        <w:tc>
          <w:tcPr>
            <w:vMerge w:val="continue"/>
            <w:tcBorders>
              <w:top w:color="000000" w:space="0" w:sz="0" w:val="nil"/>
              <w:left w:color="000000" w:space="0" w:sz="0" w:val="nil"/>
              <w:bottom w:color="000000" w:space="0" w:sz="0" w:val="nil"/>
              <w:right w:color="ffffff"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EA">
            <w:pPr>
              <w:rPr>
                <w:rFonts w:ascii="Avenir" w:cs="Avenir" w:eastAsia="Avenir" w:hAnsi="Avenir"/>
              </w:rPr>
            </w:pP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EB">
            <w:pPr>
              <w:jc w:val="right"/>
              <w:rPr>
                <w:rFonts w:ascii="Avenir" w:cs="Avenir" w:eastAsia="Avenir" w:hAnsi="Avenir"/>
              </w:rPr>
            </w:pPr>
            <w:r w:rsidDel="00000000" w:rsidR="00000000" w:rsidRPr="00000000">
              <w:rPr>
                <w:rFonts w:ascii="Avenir" w:cs="Avenir" w:eastAsia="Avenir" w:hAnsi="Avenir"/>
                <w:b w:val="1"/>
                <w:sz w:val="24"/>
                <w:szCs w:val="24"/>
                <w:rtl w:val="0"/>
              </w:rPr>
              <w:t xml:space="preserve">50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EC">
            <w:pPr>
              <w:jc w:val="right"/>
              <w:rPr>
                <w:rFonts w:ascii="Avenir" w:cs="Avenir" w:eastAsia="Avenir" w:hAnsi="Avenir"/>
              </w:rPr>
            </w:pPr>
            <w:r w:rsidDel="00000000" w:rsidR="00000000" w:rsidRPr="00000000">
              <w:rPr>
                <w:rFonts w:ascii="Avenir" w:cs="Avenir" w:eastAsia="Avenir" w:hAnsi="Avenir"/>
                <w:sz w:val="24"/>
                <w:szCs w:val="24"/>
                <w:rtl w:val="0"/>
              </w:rPr>
              <w:t xml:space="preserve">1.55</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ED">
            <w:pPr>
              <w:jc w:val="right"/>
              <w:rPr>
                <w:rFonts w:ascii="Avenir" w:cs="Avenir" w:eastAsia="Avenir" w:hAnsi="Avenir"/>
              </w:rPr>
            </w:pPr>
            <w:r w:rsidDel="00000000" w:rsidR="00000000" w:rsidRPr="00000000">
              <w:rPr>
                <w:rFonts w:ascii="Avenir" w:cs="Avenir" w:eastAsia="Avenir" w:hAnsi="Avenir"/>
                <w:sz w:val="24"/>
                <w:szCs w:val="24"/>
                <w:rtl w:val="0"/>
              </w:rPr>
              <w:t xml:space="preserve">2.37</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EE">
            <w:pPr>
              <w:jc w:val="right"/>
              <w:rPr>
                <w:rFonts w:ascii="Avenir" w:cs="Avenir" w:eastAsia="Avenir" w:hAnsi="Avenir"/>
              </w:rPr>
            </w:pPr>
            <w:r w:rsidDel="00000000" w:rsidR="00000000" w:rsidRPr="00000000">
              <w:rPr>
                <w:rFonts w:ascii="Avenir" w:cs="Avenir" w:eastAsia="Avenir" w:hAnsi="Avenir"/>
                <w:sz w:val="24"/>
                <w:szCs w:val="24"/>
                <w:rtl w:val="0"/>
              </w:rPr>
              <w:t xml:space="preserve">3.36</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EF">
            <w:pPr>
              <w:jc w:val="right"/>
              <w:rPr>
                <w:rFonts w:ascii="Avenir" w:cs="Avenir" w:eastAsia="Avenir" w:hAnsi="Avenir"/>
              </w:rPr>
            </w:pPr>
            <w:r w:rsidDel="00000000" w:rsidR="00000000" w:rsidRPr="00000000">
              <w:rPr>
                <w:rFonts w:ascii="Avenir" w:cs="Avenir" w:eastAsia="Avenir" w:hAnsi="Avenir"/>
                <w:sz w:val="24"/>
                <w:szCs w:val="24"/>
                <w:rtl w:val="0"/>
              </w:rPr>
              <w:t xml:space="preserve">3.74</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F0">
            <w:pPr>
              <w:jc w:val="right"/>
              <w:rPr>
                <w:rFonts w:ascii="Avenir" w:cs="Avenir" w:eastAsia="Avenir" w:hAnsi="Avenir"/>
              </w:rPr>
            </w:pPr>
            <w:r w:rsidDel="00000000" w:rsidR="00000000" w:rsidRPr="00000000">
              <w:rPr>
                <w:rFonts w:ascii="Avenir" w:cs="Avenir" w:eastAsia="Avenir" w:hAnsi="Avenir"/>
                <w:sz w:val="24"/>
                <w:szCs w:val="24"/>
                <w:rtl w:val="0"/>
              </w:rPr>
              <w:t xml:space="preserve">3.86</w:t>
            </w:r>
            <w:r w:rsidDel="00000000" w:rsidR="00000000" w:rsidRPr="00000000">
              <w:rPr>
                <w:rtl w:val="0"/>
              </w:rPr>
            </w:r>
          </w:p>
        </w:tc>
        <w:tc>
          <w:tcPr>
            <w:tcBorders>
              <w:top w:color="ffffff" w:space="0" w:sz="6" w:val="single"/>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F1">
            <w:pPr>
              <w:jc w:val="right"/>
              <w:rPr>
                <w:rFonts w:ascii="Avenir" w:cs="Avenir" w:eastAsia="Avenir" w:hAnsi="Avenir"/>
              </w:rPr>
            </w:pPr>
            <w:r w:rsidDel="00000000" w:rsidR="00000000" w:rsidRPr="00000000">
              <w:rPr>
                <w:rFonts w:ascii="Avenir" w:cs="Avenir" w:eastAsia="Avenir" w:hAnsi="Avenir"/>
                <w:sz w:val="24"/>
                <w:szCs w:val="24"/>
                <w:rtl w:val="0"/>
              </w:rPr>
              <w:t xml:space="preserve">3.90</w:t>
            </w:r>
            <w:r w:rsidDel="00000000" w:rsidR="00000000" w:rsidRPr="00000000">
              <w:rPr>
                <w:rtl w:val="0"/>
              </w:rPr>
            </w:r>
          </w:p>
        </w:tc>
        <w:tc>
          <w:tcPr>
            <w:tcBorders>
              <w:top w:color="000000" w:space="0" w:sz="0" w:val="nil"/>
              <w:left w:color="000000" w:space="0" w:sz="0" w:val="nil"/>
              <w:bottom w:color="ffffff" w:space="0" w:sz="6" w:val="single"/>
              <w:right w:color="ffffff" w:space="0" w:sz="6" w:val="single"/>
            </w:tcBorders>
            <w:shd w:fill="b4c6e7" w:val="clear"/>
            <w:tcMar>
              <w:top w:w="20.0" w:type="dxa"/>
              <w:left w:w="20.0" w:type="dxa"/>
              <w:bottom w:w="100.0" w:type="dxa"/>
              <w:right w:w="20.0" w:type="dxa"/>
            </w:tcMar>
            <w:vAlign w:val="bottom"/>
          </w:tcPr>
          <w:p w:rsidR="00000000" w:rsidDel="00000000" w:rsidP="00000000" w:rsidRDefault="00000000" w:rsidRPr="00000000" w14:paraId="000000F2">
            <w:pPr>
              <w:jc w:val="right"/>
              <w:rPr>
                <w:rFonts w:ascii="Avenir" w:cs="Avenir" w:eastAsia="Avenir" w:hAnsi="Avenir"/>
              </w:rPr>
            </w:pPr>
            <w:r w:rsidDel="00000000" w:rsidR="00000000" w:rsidRPr="00000000">
              <w:rPr>
                <w:rFonts w:ascii="Avenir" w:cs="Avenir" w:eastAsia="Avenir" w:hAnsi="Avenir"/>
                <w:sz w:val="24"/>
                <w:szCs w:val="24"/>
                <w:rtl w:val="0"/>
              </w:rPr>
              <w:t xml:space="preserve">3.91</w:t>
            </w:r>
            <w:r w:rsidDel="00000000" w:rsidR="00000000" w:rsidRPr="00000000">
              <w:rPr>
                <w:rtl w:val="0"/>
              </w:rPr>
            </w:r>
          </w:p>
        </w:tc>
      </w:tr>
    </w:tbl>
    <w:p w:rsidR="00000000" w:rsidDel="00000000" w:rsidP="00000000" w:rsidRDefault="00000000" w:rsidRPr="00000000" w14:paraId="000000F3">
      <w:pPr>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3</w:t>
      </w:r>
      <w:r w:rsidDel="00000000" w:rsidR="00000000" w:rsidRPr="00000000">
        <w:rPr>
          <w:rFonts w:ascii="Avenir" w:cs="Avenir" w:eastAsia="Avenir" w:hAnsi="Avenir"/>
          <w:rtl w:val="0"/>
        </w:rPr>
        <w:t xml:space="preserve">: Modeled life expectancies of people after stopping ART depend on both CD4 nadir and the number of months on treatment.</w:t>
      </w:r>
    </w:p>
    <w:p w:rsidR="00000000" w:rsidDel="00000000" w:rsidP="00000000" w:rsidRDefault="00000000" w:rsidRPr="00000000" w14:paraId="000000F4">
      <w:pPr>
        <w:jc w:val="left"/>
        <w:rPr>
          <w:rFonts w:ascii="Avenir" w:cs="Avenir" w:eastAsia="Avenir" w:hAnsi="Avenir"/>
        </w:rPr>
      </w:pPr>
      <w:r w:rsidDel="00000000" w:rsidR="00000000" w:rsidRPr="00000000">
        <w:rPr>
          <w:rtl w:val="0"/>
        </w:rPr>
      </w:r>
    </w:p>
    <w:p w:rsidR="00000000" w:rsidDel="00000000" w:rsidP="00000000" w:rsidRDefault="00000000" w:rsidRPr="00000000" w14:paraId="000000F5">
      <w:pPr>
        <w:rPr>
          <w:rFonts w:ascii="Avenir" w:cs="Avenir" w:eastAsia="Avenir" w:hAnsi="Avenir"/>
        </w:rPr>
      </w:pPr>
      <w:r w:rsidDel="00000000" w:rsidR="00000000" w:rsidRPr="00000000">
        <w:rPr>
          <w:rFonts w:ascii="Avenir" w:cs="Avenir" w:eastAsia="Avenir" w:hAnsi="Avenir"/>
          <w:rtl w:val="0"/>
        </w:rPr>
        <w:t xml:space="preserve">After we have drawn the life expectancy for individuals who have stopped ART, their CD4 counts are assumed to linearly decline from the time at which they stopped treatment until AIDS-related death. Note that death may occur before their sampled life expectancy if they die of opportunistic infection or non-HIV-related causes beforehand.</w:t>
      </w:r>
    </w:p>
    <w:p w:rsidR="00000000" w:rsidDel="00000000" w:rsidP="00000000" w:rsidRDefault="00000000" w:rsidRPr="00000000" w14:paraId="000000F6">
      <w:pPr>
        <w:rPr>
          <w:rFonts w:ascii="Avenir" w:cs="Avenir" w:eastAsia="Avenir" w:hAnsi="Avenir"/>
        </w:rPr>
      </w:pPr>
      <w:r w:rsidDel="00000000" w:rsidR="00000000" w:rsidRPr="00000000">
        <w:rPr>
          <w:rtl w:val="0"/>
        </w:rPr>
      </w:r>
    </w:p>
    <w:p w:rsidR="00000000" w:rsidDel="00000000" w:rsidP="00000000" w:rsidRDefault="00000000" w:rsidRPr="00000000" w14:paraId="000000F7">
      <w:pPr>
        <w:rPr>
          <w:rFonts w:ascii="Avenir" w:cs="Avenir" w:eastAsia="Avenir" w:hAnsi="Avenir"/>
        </w:rPr>
      </w:pPr>
      <w:r w:rsidDel="00000000" w:rsidR="00000000" w:rsidRPr="00000000">
        <w:rPr>
          <w:rFonts w:ascii="Avenir" w:cs="Avenir" w:eastAsia="Avenir" w:hAnsi="Avenir"/>
          <w:rtl w:val="0"/>
        </w:rPr>
        <w:t xml:space="preserve">It is common for individuals to start and stop ART multiple times over the course of their lives. Within the model, individuals who reinitiate on ART after stopping will once again experience CD4 reconstitution following the functions described in Figure S2.</w:t>
      </w:r>
    </w:p>
    <w:p w:rsidR="00000000" w:rsidDel="00000000" w:rsidP="00000000" w:rsidRDefault="00000000" w:rsidRPr="00000000" w14:paraId="000000F8">
      <w:pPr>
        <w:rPr>
          <w:rFonts w:ascii="Avenir" w:cs="Avenir" w:eastAsia="Avenir" w:hAnsi="Avenir"/>
        </w:rPr>
      </w:pPr>
      <w:r w:rsidDel="00000000" w:rsidR="00000000" w:rsidRPr="00000000">
        <w:rPr>
          <w:rtl w:val="0"/>
        </w:rPr>
      </w:r>
    </w:p>
    <w:p w:rsidR="00000000" w:rsidDel="00000000" w:rsidP="00000000" w:rsidRDefault="00000000" w:rsidRPr="00000000" w14:paraId="000000F9">
      <w:pPr>
        <w:pStyle w:val="Heading2"/>
        <w:rPr>
          <w:rFonts w:ascii="Avenir" w:cs="Avenir" w:eastAsia="Avenir" w:hAnsi="Avenir"/>
        </w:rPr>
      </w:pPr>
      <w:bookmarkStart w:colFirst="0" w:colLast="0" w:name="_1t8u6zg5yyvn" w:id="16"/>
      <w:bookmarkEnd w:id="16"/>
      <w:r w:rsidDel="00000000" w:rsidR="00000000" w:rsidRPr="00000000">
        <w:rPr>
          <w:rFonts w:ascii="Avenir" w:cs="Avenir" w:eastAsia="Avenir" w:hAnsi="Avenir"/>
          <w:rtl w:val="0"/>
        </w:rPr>
        <w:t xml:space="preserve">Transmission </w:t>
      </w:r>
    </w:p>
    <w:p w:rsidR="00000000" w:rsidDel="00000000" w:rsidP="00000000" w:rsidRDefault="00000000" w:rsidRPr="00000000" w14:paraId="000000FA">
      <w:pPr>
        <w:rPr>
          <w:rFonts w:ascii="Avenir" w:cs="Avenir" w:eastAsia="Avenir" w:hAnsi="Avenir"/>
        </w:rPr>
      </w:pPr>
      <w:r w:rsidDel="00000000" w:rsidR="00000000" w:rsidRPr="00000000">
        <w:rPr>
          <w:rFonts w:ascii="Avenir" w:cs="Avenir" w:eastAsia="Avenir" w:hAnsi="Avenir"/>
          <w:rtl w:val="0"/>
        </w:rPr>
        <w:t xml:space="preserve">For sexual transmission, we use an estimated per-act transmission probability of 0.04% (0.01%-0.14%) for female-to-male transmission and 0.08% (0.06%-0.11%) for male-to-female transmission, following the Optima HIV model which was based on a 2009 systematic review and meta-analysis of heterosexual risk of HIV transmission </w:t>
      </w:r>
      <w:r w:rsidDel="00000000" w:rsidR="00000000" w:rsidRPr="00000000">
        <w:rPr>
          <w:rFonts w:ascii="Avenir" w:cs="Avenir" w:eastAsia="Avenir" w:hAnsi="Avenir"/>
          <w:shd w:fill="auto" w:val="clear"/>
          <w:vertAlign w:val="baseline"/>
          <w:rtl w:val="0"/>
        </w:rPr>
        <w:t xml:space="preserve">(34,44)</w:t>
      </w:r>
      <w:r w:rsidDel="00000000" w:rsidR="00000000" w:rsidRPr="00000000">
        <w:rPr>
          <w:rFonts w:ascii="Avenir" w:cs="Avenir" w:eastAsia="Avenir" w:hAnsi="Avenir"/>
          <w:rtl w:val="0"/>
        </w:rPr>
        <w:t xml:space="preserve">. For maternal transmission, we assume an overall transmission risk of 36.7% for breastfeeding mothers and 20.5% (14.0%-27.0%) for non-breastfeeding mothers, again following the Optima HIV model which was based on a randomized clinical trial of 400 women </w:t>
      </w:r>
      <w:r w:rsidDel="00000000" w:rsidR="00000000" w:rsidRPr="00000000">
        <w:rPr>
          <w:rFonts w:ascii="Avenir" w:cs="Avenir" w:eastAsia="Avenir" w:hAnsi="Avenir"/>
          <w:shd w:fill="auto" w:val="clear"/>
          <w:vertAlign w:val="baseline"/>
          <w:rtl w:val="0"/>
        </w:rPr>
        <w:t xml:space="preserve">(45)</w:t>
      </w:r>
      <w:r w:rsidDel="00000000" w:rsidR="00000000" w:rsidRPr="00000000">
        <w:rPr>
          <w:rFonts w:ascii="Avenir" w:cs="Avenir" w:eastAsia="Avenir" w:hAnsi="Avenir"/>
          <w:rtl w:val="0"/>
        </w:rPr>
        <w:t xml:space="preserve">. </w:t>
      </w:r>
      <w:r w:rsidDel="00000000" w:rsidR="00000000" w:rsidRPr="00000000">
        <w:rPr>
          <w:rtl w:val="0"/>
        </w:rPr>
      </w:r>
    </w:p>
    <w:p w:rsidR="00000000" w:rsidDel="00000000" w:rsidP="00000000" w:rsidRDefault="00000000" w:rsidRPr="00000000" w14:paraId="000000FB">
      <w:pPr>
        <w:rPr>
          <w:rFonts w:ascii="Avenir" w:cs="Avenir" w:eastAsia="Avenir" w:hAnsi="Avenir"/>
        </w:rPr>
      </w:pPr>
      <w:r w:rsidDel="00000000" w:rsidR="00000000" w:rsidRPr="00000000">
        <w:rPr>
          <w:rtl w:val="0"/>
        </w:rPr>
      </w:r>
    </w:p>
    <w:p w:rsidR="00000000" w:rsidDel="00000000" w:rsidP="00000000" w:rsidRDefault="00000000" w:rsidRPr="00000000" w14:paraId="000000FC">
      <w:pPr>
        <w:pStyle w:val="Heading2"/>
        <w:rPr>
          <w:rFonts w:ascii="Avenir" w:cs="Avenir" w:eastAsia="Avenir" w:hAnsi="Avenir"/>
        </w:rPr>
      </w:pPr>
      <w:bookmarkStart w:colFirst="0" w:colLast="0" w:name="_ovwunzx61idc" w:id="17"/>
      <w:bookmarkEnd w:id="17"/>
      <w:r w:rsidDel="00000000" w:rsidR="00000000" w:rsidRPr="00000000">
        <w:rPr>
          <w:rFonts w:ascii="Avenir" w:cs="Avenir" w:eastAsia="Avenir" w:hAnsi="Avenir"/>
          <w:rtl w:val="0"/>
        </w:rPr>
        <w:t xml:space="preserve">Care-seeking, testing, and treatment</w:t>
      </w:r>
    </w:p>
    <w:p w:rsidR="00000000" w:rsidDel="00000000" w:rsidP="00000000" w:rsidRDefault="00000000" w:rsidRPr="00000000" w14:paraId="000000FD">
      <w:pPr>
        <w:rPr>
          <w:rFonts w:ascii="Avenir" w:cs="Avenir" w:eastAsia="Avenir" w:hAnsi="Avenir"/>
        </w:rPr>
      </w:pPr>
      <w:r w:rsidDel="00000000" w:rsidR="00000000" w:rsidRPr="00000000">
        <w:rPr>
          <w:rFonts w:ascii="Avenir" w:cs="Avenir" w:eastAsia="Avenir" w:hAnsi="Avenir"/>
          <w:rtl w:val="0"/>
        </w:rPr>
        <w:t xml:space="preserve">Data on HIV testing rates are available from the DHS and from the Zimbabwe PHIA study </w:t>
      </w:r>
      <w:r w:rsidDel="00000000" w:rsidR="00000000" w:rsidRPr="00000000">
        <w:rPr>
          <w:rFonts w:ascii="Avenir" w:cs="Avenir" w:eastAsia="Avenir" w:hAnsi="Avenir"/>
          <w:shd w:fill="auto" w:val="clear"/>
          <w:vertAlign w:val="baseline"/>
          <w:rtl w:val="0"/>
        </w:rPr>
        <w:t xml:space="preserve">(46,47)</w:t>
      </w:r>
      <w:r w:rsidDel="00000000" w:rsidR="00000000" w:rsidRPr="00000000">
        <w:rPr>
          <w:rFonts w:ascii="Avenir" w:cs="Avenir" w:eastAsia="Avenir" w:hAnsi="Avenir"/>
          <w:rtl w:val="0"/>
        </w:rPr>
        <w:t xml:space="preserve">. We capture four different modes of HIV testing: symptomatic testing rates for those with AIDS (CD4&lt;200), testing rates among female sex workers (FSW), testing rates at antenatal clinics (ANC), and other general population testing rates. Values for all of these are adjusted to match the proportion of people living with HIV who are aware of their status, reported as 86.8% in ZIMPHIA. In 2020, this implies annual testing rates of 85% among people with AIDS, 75% among FSW, 90% among ANCs, and 10% among the general population.</w:t>
      </w:r>
    </w:p>
    <w:p w:rsidR="00000000" w:rsidDel="00000000" w:rsidP="00000000" w:rsidRDefault="00000000" w:rsidRPr="00000000" w14:paraId="000000FE">
      <w:pPr>
        <w:rPr>
          <w:rFonts w:ascii="Avenir" w:cs="Avenir" w:eastAsia="Avenir" w:hAnsi="Avenir"/>
        </w:rPr>
      </w:pPr>
      <w:r w:rsidDel="00000000" w:rsidR="00000000" w:rsidRPr="00000000">
        <w:rPr>
          <w:rtl w:val="0"/>
        </w:rPr>
      </w:r>
    </w:p>
    <w:p w:rsidR="00000000" w:rsidDel="00000000" w:rsidP="00000000" w:rsidRDefault="00000000" w:rsidRPr="00000000" w14:paraId="000000FF">
      <w:pPr>
        <w:rPr>
          <w:rFonts w:ascii="Avenir" w:cs="Avenir" w:eastAsia="Avenir" w:hAnsi="Avenir"/>
        </w:rPr>
      </w:pPr>
      <w:r w:rsidDel="00000000" w:rsidR="00000000" w:rsidRPr="00000000">
        <w:rPr>
          <w:rFonts w:ascii="Avenir" w:cs="Avenir" w:eastAsia="Avenir" w:hAnsi="Avenir"/>
          <w:rtl w:val="0"/>
        </w:rPr>
        <w:t xml:space="preserve">Across populations, there is significant variation in health-seeking behavior and preferences. We do not attempt to model this in a detailed or causative way, but we do assign each individual agent in the model a care-seeking propensity, drawn from a normal distribution centered at 1, with higher values representing individuals who are more likely to seek care. We then use this care-seeking value to help determine which individuals are more likely to commence treatment. Within the model, any individual who tests positive is eligible to commence ART. We do not explicitly capture the CD4 eligibility constraints that were in effect for much of the early era of treatment, but rather we use an ART prioritization algorithm that accounts for both CD4 count and care-seeking behavior, as follows: </w:t>
      </w:r>
    </w:p>
    <w:p w:rsidR="00000000" w:rsidDel="00000000" w:rsidP="00000000" w:rsidRDefault="00000000" w:rsidRPr="00000000" w14:paraId="00000100">
      <w:pPr>
        <w:numPr>
          <w:ilvl w:val="0"/>
          <w:numId w:val="1"/>
        </w:numPr>
        <w:ind w:left="720" w:hanging="360"/>
        <w:rPr>
          <w:rFonts w:ascii="Avenir" w:cs="Avenir" w:eastAsia="Avenir" w:hAnsi="Avenir"/>
        </w:rPr>
      </w:pPr>
      <w:r w:rsidDel="00000000" w:rsidR="00000000" w:rsidRPr="00000000">
        <w:rPr>
          <w:rFonts w:ascii="Avenir" w:cs="Avenir" w:eastAsia="Avenir" w:hAnsi="Avenir"/>
          <w:rtl w:val="0"/>
        </w:rPr>
        <w:t xml:space="preserve">Those who have just tested positive to HIV are assumed to be initiated onto ART, with an assumed initiation rate of 90%</w:t>
      </w:r>
    </w:p>
    <w:p w:rsidR="00000000" w:rsidDel="00000000" w:rsidP="00000000" w:rsidRDefault="00000000" w:rsidRPr="00000000" w14:paraId="00000101">
      <w:pPr>
        <w:numPr>
          <w:ilvl w:val="0"/>
          <w:numId w:val="1"/>
        </w:numPr>
        <w:ind w:left="720" w:hanging="360"/>
        <w:rPr>
          <w:rFonts w:ascii="Avenir" w:cs="Avenir" w:eastAsia="Avenir" w:hAnsi="Avenir"/>
        </w:rPr>
      </w:pPr>
      <w:r w:rsidDel="00000000" w:rsidR="00000000" w:rsidRPr="00000000">
        <w:rPr>
          <w:rFonts w:ascii="Avenir" w:cs="Avenir" w:eastAsia="Avenir" w:hAnsi="Avenir"/>
          <w:rtl w:val="0"/>
        </w:rPr>
        <w:t xml:space="preserve">We then determine the difference between the modeled estimate of the number of people receiving treatment and data from UNAIDS on the number of people receiving ART each year from 1990 to 2023.</w:t>
      </w:r>
    </w:p>
    <w:p w:rsidR="00000000" w:rsidDel="00000000" w:rsidP="00000000" w:rsidRDefault="00000000" w:rsidRPr="00000000" w14:paraId="00000102">
      <w:pPr>
        <w:numPr>
          <w:ilvl w:val="1"/>
          <w:numId w:val="1"/>
        </w:numPr>
        <w:ind w:left="1440" w:hanging="360"/>
        <w:rPr>
          <w:rFonts w:ascii="Avenir" w:cs="Avenir" w:eastAsia="Avenir" w:hAnsi="Avenir"/>
        </w:rPr>
      </w:pPr>
      <w:r w:rsidDel="00000000" w:rsidR="00000000" w:rsidRPr="00000000">
        <w:rPr>
          <w:rFonts w:ascii="Avenir" w:cs="Avenir" w:eastAsia="Avenir" w:hAnsi="Avenir"/>
          <w:rtl w:val="0"/>
        </w:rPr>
        <w:t xml:space="preserve">If this difference is negative, it implies that there is additional available treatment to be distributed, e.g. to people who tested positive at previous points in time but did not immediately initiate treatment, or to people who stopped treatment. Each diagnosed, untreated individual is given a ranking defined as CD4/care-seeking. Individuals are then given treatment starting with those with the lowest values. This implies, for example, that an individual with a low CD4 count of 200 and low care-seeking of 0.5 would be equally likely to commence treatment compared to an individual with a CD4 count of 400 and care-seeking of 1. </w:t>
      </w:r>
    </w:p>
    <w:p w:rsidR="00000000" w:rsidDel="00000000" w:rsidP="00000000" w:rsidRDefault="00000000" w:rsidRPr="00000000" w14:paraId="00000103">
      <w:pPr>
        <w:numPr>
          <w:ilvl w:val="1"/>
          <w:numId w:val="1"/>
        </w:numPr>
        <w:ind w:left="1440" w:hanging="360"/>
        <w:rPr>
          <w:rFonts w:ascii="Avenir" w:cs="Avenir" w:eastAsia="Avenir" w:hAnsi="Avenir"/>
        </w:rPr>
      </w:pPr>
      <w:r w:rsidDel="00000000" w:rsidR="00000000" w:rsidRPr="00000000">
        <w:rPr>
          <w:rFonts w:ascii="Avenir" w:cs="Avenir" w:eastAsia="Avenir" w:hAnsi="Avenir"/>
          <w:rtl w:val="0"/>
        </w:rPr>
        <w:t xml:space="preserve">If this difference is positive, it implies that the model has overestimated the number of people on treatment. We therefore remove some people. Each treated individual is given a ranking defined as CD4/care-seeking. Individual agents are then removed from treatment starting with those with the highest values, since this corresponds to people with either high CD4 counts or low care-seeking behavior.</w:t>
      </w:r>
    </w:p>
    <w:p w:rsidR="00000000" w:rsidDel="00000000" w:rsidP="00000000" w:rsidRDefault="00000000" w:rsidRPr="00000000" w14:paraId="00000104">
      <w:pPr>
        <w:rPr>
          <w:rFonts w:ascii="Avenir" w:cs="Avenir" w:eastAsia="Avenir" w:hAnsi="Avenir"/>
        </w:rPr>
      </w:pPr>
      <w:r w:rsidDel="00000000" w:rsidR="00000000" w:rsidRPr="00000000">
        <w:rPr>
          <w:rtl w:val="0"/>
        </w:rPr>
      </w:r>
    </w:p>
    <w:p w:rsidR="00000000" w:rsidDel="00000000" w:rsidP="00000000" w:rsidRDefault="00000000" w:rsidRPr="00000000" w14:paraId="00000105">
      <w:pPr>
        <w:rPr>
          <w:rFonts w:ascii="Avenir" w:cs="Avenir" w:eastAsia="Avenir" w:hAnsi="Avenir"/>
        </w:rPr>
      </w:pPr>
      <w:r w:rsidDel="00000000" w:rsidR="00000000" w:rsidRPr="00000000">
        <w:rPr>
          <w:rFonts w:ascii="Avenir" w:cs="Avenir" w:eastAsia="Avenir" w:hAnsi="Avenir"/>
          <w:rtl w:val="0"/>
        </w:rPr>
        <w:t xml:space="preserve">Upon commencing ART, we determine the length of time that a person is likely to continue ART. By default, we assume long durations of treatment (log-normally distributed with a mean of 20 years), since the algorithm above will naturally impose treatment interruptions especially for those with low care-seeking behavior. </w:t>
      </w:r>
    </w:p>
    <w:p w:rsidR="00000000" w:rsidDel="00000000" w:rsidP="00000000" w:rsidRDefault="00000000" w:rsidRPr="00000000" w14:paraId="00000106">
      <w:pPr>
        <w:rPr>
          <w:rFonts w:ascii="Avenir" w:cs="Avenir" w:eastAsia="Avenir" w:hAnsi="Avenir"/>
        </w:rPr>
      </w:pPr>
      <w:r w:rsidDel="00000000" w:rsidR="00000000" w:rsidRPr="00000000">
        <w:rPr>
          <w:rtl w:val="0"/>
        </w:rPr>
      </w:r>
    </w:p>
    <w:p w:rsidR="00000000" w:rsidDel="00000000" w:rsidP="00000000" w:rsidRDefault="00000000" w:rsidRPr="00000000" w14:paraId="00000107">
      <w:pPr>
        <w:pStyle w:val="Heading1"/>
        <w:rPr>
          <w:rFonts w:ascii="Avenir" w:cs="Avenir" w:eastAsia="Avenir" w:hAnsi="Avenir"/>
        </w:rPr>
      </w:pPr>
      <w:bookmarkStart w:colFirst="0" w:colLast="0" w:name="_68cy1s2zkcrb" w:id="18"/>
      <w:bookmarkEnd w:id="18"/>
      <w:r w:rsidDel="00000000" w:rsidR="00000000" w:rsidRPr="00000000">
        <w:rPr>
          <w:rFonts w:ascii="Avenir" w:cs="Avenir" w:eastAsia="Avenir" w:hAnsi="Avenir"/>
          <w:rtl w:val="0"/>
        </w:rPr>
        <w:t xml:space="preserve">Interactions between HIV and discharging STIs</w:t>
      </w:r>
    </w:p>
    <w:p w:rsidR="00000000" w:rsidDel="00000000" w:rsidP="00000000" w:rsidRDefault="00000000" w:rsidRPr="00000000" w14:paraId="00000108">
      <w:pPr>
        <w:rPr>
          <w:rFonts w:ascii="Avenir" w:cs="Avenir" w:eastAsia="Avenir" w:hAnsi="Avenir"/>
        </w:rPr>
      </w:pPr>
      <w:r w:rsidDel="00000000" w:rsidR="00000000" w:rsidRPr="00000000">
        <w:rPr>
          <w:rFonts w:ascii="Avenir" w:cs="Avenir" w:eastAsia="Avenir" w:hAnsi="Avenir"/>
          <w:rtl w:val="0"/>
        </w:rPr>
        <w:t xml:space="preserve">People living with HIV (PLHIV) have elevated prevalence of STIs. A systematic review of 37 studies of STI-HIV co-infection prevalence estimated the mean point-prevalence of STI infection among PLHIV as 16.3%, with syphilis, NG, CT, and TV being the most common </w:t>
      </w:r>
      <w:r w:rsidDel="00000000" w:rsidR="00000000" w:rsidRPr="00000000">
        <w:rPr>
          <w:shd w:fill="auto" w:val="clear"/>
          <w:vertAlign w:val="baseline"/>
          <w:rtl w:val="0"/>
        </w:rPr>
        <w:t xml:space="preserve">(48)</w:t>
      </w:r>
      <w:r w:rsidDel="00000000" w:rsidR="00000000" w:rsidRPr="00000000">
        <w:rPr>
          <w:rFonts w:ascii="Avenir" w:cs="Avenir" w:eastAsia="Avenir" w:hAnsi="Avenir"/>
          <w:rtl w:val="0"/>
        </w:rPr>
        <w:t xml:space="preserve">. The elevated prevalence is reflective of both behavioral and biological interactions between STIs and HIV. The behavioral interactions will be implicitly accounted for within our modeling framework because there is a common sexual network responsible for all transmission events, so those with riskier sexual behavior will already be at elevated risk of both HIV and STI transmission. In terms of the biological interactions, there are numerous studies pointing to evidence that STIs can increase the risks of both transmission and acquisition of HIV </w:t>
      </w:r>
      <w:r w:rsidDel="00000000" w:rsidR="00000000" w:rsidRPr="00000000">
        <w:rPr>
          <w:shd w:fill="auto" w:val="clear"/>
          <w:vertAlign w:val="baseline"/>
          <w:rtl w:val="0"/>
        </w:rPr>
        <w:t xml:space="preserve">(44,49–53)</w:t>
      </w:r>
      <w:r w:rsidDel="00000000" w:rsidR="00000000" w:rsidRPr="00000000">
        <w:rPr>
          <w:rFonts w:ascii="Avenir" w:cs="Avenir" w:eastAsia="Avenir" w:hAnsi="Avenir"/>
          <w:rtl w:val="0"/>
        </w:rPr>
        <w:t xml:space="preserve">. Table S</w:t>
      </w:r>
      <w:r w:rsidDel="00000000" w:rsidR="00000000" w:rsidRPr="00000000">
        <w:rPr>
          <w:rtl w:val="0"/>
        </w:rPr>
        <w:t xml:space="preserve">4</w:t>
      </w:r>
      <w:r w:rsidDel="00000000" w:rsidR="00000000" w:rsidRPr="00000000">
        <w:rPr>
          <w:rFonts w:ascii="Avenir" w:cs="Avenir" w:eastAsia="Avenir" w:hAnsi="Avenir"/>
          <w:rtl w:val="0"/>
        </w:rPr>
        <w:t xml:space="preserve"> reports the parameters used within the model to capture the relative risks of HIV acquisition and transmission by STI and by sex. These are generally taken as the midpoints of ranges reported across systematic reviews/meta-analyses and large prospective cohort studies comparing HIV risk for those with and without an STI by sex, as referenced in the caption Table S</w:t>
      </w:r>
      <w:r w:rsidDel="00000000" w:rsidR="00000000" w:rsidRPr="00000000">
        <w:rPr>
          <w:rtl w:val="0"/>
        </w:rPr>
        <w:t xml:space="preserve">3</w:t>
      </w:r>
      <w:r w:rsidDel="00000000" w:rsidR="00000000" w:rsidRPr="00000000">
        <w:rPr>
          <w:rFonts w:ascii="Avenir" w:cs="Avenir" w:eastAsia="Avenir" w:hAnsi="Avenir"/>
          <w:rtl w:val="0"/>
        </w:rPr>
        <w:t xml:space="preserve">.</w:t>
      </w:r>
    </w:p>
    <w:p w:rsidR="00000000" w:rsidDel="00000000" w:rsidP="00000000" w:rsidRDefault="00000000" w:rsidRPr="00000000" w14:paraId="00000109">
      <w:pPr>
        <w:rPr>
          <w:rFonts w:ascii="Avenir" w:cs="Avenir" w:eastAsia="Avenir" w:hAnsi="Avenir"/>
        </w:rPr>
      </w:pPr>
      <w:r w:rsidDel="00000000" w:rsidR="00000000" w:rsidRPr="00000000">
        <w:rPr>
          <w:rtl w:val="0"/>
        </w:rPr>
      </w:r>
    </w:p>
    <w:tbl>
      <w:tblPr>
        <w:tblStyle w:val="Table4"/>
        <w:tblW w:w="89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0.0000000000001"/>
        <w:gridCol w:w="1425"/>
        <w:gridCol w:w="1425"/>
        <w:gridCol w:w="1425"/>
        <w:gridCol w:w="1425"/>
        <w:gridCol w:w="1425"/>
        <w:gridCol w:w="1425"/>
        <w:tblGridChange w:id="0">
          <w:tblGrid>
            <w:gridCol w:w="380.0000000000001"/>
            <w:gridCol w:w="1425"/>
            <w:gridCol w:w="1425"/>
            <w:gridCol w:w="1425"/>
            <w:gridCol w:w="1425"/>
            <w:gridCol w:w="1425"/>
            <w:gridCol w:w="1425"/>
          </w:tblGrid>
        </w:tblGridChange>
      </w:tblGrid>
      <w:tr>
        <w:trPr>
          <w:cantSplit w:val="0"/>
          <w:trHeight w:val="4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RR of HIV acquisition</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RR of HIV transmission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TV</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jc w:val="center"/>
              <w:rPr>
                <w:rFonts w:ascii="Avenir" w:cs="Avenir" w:eastAsia="Avenir" w:hAnsi="Avenir"/>
              </w:rPr>
            </w:pPr>
            <w:r w:rsidDel="00000000" w:rsidR="00000000" w:rsidRPr="00000000">
              <w:rPr>
                <w:rFonts w:ascii="Avenir" w:cs="Avenir" w:eastAsia="Avenir" w:hAnsi="Avenir"/>
                <w:rtl w:val="0"/>
              </w:rPr>
              <w:t xml:space="preserve">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jc w:val="center"/>
              <w:rPr>
                <w:rFonts w:ascii="Avenir" w:cs="Avenir" w:eastAsia="Avenir" w:hAnsi="Avenir"/>
              </w:rPr>
            </w:pPr>
            <w:r w:rsidDel="00000000" w:rsidR="00000000" w:rsidRPr="00000000">
              <w:rPr>
                <w:rFonts w:ascii="Avenir" w:cs="Avenir" w:eastAsia="Avenir" w:hAnsi="Avenir"/>
                <w:rtl w:val="0"/>
              </w:rPr>
              <w:t xml:space="preserv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jc w:val="center"/>
              <w:rPr>
                <w:rFonts w:ascii="Avenir" w:cs="Avenir" w:eastAsia="Avenir" w:hAnsi="Avenir"/>
              </w:rPr>
            </w:pPr>
            <w:r w:rsidDel="00000000" w:rsidR="00000000" w:rsidRPr="00000000">
              <w:rPr>
                <w:rFonts w:ascii="Avenir" w:cs="Avenir" w:eastAsia="Avenir" w:hAnsi="Avenir"/>
                <w:rtl w:val="0"/>
              </w:rPr>
              <w:t xml:space="preserve">TV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F</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3.0 (1.4–7.4)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2.1 (1.2–3.0)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1.5 (1.2–2.2)</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1.6 (1.1–2.4)</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jc w:val="center"/>
              <w:rPr>
                <w:rFonts w:ascii="Avenir" w:cs="Avenir" w:eastAsia="Avenir" w:hAnsi="Avenir"/>
              </w:rPr>
            </w:pPr>
            <w:r w:rsidDel="00000000" w:rsidR="00000000" w:rsidRPr="00000000">
              <w:rPr>
                <w:rFonts w:ascii="Avenir" w:cs="Avenir" w:eastAsia="Avenir" w:hAnsi="Avenir"/>
                <w:rtl w:val="0"/>
              </w:rPr>
              <w:t xml:space="preserve">1.8 (1.1–3.1)</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1.0 (0.9–1.3)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M</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3.0 (1.9–4.0)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1.0 (0.8–3.9)</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1.8 (1.2–2.7)</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1.8 (1.1–3.1)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venir" w:cs="Avenir" w:eastAsia="Avenir" w:hAnsi="Avenir"/>
              </w:rPr>
            </w:pPr>
            <w:r w:rsidDel="00000000" w:rsidR="00000000" w:rsidRPr="00000000">
              <w:rPr>
                <w:rFonts w:ascii="Avenir" w:cs="Avenir" w:eastAsia="Avenir" w:hAnsi="Avenir"/>
                <w:rtl w:val="0"/>
              </w:rPr>
              <w:t xml:space="preserve">-</w:t>
            </w:r>
          </w:p>
        </w:tc>
      </w:tr>
    </w:tbl>
    <w:p w:rsidR="00000000" w:rsidDel="00000000" w:rsidP="00000000" w:rsidRDefault="00000000" w:rsidRPr="00000000" w14:paraId="00000126">
      <w:pPr>
        <w:rPr>
          <w:rFonts w:ascii="Avenir" w:cs="Avenir" w:eastAsia="Avenir" w:hAnsi="Avenir"/>
          <w:highlight w:val="yellow"/>
        </w:rPr>
      </w:pPr>
      <w:r w:rsidDel="00000000" w:rsidR="00000000" w:rsidRPr="00000000">
        <w:rPr>
          <w:rFonts w:ascii="Avenir" w:cs="Avenir" w:eastAsia="Avenir" w:hAnsi="Avenir"/>
          <w:rtl w:val="0"/>
        </w:rPr>
        <w:t xml:space="preserve">Table S</w:t>
      </w:r>
      <w:r w:rsidDel="00000000" w:rsidR="00000000" w:rsidRPr="00000000">
        <w:rPr>
          <w:rtl w:val="0"/>
        </w:rPr>
        <w:t xml:space="preserve">4</w:t>
      </w:r>
      <w:r w:rsidDel="00000000" w:rsidR="00000000" w:rsidRPr="00000000">
        <w:rPr>
          <w:rFonts w:ascii="Avenir" w:cs="Avenir" w:eastAsia="Avenir" w:hAnsi="Avenir"/>
          <w:rtl w:val="0"/>
        </w:rPr>
        <w:t xml:space="preserve">: relative risk of HIV acquisition and transmission in those with an STI by sex. Evidence is compiled from </w:t>
      </w:r>
      <w:r w:rsidDel="00000000" w:rsidR="00000000" w:rsidRPr="00000000">
        <w:rPr>
          <w:shd w:fill="auto" w:val="clear"/>
          <w:vertAlign w:val="baseline"/>
          <w:rtl w:val="0"/>
        </w:rPr>
        <w:t xml:space="preserve">(48,52,54)</w:t>
      </w:r>
      <w:r w:rsidDel="00000000" w:rsidR="00000000" w:rsidRPr="00000000">
        <w:rPr>
          <w:rFonts w:ascii="Avenir" w:cs="Avenir" w:eastAsia="Avenir" w:hAnsi="Avenir"/>
          <w:rtl w:val="0"/>
        </w:rPr>
        <w:t xml:space="preserve">. </w:t>
      </w:r>
      <w:r w:rsidDel="00000000" w:rsidR="00000000" w:rsidRPr="00000000">
        <w:rPr>
          <w:rtl w:val="0"/>
        </w:rPr>
      </w:r>
    </w:p>
    <w:p w:rsidR="00000000" w:rsidDel="00000000" w:rsidP="00000000" w:rsidRDefault="00000000" w:rsidRPr="00000000" w14:paraId="00000127">
      <w:pPr>
        <w:rPr>
          <w:rFonts w:ascii="Avenir" w:cs="Avenir" w:eastAsia="Avenir" w:hAnsi="Avenir"/>
        </w:rPr>
      </w:pPr>
      <w:r w:rsidDel="00000000" w:rsidR="00000000" w:rsidRPr="00000000">
        <w:rPr>
          <w:rtl w:val="0"/>
        </w:rPr>
      </w:r>
    </w:p>
    <w:p w:rsidR="00000000" w:rsidDel="00000000" w:rsidP="00000000" w:rsidRDefault="00000000" w:rsidRPr="00000000" w14:paraId="00000128">
      <w:pPr>
        <w:pStyle w:val="Heading1"/>
        <w:rPr>
          <w:rFonts w:ascii="Avenir" w:cs="Avenir" w:eastAsia="Avenir" w:hAnsi="Avenir"/>
        </w:rPr>
      </w:pPr>
      <w:bookmarkStart w:colFirst="0" w:colLast="0" w:name="_j6htt7jq2q2l" w:id="19"/>
      <w:bookmarkEnd w:id="19"/>
      <w:r w:rsidDel="00000000" w:rsidR="00000000" w:rsidRPr="00000000">
        <w:rPr>
          <w:rFonts w:ascii="Avenir" w:cs="Avenir" w:eastAsia="Avenir" w:hAnsi="Avenir"/>
          <w:rtl w:val="0"/>
        </w:rPr>
        <w:t xml:space="preserve">Sexual network</w:t>
      </w:r>
    </w:p>
    <w:p w:rsidR="00000000" w:rsidDel="00000000" w:rsidP="00000000" w:rsidRDefault="00000000" w:rsidRPr="00000000" w14:paraId="00000129">
      <w:pPr>
        <w:rPr>
          <w:rFonts w:ascii="Avenir" w:cs="Avenir" w:eastAsia="Avenir" w:hAnsi="Avenir"/>
        </w:rPr>
      </w:pPr>
      <w:r w:rsidDel="00000000" w:rsidR="00000000" w:rsidRPr="00000000">
        <w:rPr>
          <w:rtl w:val="0"/>
        </w:rPr>
      </w:r>
    </w:p>
    <w:p w:rsidR="00000000" w:rsidDel="00000000" w:rsidP="00000000" w:rsidRDefault="00000000" w:rsidRPr="00000000" w14:paraId="0000012A">
      <w:pPr>
        <w:pStyle w:val="Heading2"/>
        <w:rPr>
          <w:rFonts w:ascii="Avenir" w:cs="Avenir" w:eastAsia="Avenir" w:hAnsi="Avenir"/>
        </w:rPr>
      </w:pPr>
      <w:bookmarkStart w:colFirst="0" w:colLast="0" w:name="_ntj9ul9lros4" w:id="20"/>
      <w:bookmarkEnd w:id="20"/>
      <w:r w:rsidDel="00000000" w:rsidR="00000000" w:rsidRPr="00000000">
        <w:rPr>
          <w:rFonts w:ascii="Avenir" w:cs="Avenir" w:eastAsia="Avenir" w:hAnsi="Avenir"/>
          <w:rtl w:val="0"/>
        </w:rPr>
        <w:t xml:space="preserve">Age and risk categories</w:t>
      </w:r>
    </w:p>
    <w:p w:rsidR="00000000" w:rsidDel="00000000" w:rsidP="00000000" w:rsidRDefault="00000000" w:rsidRPr="00000000" w14:paraId="0000012B">
      <w:pPr>
        <w:rPr>
          <w:rFonts w:ascii="Avenir" w:cs="Avenir" w:eastAsia="Avenir" w:hAnsi="Avenir"/>
        </w:rPr>
      </w:pPr>
      <w:r w:rsidDel="00000000" w:rsidR="00000000" w:rsidRPr="00000000">
        <w:rPr>
          <w:rFonts w:ascii="Avenir" w:cs="Avenir" w:eastAsia="Avenir" w:hAnsi="Avenir"/>
          <w:rtl w:val="0"/>
        </w:rPr>
        <w:t xml:space="preserve">We use an age- and risk-structured sexual network where agents are assigned into one of 3 main risk groups, as summarized in Table S</w:t>
      </w:r>
      <w:r w:rsidDel="00000000" w:rsidR="00000000" w:rsidRPr="00000000">
        <w:rPr>
          <w:rtl w:val="0"/>
        </w:rPr>
        <w:t xml:space="preserve">5</w:t>
      </w:r>
      <w:r w:rsidDel="00000000" w:rsidR="00000000" w:rsidRPr="00000000">
        <w:rPr>
          <w:rFonts w:ascii="Avenir" w:cs="Avenir" w:eastAsia="Avenir" w:hAnsi="Avenir"/>
          <w:rtl w:val="0"/>
        </w:rPr>
        <w:t xml:space="preserve">. </w:t>
      </w:r>
    </w:p>
    <w:p w:rsidR="00000000" w:rsidDel="00000000" w:rsidP="00000000" w:rsidRDefault="00000000" w:rsidRPr="00000000" w14:paraId="0000012C">
      <w:pPr>
        <w:rPr>
          <w:rFonts w:ascii="Avenir" w:cs="Avenir" w:eastAsia="Avenir" w:hAnsi="Avenir"/>
        </w:rPr>
      </w:pPr>
      <w:r w:rsidDel="00000000" w:rsidR="00000000" w:rsidRPr="00000000">
        <w:rPr>
          <w:rtl w:val="0"/>
        </w:rPr>
      </w:r>
    </w:p>
    <w:tbl>
      <w:tblPr>
        <w:tblStyle w:val="Table5"/>
        <w:tblW w:w="90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5"/>
        <w:gridCol w:w="3825"/>
        <w:gridCol w:w="2895"/>
        <w:gridCol w:w="1380"/>
        <w:tblGridChange w:id="0">
          <w:tblGrid>
            <w:gridCol w:w="945"/>
            <w:gridCol w:w="3825"/>
            <w:gridCol w:w="2895"/>
            <w:gridCol w:w="13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ind w:left="0" w:firstLine="0"/>
              <w:rPr>
                <w:rFonts w:ascii="Avenir" w:cs="Avenir" w:eastAsia="Avenir" w:hAnsi="Avenir"/>
                <w:b w:val="1"/>
              </w:rPr>
            </w:pPr>
            <w:r w:rsidDel="00000000" w:rsidR="00000000" w:rsidRPr="00000000">
              <w:rPr>
                <w:rFonts w:ascii="Avenir" w:cs="Avenir" w:eastAsia="Avenir" w:hAnsi="Avenir"/>
                <w:b w:val="1"/>
                <w:rtl w:val="0"/>
              </w:rPr>
              <w:t xml:space="preserve">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b w:val="1"/>
                <w:rtl w:val="0"/>
              </w:rPr>
              <w:t xml:space="preserve">Share of total population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Source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1">
            <w:pPr>
              <w:ind w:left="0" w:firstLine="0"/>
              <w:rPr>
                <w:rFonts w:ascii="Avenir" w:cs="Avenir" w:eastAsia="Avenir" w:hAnsi="Avenir"/>
              </w:rPr>
            </w:pPr>
            <w:r w:rsidDel="00000000" w:rsidR="00000000" w:rsidRPr="00000000">
              <w:rPr>
                <w:rFonts w:ascii="Avenir" w:cs="Avenir" w:eastAsia="Avenir" w:hAnsi="Avenir"/>
                <w:rtl w:val="0"/>
              </w:rPr>
              <w:t xml:space="preserve">Level 0</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Marry and remain married to a single partner throughout their lifetime, with no concurrency for women and limited concurrency for men.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rFonts w:ascii="Avenir" w:cs="Avenir" w:eastAsia="Avenir" w:hAnsi="Avenir"/>
              </w:rPr>
            </w:pPr>
            <w:r w:rsidDel="00000000" w:rsidR="00000000" w:rsidRPr="00000000">
              <w:rPr>
                <w:rtl w:val="0"/>
              </w:rPr>
              <w:t xml:space="preserve">Estimated during calibration – see Table S11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Calibrated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5">
            <w:pPr>
              <w:ind w:left="0" w:firstLine="0"/>
              <w:rPr>
                <w:rFonts w:ascii="Avenir" w:cs="Avenir" w:eastAsia="Avenir" w:hAnsi="Avenir"/>
              </w:rPr>
            </w:pPr>
            <w:r w:rsidDel="00000000" w:rsidR="00000000" w:rsidRPr="00000000">
              <w:rPr>
                <w:rFonts w:ascii="Avenir" w:cs="Avenir" w:eastAsia="Avenir" w:hAnsi="Avenir"/>
                <w:rtl w:val="0"/>
              </w:rPr>
              <w:t xml:space="preserve">Level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ind w:left="0" w:firstLine="0"/>
              <w:rPr>
                <w:rFonts w:ascii="Avenir" w:cs="Avenir" w:eastAsia="Avenir" w:hAnsi="Avenir"/>
              </w:rPr>
            </w:pPr>
            <w:r w:rsidDel="00000000" w:rsidR="00000000" w:rsidRPr="00000000">
              <w:rPr>
                <w:rFonts w:ascii="Avenir" w:cs="Avenir" w:eastAsia="Avenir" w:hAnsi="Avenir"/>
                <w:rtl w:val="0"/>
              </w:rPr>
              <w:t xml:space="preserve">Marry and then divorce or who have concurrent partner(s) during their marriage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ind w:left="0" w:firstLine="0"/>
              <w:rPr>
                <w:rFonts w:ascii="Avenir" w:cs="Avenir" w:eastAsia="Avenir" w:hAnsi="Avenir"/>
              </w:rPr>
            </w:pPr>
            <w:r w:rsidDel="00000000" w:rsidR="00000000" w:rsidRPr="00000000">
              <w:rPr>
                <w:rtl w:val="0"/>
              </w:rPr>
              <w:t xml:space="preserve">Calculated by subtracting the proportions of level 0 and level 2 agents from 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rPr>
                <w:rFonts w:ascii="Avenir" w:cs="Avenir" w:eastAsia="Avenir" w:hAnsi="Avenir"/>
              </w:rPr>
            </w:pPr>
            <w:r w:rsidDel="00000000" w:rsidR="00000000" w:rsidRPr="00000000">
              <w:rPr>
                <w:rtl w:val="0"/>
              </w:rPr>
              <w:t xml:space="preserve">Calculated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ind w:left="0" w:firstLine="0"/>
              <w:rPr>
                <w:rFonts w:ascii="Avenir" w:cs="Avenir" w:eastAsia="Avenir" w:hAnsi="Avenir"/>
              </w:rPr>
            </w:pPr>
            <w:r w:rsidDel="00000000" w:rsidR="00000000" w:rsidRPr="00000000">
              <w:rPr>
                <w:rFonts w:ascii="Avenir" w:cs="Avenir" w:eastAsia="Avenir" w:hAnsi="Avenir"/>
                <w:rtl w:val="0"/>
              </w:rPr>
              <w:t xml:space="preserve">Level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ind w:left="0" w:firstLine="0"/>
              <w:rPr>
                <w:rFonts w:ascii="Avenir" w:cs="Avenir" w:eastAsia="Avenir" w:hAnsi="Avenir"/>
              </w:rPr>
            </w:pPr>
            <w:r w:rsidDel="00000000" w:rsidR="00000000" w:rsidRPr="00000000">
              <w:rPr>
                <w:rFonts w:ascii="Avenir" w:cs="Avenir" w:eastAsia="Avenir" w:hAnsi="Avenir"/>
                <w:rtl w:val="0"/>
              </w:rPr>
              <w:t xml:space="preserve">Never marry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ind w:left="0" w:firstLine="0"/>
              <w:rPr>
                <w:rFonts w:ascii="Avenir" w:cs="Avenir" w:eastAsia="Avenir" w:hAnsi="Avenir"/>
              </w:rPr>
            </w:pPr>
            <w:r w:rsidDel="00000000" w:rsidR="00000000" w:rsidRPr="00000000">
              <w:rPr>
                <w:rFonts w:ascii="Avenir" w:cs="Avenir" w:eastAsia="Avenir" w:hAnsi="Avenir"/>
                <w:rtl w:val="0"/>
              </w:rPr>
              <w:t xml:space="preserve">Women: 1%</w:t>
            </w:r>
          </w:p>
          <w:p w:rsidR="00000000" w:rsidDel="00000000" w:rsidP="00000000" w:rsidRDefault="00000000" w:rsidRPr="00000000" w14:paraId="0000013C">
            <w:pPr>
              <w:ind w:left="0" w:firstLine="0"/>
              <w:rPr>
                <w:rFonts w:ascii="Avenir" w:cs="Avenir" w:eastAsia="Avenir" w:hAnsi="Avenir"/>
              </w:rPr>
            </w:pPr>
            <w:r w:rsidDel="00000000" w:rsidR="00000000" w:rsidRPr="00000000">
              <w:rPr>
                <w:rFonts w:ascii="Avenir" w:cs="Avenir" w:eastAsia="Avenir" w:hAnsi="Avenir"/>
                <w:rtl w:val="0"/>
              </w:rPr>
              <w:t xml:space="preserve">Men: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rFonts w:ascii="Avenir" w:cs="Avenir" w:eastAsia="Avenir" w:hAnsi="Avenir"/>
              </w:rPr>
            </w:pPr>
            <w:r w:rsidDel="00000000" w:rsidR="00000000" w:rsidRPr="00000000">
              <w:rPr>
                <w:rtl w:val="0"/>
              </w:rPr>
              <w:t xml:space="preserve">Assumption</w:t>
            </w:r>
            <w:r w:rsidDel="00000000" w:rsidR="00000000" w:rsidRPr="00000000">
              <w:rPr>
                <w:rtl w:val="0"/>
              </w:rPr>
            </w:r>
          </w:p>
        </w:tc>
      </w:tr>
    </w:tbl>
    <w:p w:rsidR="00000000" w:rsidDel="00000000" w:rsidP="00000000" w:rsidRDefault="00000000" w:rsidRPr="00000000" w14:paraId="0000013E">
      <w:pPr>
        <w:ind w:left="0" w:firstLine="0"/>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5</w:t>
      </w:r>
      <w:r w:rsidDel="00000000" w:rsidR="00000000" w:rsidRPr="00000000">
        <w:rPr>
          <w:rFonts w:ascii="Avenir" w:cs="Avenir" w:eastAsia="Avenir" w:hAnsi="Avenir"/>
          <w:rtl w:val="0"/>
        </w:rPr>
        <w:t xml:space="preserve">: sexual risk group definitions</w:t>
      </w:r>
    </w:p>
    <w:p w:rsidR="00000000" w:rsidDel="00000000" w:rsidP="00000000" w:rsidRDefault="00000000" w:rsidRPr="00000000" w14:paraId="0000013F">
      <w:pPr>
        <w:ind w:left="0" w:firstLine="0"/>
        <w:rPr>
          <w:rFonts w:ascii="Avenir" w:cs="Avenir" w:eastAsia="Avenir" w:hAnsi="Avenir"/>
        </w:rPr>
      </w:pPr>
      <w:r w:rsidDel="00000000" w:rsidR="00000000" w:rsidRPr="00000000">
        <w:rPr>
          <w:rtl w:val="0"/>
        </w:rPr>
      </w:r>
    </w:p>
    <w:p w:rsidR="00000000" w:rsidDel="00000000" w:rsidP="00000000" w:rsidRDefault="00000000" w:rsidRPr="00000000" w14:paraId="00000140">
      <w:pPr>
        <w:rPr>
          <w:rFonts w:ascii="Avenir" w:cs="Avenir" w:eastAsia="Avenir" w:hAnsi="Avenir"/>
        </w:rPr>
      </w:pPr>
      <w:r w:rsidDel="00000000" w:rsidR="00000000" w:rsidRPr="00000000">
        <w:rPr>
          <w:rFonts w:ascii="Avenir" w:cs="Avenir" w:eastAsia="Avenir" w:hAnsi="Avenir"/>
          <w:rtl w:val="0"/>
        </w:rPr>
        <w:t xml:space="preserve">On top of these risk groups, a proportion of each of the groups above engages in sex work. We assume that 5% of women will engage in sex work at some point in their lives, and that 20% of men will be clients of sex workers at some point. These values are derived based on an estimated point prevalence of FSW of 1.25%, and assuming that the average duration of sex work is around 4 years </w:t>
      </w:r>
      <w:r w:rsidDel="00000000" w:rsidR="00000000" w:rsidRPr="00000000">
        <w:rPr>
          <w:rFonts w:ascii="Avenir" w:cs="Avenir" w:eastAsia="Avenir" w:hAnsi="Avenir"/>
          <w:shd w:fill="auto" w:val="clear"/>
          <w:vertAlign w:val="baseline"/>
          <w:rtl w:val="0"/>
        </w:rPr>
        <w:t xml:space="preserve">(55)</w:t>
      </w:r>
      <w:r w:rsidDel="00000000" w:rsidR="00000000" w:rsidRPr="00000000">
        <w:rPr>
          <w:rFonts w:ascii="Avenir" w:cs="Avenir" w:eastAsia="Avenir" w:hAnsi="Avenir"/>
          <w:rtl w:val="0"/>
        </w:rPr>
        <w:t xml:space="preserve">.</w:t>
      </w:r>
    </w:p>
    <w:p w:rsidR="00000000" w:rsidDel="00000000" w:rsidP="00000000" w:rsidRDefault="00000000" w:rsidRPr="00000000" w14:paraId="00000141">
      <w:pPr>
        <w:rPr>
          <w:rFonts w:ascii="Avenir" w:cs="Avenir" w:eastAsia="Avenir" w:hAnsi="Avenir"/>
        </w:rPr>
      </w:pPr>
      <w:r w:rsidDel="00000000" w:rsidR="00000000" w:rsidRPr="00000000">
        <w:rPr>
          <w:rtl w:val="0"/>
        </w:rPr>
      </w:r>
    </w:p>
    <w:p w:rsidR="00000000" w:rsidDel="00000000" w:rsidP="00000000" w:rsidRDefault="00000000" w:rsidRPr="00000000" w14:paraId="00000142">
      <w:pPr>
        <w:rPr>
          <w:rFonts w:ascii="Avenir" w:cs="Avenir" w:eastAsia="Avenir" w:hAnsi="Avenir"/>
        </w:rPr>
      </w:pPr>
      <w:r w:rsidDel="00000000" w:rsidR="00000000" w:rsidRPr="00000000">
        <w:rPr>
          <w:rFonts w:ascii="Avenir" w:cs="Avenir" w:eastAsia="Avenir" w:hAnsi="Avenir"/>
          <w:rtl w:val="0"/>
        </w:rPr>
        <w:t xml:space="preserve">Several of the key network parameters also vary by age: we divide females into three major age bins: teens (&lt;20), young adults (20-25) and adults (25+).</w:t>
      </w:r>
    </w:p>
    <w:p w:rsidR="00000000" w:rsidDel="00000000" w:rsidP="00000000" w:rsidRDefault="00000000" w:rsidRPr="00000000" w14:paraId="00000143">
      <w:pPr>
        <w:rPr>
          <w:rFonts w:ascii="Avenir" w:cs="Avenir" w:eastAsia="Avenir" w:hAnsi="Avenir"/>
        </w:rPr>
      </w:pPr>
      <w:r w:rsidDel="00000000" w:rsidR="00000000" w:rsidRPr="00000000">
        <w:rPr>
          <w:rtl w:val="0"/>
        </w:rPr>
      </w:r>
    </w:p>
    <w:p w:rsidR="00000000" w:rsidDel="00000000" w:rsidP="00000000" w:rsidRDefault="00000000" w:rsidRPr="00000000" w14:paraId="00000144">
      <w:pPr>
        <w:pStyle w:val="Heading2"/>
        <w:rPr>
          <w:rFonts w:ascii="Avenir" w:cs="Avenir" w:eastAsia="Avenir" w:hAnsi="Avenir"/>
        </w:rPr>
      </w:pPr>
      <w:bookmarkStart w:colFirst="0" w:colLast="0" w:name="_aa1eknatt1h7" w:id="21"/>
      <w:bookmarkEnd w:id="21"/>
      <w:r w:rsidDel="00000000" w:rsidR="00000000" w:rsidRPr="00000000">
        <w:rPr>
          <w:rFonts w:ascii="Avenir" w:cs="Avenir" w:eastAsia="Avenir" w:hAnsi="Avenir"/>
          <w:rtl w:val="0"/>
        </w:rPr>
        <w:t xml:space="preserve">Initialization</w:t>
      </w:r>
    </w:p>
    <w:p w:rsidR="00000000" w:rsidDel="00000000" w:rsidP="00000000" w:rsidRDefault="00000000" w:rsidRPr="00000000" w14:paraId="00000145">
      <w:pPr>
        <w:rPr>
          <w:rFonts w:ascii="Avenir" w:cs="Avenir" w:eastAsia="Avenir" w:hAnsi="Avenir"/>
        </w:rPr>
      </w:pPr>
      <w:r w:rsidDel="00000000" w:rsidR="00000000" w:rsidRPr="00000000">
        <w:rPr>
          <w:rFonts w:ascii="Avenir" w:cs="Avenir" w:eastAsia="Avenir" w:hAnsi="Avenir"/>
          <w:rtl w:val="0"/>
        </w:rPr>
        <w:t xml:space="preserve">To initialize the sexual network, we assign each agent to a risk group as described above, and we determine their age of sexual debut by drawing from the distributions given in Table S</w:t>
      </w:r>
      <w:r w:rsidDel="00000000" w:rsidR="00000000" w:rsidRPr="00000000">
        <w:rPr>
          <w:rtl w:val="0"/>
        </w:rPr>
        <w:t xml:space="preserve">6</w:t>
      </w:r>
      <w:r w:rsidDel="00000000" w:rsidR="00000000" w:rsidRPr="00000000">
        <w:rPr>
          <w:rFonts w:ascii="Avenir" w:cs="Avenir" w:eastAsia="Avenir" w:hAnsi="Avenir"/>
          <w:rtl w:val="0"/>
        </w:rPr>
        <w:t xml:space="preserve">, which are estimated by fitting to the data on age at first sex as reported in the DHS </w:t>
      </w:r>
      <w:r w:rsidDel="00000000" w:rsidR="00000000" w:rsidRPr="00000000">
        <w:rPr>
          <w:shd w:fill="auto" w:val="clear"/>
          <w:vertAlign w:val="baseline"/>
          <w:rtl w:val="0"/>
        </w:rPr>
        <w:t xml:space="preserve">(46)</w:t>
      </w:r>
      <w:r w:rsidDel="00000000" w:rsidR="00000000" w:rsidRPr="00000000">
        <w:rPr>
          <w:rFonts w:ascii="Avenir" w:cs="Avenir" w:eastAsia="Avenir" w:hAnsi="Avenir"/>
          <w:rtl w:val="0"/>
        </w:rPr>
        <w:t xml:space="preserve"> (Figure S3). We also determine their concurrency preferences, which depend on their risk group and are summarized in Table S</w:t>
      </w:r>
      <w:r w:rsidDel="00000000" w:rsidR="00000000" w:rsidRPr="00000000">
        <w:rPr>
          <w:rtl w:val="0"/>
        </w:rPr>
        <w:t xml:space="preserve">7</w:t>
      </w:r>
      <w:r w:rsidDel="00000000" w:rsidR="00000000" w:rsidRPr="00000000">
        <w:rPr>
          <w:rFonts w:ascii="Avenir" w:cs="Avenir" w:eastAsia="Avenir" w:hAnsi="Avenir"/>
          <w:rtl w:val="0"/>
        </w:rPr>
        <w:t xml:space="preserve">.</w:t>
      </w:r>
    </w:p>
    <w:p w:rsidR="00000000" w:rsidDel="00000000" w:rsidP="00000000" w:rsidRDefault="00000000" w:rsidRPr="00000000" w14:paraId="00000146">
      <w:pPr>
        <w:rPr>
          <w:rFonts w:ascii="Avenir" w:cs="Avenir" w:eastAsia="Avenir" w:hAnsi="Avenir"/>
        </w:rPr>
      </w:pPr>
      <w:r w:rsidDel="00000000" w:rsidR="00000000" w:rsidRPr="00000000">
        <w:rPr>
          <w:rtl w:val="0"/>
        </w:rPr>
      </w:r>
    </w:p>
    <w:tbl>
      <w:tblPr>
        <w:tblStyle w:val="Table6"/>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80"/>
        <w:gridCol w:w="2430"/>
        <w:gridCol w:w="5190"/>
        <w:tblGridChange w:id="0">
          <w:tblGrid>
            <w:gridCol w:w="1380"/>
            <w:gridCol w:w="2430"/>
            <w:gridCol w:w="51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Distribution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Sources/notes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Women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LogN(20,3)</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Estimated by fitting to the data shown in Figure S</w:t>
            </w:r>
            <w:r w:rsidDel="00000000" w:rsidR="00000000" w:rsidRPr="00000000">
              <w:rPr>
                <w:rtl w:val="0"/>
              </w:rPr>
              <w:t xml:space="preserve">3</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Men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LogN(21,3)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Estimated by fitting to the data shown in Figure S</w:t>
            </w:r>
            <w:r w:rsidDel="00000000" w:rsidR="00000000" w:rsidRPr="00000000">
              <w:rPr>
                <w:rtl w:val="0"/>
              </w:rPr>
              <w:t xml:space="preserve">3</w:t>
            </w:r>
            <w:r w:rsidDel="00000000" w:rsidR="00000000" w:rsidRPr="00000000">
              <w:rPr>
                <w:rtl w:val="0"/>
              </w:rPr>
            </w:r>
          </w:p>
        </w:tc>
      </w:tr>
    </w:tbl>
    <w:p w:rsidR="00000000" w:rsidDel="00000000" w:rsidP="00000000" w:rsidRDefault="00000000" w:rsidRPr="00000000" w14:paraId="00000150">
      <w:pPr>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6</w:t>
      </w:r>
      <w:r w:rsidDel="00000000" w:rsidR="00000000" w:rsidRPr="00000000">
        <w:rPr>
          <w:rFonts w:ascii="Avenir" w:cs="Avenir" w:eastAsia="Avenir" w:hAnsi="Avenir"/>
          <w:rtl w:val="0"/>
        </w:rPr>
        <w:t xml:space="preserve">: distributions of age of sexual debut</w:t>
      </w:r>
    </w:p>
    <w:p w:rsidR="00000000" w:rsidDel="00000000" w:rsidP="00000000" w:rsidRDefault="00000000" w:rsidRPr="00000000" w14:paraId="00000151">
      <w:pPr>
        <w:rPr>
          <w:rFonts w:ascii="Avenir" w:cs="Avenir" w:eastAsia="Avenir" w:hAnsi="Avenir"/>
        </w:rPr>
      </w:pPr>
      <w:r w:rsidDel="00000000" w:rsidR="00000000" w:rsidRPr="00000000">
        <w:rPr>
          <w:rtl w:val="0"/>
        </w:rPr>
      </w:r>
    </w:p>
    <w:p w:rsidR="00000000" w:rsidDel="00000000" w:rsidP="00000000" w:rsidRDefault="00000000" w:rsidRPr="00000000" w14:paraId="00000152">
      <w:pPr>
        <w:rPr>
          <w:rFonts w:ascii="Avenir" w:cs="Avenir" w:eastAsia="Avenir" w:hAnsi="Avenir"/>
        </w:rPr>
      </w:pPr>
      <w:r w:rsidDel="00000000" w:rsidR="00000000" w:rsidRPr="00000000">
        <w:rPr>
          <w:rFonts w:ascii="Avenir" w:cs="Avenir" w:eastAsia="Avenir" w:hAnsi="Avenir"/>
          <w:sz w:val="22"/>
          <w:szCs w:val="22"/>
        </w:rPr>
        <w:drawing>
          <wp:inline distB="114300" distT="114300" distL="114300" distR="114300">
            <wp:extent cx="1166813" cy="1390650"/>
            <wp:effectExtent b="0" l="0" r="0" t="0"/>
            <wp:docPr id="4" name="image4.png"/>
            <a:graphic>
              <a:graphicData uri="http://schemas.openxmlformats.org/drawingml/2006/picture">
                <pic:pic>
                  <pic:nvPicPr>
                    <pic:cNvPr id="0" name="image4.png"/>
                    <pic:cNvPicPr preferRelativeResize="0"/>
                  </pic:nvPicPr>
                  <pic:blipFill>
                    <a:blip r:embed="rId8"/>
                    <a:srcRect b="0" l="79568" r="0" t="82367"/>
                    <a:stretch>
                      <a:fillRect/>
                    </a:stretch>
                  </pic:blipFill>
                  <pic:spPr>
                    <a:xfrm>
                      <a:off x="0" y="0"/>
                      <a:ext cx="1166813" cy="1390650"/>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rPr>
          <w:rFonts w:ascii="Avenir" w:cs="Avenir" w:eastAsia="Avenir" w:hAnsi="Avenir"/>
        </w:rPr>
      </w:pPr>
      <w:r w:rsidDel="00000000" w:rsidR="00000000" w:rsidRPr="00000000">
        <w:rPr>
          <w:rFonts w:ascii="Avenir" w:cs="Avenir" w:eastAsia="Avenir" w:hAnsi="Avenir"/>
          <w:rtl w:val="0"/>
        </w:rPr>
        <w:t xml:space="preserve">Figure S3</w:t>
      </w:r>
      <w:r w:rsidDel="00000000" w:rsidR="00000000" w:rsidRPr="00000000">
        <w:rPr>
          <w:rFonts w:ascii="Avenir" w:cs="Avenir" w:eastAsia="Avenir" w:hAnsi="Avenir"/>
          <w:rtl w:val="0"/>
        </w:rPr>
        <w:t xml:space="preserve">: Share of females who ever had sex by age. DHS data on the proportion of girls/women who report ever having had sex by age 15, 18, 20, 22, and 25 are shown as blue dots, and the median age at first sex is shown with orange dots. We then treat these data points as quantiles of a lognormal distribution, and estimate the mean and standard deviation, which gives us an inferred distribution of the age of sexual debut (blue line). </w:t>
      </w:r>
    </w:p>
    <w:p w:rsidR="00000000" w:rsidDel="00000000" w:rsidP="00000000" w:rsidRDefault="00000000" w:rsidRPr="00000000" w14:paraId="00000154">
      <w:pPr>
        <w:rPr>
          <w:rFonts w:ascii="Avenir" w:cs="Avenir" w:eastAsia="Avenir" w:hAnsi="Avenir"/>
        </w:rPr>
      </w:pPr>
      <w:r w:rsidDel="00000000" w:rsidR="00000000" w:rsidRPr="00000000">
        <w:rPr>
          <w:rtl w:val="0"/>
        </w:rPr>
      </w:r>
    </w:p>
    <w:tbl>
      <w:tblPr>
        <w:tblStyle w:val="Table7"/>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35"/>
        <w:gridCol w:w="2460"/>
        <w:gridCol w:w="5205"/>
        <w:tblGridChange w:id="0">
          <w:tblGrid>
            <w:gridCol w:w="1335"/>
            <w:gridCol w:w="2460"/>
            <w:gridCol w:w="52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 preferring &gt;1 simultaneous partner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Sources/notes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Level 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Women: 0%</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Men: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Value for women is 0% by definition of this risk group. Value for men is an assumption.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Level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Women: 1-5%</w:t>
            </w:r>
          </w:p>
          <w:p w:rsidR="00000000" w:rsidDel="00000000" w:rsidP="00000000" w:rsidRDefault="00000000" w:rsidRPr="00000000" w14:paraId="0000015E">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Men: 10-20%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Parameters estimated during model calibration.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1"/>
              </w:rPr>
            </w:pPr>
            <w:r w:rsidDel="00000000" w:rsidR="00000000" w:rsidRPr="00000000">
              <w:rPr>
                <w:rFonts w:ascii="Avenir" w:cs="Avenir" w:eastAsia="Avenir" w:hAnsi="Avenir"/>
                <w:b w:val="1"/>
                <w:rtl w:val="0"/>
              </w:rPr>
              <w:t xml:space="preserve">Level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Women: 10%</w:t>
            </w:r>
          </w:p>
          <w:p w:rsidR="00000000" w:rsidDel="00000000" w:rsidP="00000000" w:rsidRDefault="00000000" w:rsidRPr="00000000" w14:paraId="00000162">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Men: 50%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rPr>
                <w:rFonts w:ascii="Avenir" w:cs="Avenir" w:eastAsia="Avenir" w:hAnsi="Avenir"/>
              </w:rPr>
            </w:pPr>
            <w:r w:rsidDel="00000000" w:rsidR="00000000" w:rsidRPr="00000000">
              <w:rPr>
                <w:rtl w:val="0"/>
              </w:rPr>
              <w:t xml:space="preserve">Assumptions</w:t>
            </w:r>
            <w:r w:rsidDel="00000000" w:rsidR="00000000" w:rsidRPr="00000000">
              <w:rPr>
                <w:rtl w:val="0"/>
              </w:rPr>
            </w:r>
          </w:p>
        </w:tc>
      </w:tr>
    </w:tbl>
    <w:p w:rsidR="00000000" w:rsidDel="00000000" w:rsidP="00000000" w:rsidRDefault="00000000" w:rsidRPr="00000000" w14:paraId="00000164">
      <w:pPr>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7</w:t>
      </w:r>
      <w:r w:rsidDel="00000000" w:rsidR="00000000" w:rsidRPr="00000000">
        <w:rPr>
          <w:rFonts w:ascii="Avenir" w:cs="Avenir" w:eastAsia="Avenir" w:hAnsi="Avenir"/>
          <w:rtl w:val="0"/>
        </w:rPr>
        <w:t xml:space="preserve">: Concurrency parameters </w:t>
      </w:r>
    </w:p>
    <w:p w:rsidR="00000000" w:rsidDel="00000000" w:rsidP="00000000" w:rsidRDefault="00000000" w:rsidRPr="00000000" w14:paraId="00000165">
      <w:pPr>
        <w:rPr>
          <w:rFonts w:ascii="Avenir" w:cs="Avenir" w:eastAsia="Avenir" w:hAnsi="Avenir"/>
        </w:rPr>
      </w:pPr>
      <w:r w:rsidDel="00000000" w:rsidR="00000000" w:rsidRPr="00000000">
        <w:rPr>
          <w:rtl w:val="0"/>
        </w:rPr>
      </w:r>
    </w:p>
    <w:p w:rsidR="00000000" w:rsidDel="00000000" w:rsidP="00000000" w:rsidRDefault="00000000" w:rsidRPr="00000000" w14:paraId="00000166">
      <w:pPr>
        <w:rPr>
          <w:rFonts w:ascii="Avenir" w:cs="Avenir" w:eastAsia="Avenir" w:hAnsi="Avenir"/>
        </w:rPr>
      </w:pPr>
      <w:r w:rsidDel="00000000" w:rsidR="00000000" w:rsidRPr="00000000">
        <w:rPr>
          <w:rFonts w:ascii="Avenir" w:cs="Avenir" w:eastAsia="Avenir" w:hAnsi="Avenir"/>
          <w:rtl w:val="0"/>
        </w:rPr>
        <w:t xml:space="preserve">At each time point in the simulation when new agents are born, we assign their risk grouping, future participation in sex work, age of sexual debut, and concurrency preferences.</w:t>
      </w:r>
    </w:p>
    <w:p w:rsidR="00000000" w:rsidDel="00000000" w:rsidP="00000000" w:rsidRDefault="00000000" w:rsidRPr="00000000" w14:paraId="00000167">
      <w:pPr>
        <w:rPr>
          <w:rFonts w:ascii="Avenir" w:cs="Avenir" w:eastAsia="Avenir" w:hAnsi="Avenir"/>
        </w:rPr>
      </w:pPr>
      <w:r w:rsidDel="00000000" w:rsidR="00000000" w:rsidRPr="00000000">
        <w:rPr>
          <w:rtl w:val="0"/>
        </w:rPr>
      </w:r>
    </w:p>
    <w:p w:rsidR="00000000" w:rsidDel="00000000" w:rsidP="00000000" w:rsidRDefault="00000000" w:rsidRPr="00000000" w14:paraId="00000168">
      <w:pPr>
        <w:pStyle w:val="Heading2"/>
        <w:rPr>
          <w:rFonts w:ascii="Avenir" w:cs="Avenir" w:eastAsia="Avenir" w:hAnsi="Avenir"/>
        </w:rPr>
      </w:pPr>
      <w:bookmarkStart w:colFirst="0" w:colLast="0" w:name="_e0ufms7ugy1b" w:id="22"/>
      <w:bookmarkEnd w:id="22"/>
      <w:r w:rsidDel="00000000" w:rsidR="00000000" w:rsidRPr="00000000">
        <w:rPr>
          <w:rFonts w:ascii="Avenir" w:cs="Avenir" w:eastAsia="Avenir" w:hAnsi="Avenir"/>
          <w:rtl w:val="0"/>
        </w:rPr>
        <w:t xml:space="preserve">Pair formation</w:t>
      </w:r>
    </w:p>
    <w:p w:rsidR="00000000" w:rsidDel="00000000" w:rsidP="00000000" w:rsidRDefault="00000000" w:rsidRPr="00000000" w14:paraId="00000169">
      <w:pPr>
        <w:rPr>
          <w:rFonts w:ascii="Avenir" w:cs="Avenir" w:eastAsia="Avenir" w:hAnsi="Avenir"/>
        </w:rPr>
      </w:pPr>
      <w:r w:rsidDel="00000000" w:rsidR="00000000" w:rsidRPr="00000000">
        <w:rPr>
          <w:rFonts w:ascii="Avenir" w:cs="Avenir" w:eastAsia="Avenir" w:hAnsi="Avenir"/>
          <w:rtl w:val="0"/>
        </w:rPr>
        <w:t xml:space="preserve">On each time step, we match new pairs as follows:</w:t>
      </w:r>
    </w:p>
    <w:p w:rsidR="00000000" w:rsidDel="00000000" w:rsidP="00000000" w:rsidRDefault="00000000" w:rsidRPr="00000000" w14:paraId="0000016A">
      <w:pPr>
        <w:numPr>
          <w:ilvl w:val="0"/>
          <w:numId w:val="2"/>
        </w:numPr>
        <w:ind w:left="720" w:hanging="360"/>
        <w:rPr>
          <w:rFonts w:ascii="Avenir" w:cs="Avenir" w:eastAsia="Avenir" w:hAnsi="Avenir"/>
        </w:rPr>
      </w:pPr>
      <w:r w:rsidDel="00000000" w:rsidR="00000000" w:rsidRPr="00000000">
        <w:rPr>
          <w:rFonts w:ascii="Avenir" w:cs="Avenir" w:eastAsia="Avenir" w:hAnsi="Avenir"/>
          <w:rtl w:val="0"/>
        </w:rPr>
        <w:t xml:space="preserve">Find agents who are sexually active (i.e. past their age of </w:t>
      </w:r>
      <w:r w:rsidDel="00000000" w:rsidR="00000000" w:rsidRPr="00000000">
        <w:rPr>
          <w:rFonts w:ascii="Avenir" w:cs="Avenir" w:eastAsia="Avenir" w:hAnsi="Avenir"/>
          <w:rtl w:val="0"/>
        </w:rPr>
        <w:t xml:space="preserve">debut</w:t>
      </w:r>
      <w:r w:rsidDel="00000000" w:rsidR="00000000" w:rsidRPr="00000000">
        <w:rPr>
          <w:rFonts w:ascii="Avenir" w:cs="Avenir" w:eastAsia="Avenir" w:hAnsi="Avenir"/>
          <w:rtl w:val="0"/>
        </w:rPr>
        <w:t xml:space="preserve">) and have fewer than their desired number of partners (as determined by </w:t>
      </w:r>
      <w:r w:rsidDel="00000000" w:rsidR="00000000" w:rsidRPr="00000000">
        <w:rPr>
          <w:rFonts w:ascii="Avenir" w:cs="Avenir" w:eastAsia="Avenir" w:hAnsi="Avenir"/>
          <w:rtl w:val="0"/>
        </w:rPr>
        <w:t xml:space="preserve">concurrency</w:t>
      </w:r>
      <w:r w:rsidDel="00000000" w:rsidR="00000000" w:rsidRPr="00000000">
        <w:rPr>
          <w:rFonts w:ascii="Avenir" w:cs="Avenir" w:eastAsia="Avenir" w:hAnsi="Avenir"/>
          <w:rtl w:val="0"/>
        </w:rPr>
        <w:t xml:space="preserve"> parameters). These agents are eligible to look for partners. Some proportion of eligible women (</w:t>
      </w:r>
      <w:r w:rsidDel="00000000" w:rsidR="00000000" w:rsidRPr="00000000">
        <w:rPr>
          <w:rFonts w:ascii="Avenir" w:cs="Avenir" w:eastAsia="Avenir" w:hAnsi="Avenir"/>
          <w:rtl w:val="0"/>
        </w:rPr>
        <w:t xml:space="preserve">p_pair_form</w:t>
      </w:r>
      <w:r w:rsidDel="00000000" w:rsidR="00000000" w:rsidRPr="00000000">
        <w:rPr>
          <w:rFonts w:ascii="Avenir" w:cs="Avenir" w:eastAsia="Avenir" w:hAnsi="Avenir"/>
          <w:rtl w:val="0"/>
        </w:rPr>
        <w:t xml:space="preserve">) are assumed to be looking for a partner. This parameter value is estimated as part of model calibration. We use this number to determine how many matches to make.</w:t>
      </w:r>
    </w:p>
    <w:p w:rsidR="00000000" w:rsidDel="00000000" w:rsidP="00000000" w:rsidRDefault="00000000" w:rsidRPr="00000000" w14:paraId="0000016B">
      <w:pPr>
        <w:numPr>
          <w:ilvl w:val="0"/>
          <w:numId w:val="2"/>
        </w:numPr>
        <w:ind w:left="720" w:hanging="360"/>
        <w:rPr>
          <w:rFonts w:ascii="Avenir" w:cs="Avenir" w:eastAsia="Avenir" w:hAnsi="Avenir"/>
        </w:rPr>
      </w:pPr>
      <w:r w:rsidDel="00000000" w:rsidR="00000000" w:rsidRPr="00000000">
        <w:rPr>
          <w:rFonts w:ascii="Avenir" w:cs="Avenir" w:eastAsia="Avenir" w:hAnsi="Avenir"/>
          <w:rtl w:val="0"/>
        </w:rPr>
        <w:t xml:space="preserve">For each female agent seeking a new partner, we determine the preferred age of her partner using the age difference parameters given in Table S</w:t>
      </w:r>
      <w:r w:rsidDel="00000000" w:rsidR="00000000" w:rsidRPr="00000000">
        <w:rPr>
          <w:rtl w:val="0"/>
        </w:rPr>
        <w:t xml:space="preserve">8</w:t>
      </w:r>
      <w:r w:rsidDel="00000000" w:rsidR="00000000" w:rsidRPr="00000000">
        <w:rPr>
          <w:rFonts w:ascii="Avenir" w:cs="Avenir" w:eastAsia="Avenir" w:hAnsi="Avenir"/>
          <w:rtl w:val="0"/>
        </w:rPr>
        <w:t xml:space="preserve">. We then match the males to the females by sorting the male ages and matching them to the desired female ages. </w:t>
      </w:r>
    </w:p>
    <w:p w:rsidR="00000000" w:rsidDel="00000000" w:rsidP="00000000" w:rsidRDefault="00000000" w:rsidRPr="00000000" w14:paraId="0000016C">
      <w:pPr>
        <w:numPr>
          <w:ilvl w:val="0"/>
          <w:numId w:val="2"/>
        </w:numPr>
        <w:ind w:left="720" w:hanging="360"/>
        <w:rPr>
          <w:rFonts w:ascii="Avenir" w:cs="Avenir" w:eastAsia="Avenir" w:hAnsi="Avenir"/>
        </w:rPr>
      </w:pPr>
      <w:r w:rsidDel="00000000" w:rsidR="00000000" w:rsidRPr="00000000">
        <w:rPr>
          <w:rFonts w:ascii="Avenir" w:cs="Avenir" w:eastAsia="Avenir" w:hAnsi="Avenir"/>
          <w:rtl w:val="0"/>
        </w:rPr>
        <w:t xml:space="preserve">If both partners are in the same risk group, we use a parameter </w:t>
      </w:r>
      <w:r w:rsidDel="00000000" w:rsidR="00000000" w:rsidRPr="00000000">
        <w:rPr>
          <w:rFonts w:ascii="Avenir" w:cs="Avenir" w:eastAsia="Avenir" w:hAnsi="Avenir"/>
          <w:rtl w:val="0"/>
        </w:rPr>
        <w:t xml:space="preserve">p_matched_stable</w:t>
      </w:r>
      <w:r w:rsidDel="00000000" w:rsidR="00000000" w:rsidRPr="00000000">
        <w:rPr>
          <w:rFonts w:ascii="Avenir" w:cs="Avenir" w:eastAsia="Avenir" w:hAnsi="Avenir"/>
          <w:rtl w:val="0"/>
        </w:rPr>
        <w:t xml:space="preserve"> to determine the share that will form stable relationships. The duration of the stable relationship varies depending on the risk group and the age of the agents (</w:t>
      </w:r>
      <w:r w:rsidDel="00000000" w:rsidR="00000000" w:rsidRPr="00000000">
        <w:rPr>
          <w:rFonts w:ascii="Avenir" w:cs="Avenir" w:eastAsia="Avenir" w:hAnsi="Avenir"/>
          <w:rtl w:val="0"/>
        </w:rPr>
        <w:t xml:space="preserve">stable_dur_pars</w:t>
      </w:r>
      <w:r w:rsidDel="00000000" w:rsidR="00000000" w:rsidRPr="00000000">
        <w:rPr>
          <w:rFonts w:ascii="Avenir" w:cs="Avenir" w:eastAsia="Avenir" w:hAnsi="Avenir"/>
          <w:rtl w:val="0"/>
        </w:rPr>
        <w:t xml:space="preserve">). If they have not formed a stable match, they form a casual relationship whose duration also depends on age and risk group (</w:t>
      </w:r>
      <w:r w:rsidDel="00000000" w:rsidR="00000000" w:rsidRPr="00000000">
        <w:rPr>
          <w:rFonts w:ascii="Avenir" w:cs="Avenir" w:eastAsia="Avenir" w:hAnsi="Avenir"/>
          <w:rtl w:val="0"/>
        </w:rPr>
        <w:t xml:space="preserve">casual_dur_pars</w:t>
      </w:r>
      <w:r w:rsidDel="00000000" w:rsidR="00000000" w:rsidRPr="00000000">
        <w:rPr>
          <w:rFonts w:ascii="Avenir" w:cs="Avenir" w:eastAsia="Avenir" w:hAnsi="Avenir"/>
          <w:rtl w:val="0"/>
        </w:rPr>
        <w:t xml:space="preserve">). These parameters are all documented in Table S</w:t>
      </w:r>
      <w:r w:rsidDel="00000000" w:rsidR="00000000" w:rsidRPr="00000000">
        <w:rPr>
          <w:rtl w:val="0"/>
        </w:rPr>
        <w:t xml:space="preserve">9</w:t>
      </w:r>
      <w:r w:rsidDel="00000000" w:rsidR="00000000" w:rsidRPr="00000000">
        <w:rPr>
          <w:rFonts w:ascii="Avenir" w:cs="Avenir" w:eastAsia="Avenir" w:hAnsi="Avenir"/>
          <w:rtl w:val="0"/>
        </w:rPr>
        <w:t xml:space="preserve">.</w:t>
      </w:r>
    </w:p>
    <w:p w:rsidR="00000000" w:rsidDel="00000000" w:rsidP="00000000" w:rsidRDefault="00000000" w:rsidRPr="00000000" w14:paraId="0000016D">
      <w:pPr>
        <w:numPr>
          <w:ilvl w:val="0"/>
          <w:numId w:val="2"/>
        </w:numPr>
        <w:ind w:left="720" w:hanging="360"/>
        <w:rPr>
          <w:rFonts w:ascii="Avenir" w:cs="Avenir" w:eastAsia="Avenir" w:hAnsi="Avenir"/>
        </w:rPr>
      </w:pPr>
      <w:r w:rsidDel="00000000" w:rsidR="00000000" w:rsidRPr="00000000">
        <w:rPr>
          <w:rFonts w:ascii="Avenir" w:cs="Avenir" w:eastAsia="Avenir" w:hAnsi="Avenir"/>
          <w:rtl w:val="0"/>
        </w:rPr>
        <w:t xml:space="preserve">If partners are in different risk groups, we use another parameter </w:t>
      </w:r>
      <w:r w:rsidDel="00000000" w:rsidR="00000000" w:rsidRPr="00000000">
        <w:rPr>
          <w:rFonts w:ascii="Avenir" w:cs="Avenir" w:eastAsia="Avenir" w:hAnsi="Avenir"/>
          <w:rtl w:val="0"/>
        </w:rPr>
        <w:t xml:space="preserve">p_mismatched_casual</w:t>
      </w:r>
      <w:r w:rsidDel="00000000" w:rsidR="00000000" w:rsidRPr="00000000">
        <w:rPr>
          <w:rFonts w:ascii="Avenir" w:cs="Avenir" w:eastAsia="Avenir" w:hAnsi="Avenir"/>
          <w:rtl w:val="0"/>
        </w:rPr>
        <w:t xml:space="preserve"> to determine the share that will form casual relationships (whose duration depends on age and risk group, </w:t>
      </w:r>
      <w:r w:rsidDel="00000000" w:rsidR="00000000" w:rsidRPr="00000000">
        <w:rPr>
          <w:rFonts w:ascii="Avenir" w:cs="Avenir" w:eastAsia="Avenir" w:hAnsi="Avenir"/>
          <w:rtl w:val="0"/>
        </w:rPr>
        <w:t xml:space="preserve">casual_dur_pars</w:t>
      </w:r>
      <w:r w:rsidDel="00000000" w:rsidR="00000000" w:rsidRPr="00000000">
        <w:rPr>
          <w:rFonts w:ascii="Avenir" w:cs="Avenir" w:eastAsia="Avenir" w:hAnsi="Avenir"/>
          <w:rtl w:val="0"/>
        </w:rPr>
        <w:t xml:space="preserve">). If they do not form a casual relationship, they form an instantaneous relationship that dissolves on the next time step. </w:t>
      </w:r>
    </w:p>
    <w:p w:rsidR="00000000" w:rsidDel="00000000" w:rsidP="00000000" w:rsidRDefault="00000000" w:rsidRPr="00000000" w14:paraId="0000016E">
      <w:pPr>
        <w:rPr>
          <w:rFonts w:ascii="Avenir" w:cs="Avenir" w:eastAsia="Avenir" w:hAnsi="Avenir"/>
        </w:rPr>
      </w:pPr>
      <w:r w:rsidDel="00000000" w:rsidR="00000000" w:rsidRPr="00000000">
        <w:rPr>
          <w:rtl w:val="0"/>
        </w:rPr>
      </w:r>
    </w:p>
    <w:tbl>
      <w:tblPr>
        <w:tblStyle w:val="Table8"/>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6.5"/>
        <w:gridCol w:w="2256.5"/>
        <w:gridCol w:w="2256.5"/>
        <w:gridCol w:w="2256.5"/>
        <w:tblGridChange w:id="0">
          <w:tblGrid>
            <w:gridCol w:w="2256.5"/>
            <w:gridCol w:w="2256.5"/>
            <w:gridCol w:w="2256.5"/>
            <w:gridCol w:w="225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Teens (10-19)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Young adults (20-25)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Adults (25+)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Level 0</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N(7,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N(8,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N(8,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Level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N(6,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N(7,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N(7,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Level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N(5,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N(5,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Fonts w:ascii="Avenir" w:cs="Avenir" w:eastAsia="Avenir" w:hAnsi="Avenir"/>
                <w:rtl w:val="0"/>
              </w:rPr>
              <w:t xml:space="preserve">N(5, 2)</w:t>
            </w:r>
          </w:p>
        </w:tc>
      </w:tr>
    </w:tbl>
    <w:p w:rsidR="00000000" w:rsidDel="00000000" w:rsidP="00000000" w:rsidRDefault="00000000" w:rsidRPr="00000000" w14:paraId="0000017F">
      <w:pPr>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8</w:t>
      </w:r>
      <w:r w:rsidDel="00000000" w:rsidR="00000000" w:rsidRPr="00000000">
        <w:rPr>
          <w:rFonts w:ascii="Avenir" w:cs="Avenir" w:eastAsia="Avenir" w:hAnsi="Avenir"/>
          <w:rtl w:val="0"/>
        </w:rPr>
        <w:t xml:space="preserve">: distribution of the preferred age differences between females in each age/risk group and their partners</w:t>
      </w:r>
    </w:p>
    <w:p w:rsidR="00000000" w:rsidDel="00000000" w:rsidP="00000000" w:rsidRDefault="00000000" w:rsidRPr="00000000" w14:paraId="00000180">
      <w:pPr>
        <w:rPr>
          <w:rFonts w:ascii="Avenir" w:cs="Avenir" w:eastAsia="Avenir" w:hAnsi="Avenir"/>
        </w:rPr>
      </w:pPr>
      <w:r w:rsidDel="00000000" w:rsidR="00000000" w:rsidRPr="00000000">
        <w:rPr>
          <w:rtl w:val="0"/>
        </w:rPr>
      </w:r>
    </w:p>
    <w:tbl>
      <w:tblPr>
        <w:tblStyle w:val="Table9"/>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40"/>
        <w:gridCol w:w="4110"/>
        <w:gridCol w:w="2535"/>
        <w:tblGridChange w:id="0">
          <w:tblGrid>
            <w:gridCol w:w="2640"/>
            <w:gridCol w:w="4110"/>
            <w:gridCol w:w="25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1">
            <w:pPr>
              <w:rPr>
                <w:rFonts w:ascii="Avenir" w:cs="Avenir" w:eastAsia="Avenir" w:hAnsi="Avenir"/>
                <w:b w:val="1"/>
              </w:rPr>
            </w:pPr>
            <w:r w:rsidDel="00000000" w:rsidR="00000000" w:rsidRPr="00000000">
              <w:rPr>
                <w:rFonts w:ascii="Avenir" w:cs="Avenir" w:eastAsia="Avenir" w:hAnsi="Avenir"/>
                <w:b w:val="1"/>
                <w:rtl w:val="0"/>
              </w:rPr>
              <w:t xml:space="preserve">Parameter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rPr>
                <w:rFonts w:ascii="Avenir" w:cs="Avenir" w:eastAsia="Avenir" w:hAnsi="Avenir"/>
                <w:b w:val="1"/>
              </w:rPr>
            </w:pPr>
            <w:r w:rsidDel="00000000" w:rsidR="00000000" w:rsidRPr="00000000">
              <w:rPr>
                <w:rFonts w:ascii="Avenir" w:cs="Avenir" w:eastAsia="Avenir" w:hAnsi="Avenir"/>
                <w:b w:val="1"/>
                <w:rtl w:val="0"/>
              </w:rPr>
              <w:t xml:space="preserve">Explanation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rPr>
                <w:rFonts w:ascii="Avenir" w:cs="Avenir" w:eastAsia="Avenir" w:hAnsi="Avenir"/>
                <w:b w:val="1"/>
              </w:rPr>
            </w:pPr>
            <w:r w:rsidDel="00000000" w:rsidR="00000000" w:rsidRPr="00000000">
              <w:rPr>
                <w:rFonts w:ascii="Avenir" w:cs="Avenir" w:eastAsia="Avenir" w:hAnsi="Avenir"/>
                <w:b w:val="1"/>
                <w:rtl w:val="0"/>
              </w:rPr>
              <w:t xml:space="preserve">Value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4">
            <w:pPr>
              <w:rPr>
                <w:rFonts w:ascii="Avenir" w:cs="Avenir" w:eastAsia="Avenir" w:hAnsi="Avenir"/>
              </w:rPr>
            </w:pPr>
            <w:r w:rsidDel="00000000" w:rsidR="00000000" w:rsidRPr="00000000">
              <w:rPr>
                <w:rFonts w:ascii="Avenir" w:cs="Avenir" w:eastAsia="Avenir" w:hAnsi="Avenir"/>
                <w:rtl w:val="0"/>
              </w:rPr>
              <w:t xml:space="preserve">p_pair_form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Proportion of unpartnered women who are seeking a partner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Estimated during calibration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7">
            <w:pPr>
              <w:rPr>
                <w:rFonts w:ascii="Avenir" w:cs="Avenir" w:eastAsia="Avenir" w:hAnsi="Avenir"/>
                <w:b w:val="1"/>
              </w:rPr>
            </w:pPr>
            <w:r w:rsidDel="00000000" w:rsidR="00000000" w:rsidRPr="00000000">
              <w:rPr>
                <w:rFonts w:ascii="Avenir" w:cs="Avenir" w:eastAsia="Avenir" w:hAnsi="Avenir"/>
                <w:rtl w:val="0"/>
              </w:rPr>
              <w:t xml:space="preserve">p_matched_stable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Probability of a stable pair forming between matched people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L0=0.9, L1=0.5, L2=0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A">
            <w:pPr>
              <w:rPr>
                <w:rFonts w:ascii="Avenir" w:cs="Avenir" w:eastAsia="Avenir" w:hAnsi="Avenir"/>
                <w:b w:val="1"/>
              </w:rPr>
            </w:pPr>
            <w:r w:rsidDel="00000000" w:rsidR="00000000" w:rsidRPr="00000000">
              <w:rPr>
                <w:rFonts w:ascii="Avenir" w:cs="Avenir" w:eastAsia="Avenir" w:hAnsi="Avenir"/>
                <w:rtl w:val="0"/>
              </w:rPr>
              <w:t xml:space="preserve">stable_dur_pars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Duration of a stable relationship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L0~LogN(100,1), L1~LogN(8,2), L2~LogN(1,1)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casual_dur_pars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Duration of a casual relationship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jc w:val="left"/>
              <w:rPr>
                <w:rFonts w:ascii="Avenir" w:cs="Avenir" w:eastAsia="Avenir" w:hAnsi="Avenir"/>
                <w:b w:val="1"/>
              </w:rPr>
            </w:pPr>
            <w:r w:rsidDel="00000000" w:rsidR="00000000" w:rsidRPr="00000000">
              <w:rPr>
                <w:rFonts w:ascii="Avenir" w:cs="Avenir" w:eastAsia="Avenir" w:hAnsi="Avenir"/>
                <w:rtl w:val="0"/>
              </w:rPr>
              <w:t xml:space="preserve">L0~LogN(1,1), L1~LogN(0.5,1), L2~LogN(0.5,1)</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rFonts w:ascii="Avenir" w:cs="Avenir" w:eastAsia="Avenir" w:hAnsi="Avenir"/>
              </w:rPr>
            </w:pPr>
            <w:r w:rsidDel="00000000" w:rsidR="00000000" w:rsidRPr="00000000">
              <w:rPr>
                <w:rFonts w:ascii="Avenir" w:cs="Avenir" w:eastAsia="Avenir" w:hAnsi="Avenir"/>
                <w:rtl w:val="0"/>
              </w:rPr>
              <w:t xml:space="preserve">p_mismatched_casual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jc w:val="left"/>
              <w:rPr>
                <w:rFonts w:ascii="Avenir" w:cs="Avenir" w:eastAsia="Avenir" w:hAnsi="Avenir"/>
                <w:b w:val="1"/>
              </w:rPr>
            </w:pPr>
            <w:r w:rsidDel="00000000" w:rsidR="00000000" w:rsidRPr="00000000">
              <w:rPr>
                <w:rFonts w:ascii="Avenir" w:cs="Avenir" w:eastAsia="Avenir" w:hAnsi="Avenir"/>
                <w:rtl w:val="0"/>
              </w:rPr>
              <w:t xml:space="preserve">Probability of a casual pair forming between mismatched people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jc w:val="left"/>
              <w:rPr>
                <w:rFonts w:ascii="Avenir" w:cs="Avenir" w:eastAsia="Avenir" w:hAnsi="Avenir"/>
              </w:rPr>
            </w:pPr>
            <w:r w:rsidDel="00000000" w:rsidR="00000000" w:rsidRPr="00000000">
              <w:rPr>
                <w:rFonts w:ascii="Avenir" w:cs="Avenir" w:eastAsia="Avenir" w:hAnsi="Avenir"/>
                <w:rtl w:val="0"/>
              </w:rPr>
              <w:t xml:space="preserve">0.5</w:t>
            </w:r>
          </w:p>
        </w:tc>
      </w:tr>
    </w:tbl>
    <w:p w:rsidR="00000000" w:rsidDel="00000000" w:rsidP="00000000" w:rsidRDefault="00000000" w:rsidRPr="00000000" w14:paraId="00000193">
      <w:pPr>
        <w:rPr>
          <w:rFonts w:ascii="Avenir" w:cs="Avenir" w:eastAsia="Avenir" w:hAnsi="Avenir"/>
        </w:rPr>
      </w:pPr>
      <w:r w:rsidDel="00000000" w:rsidR="00000000" w:rsidRPr="00000000">
        <w:rPr>
          <w:rFonts w:ascii="Avenir" w:cs="Avenir" w:eastAsia="Avenir" w:hAnsi="Avenir"/>
          <w:rtl w:val="0"/>
        </w:rPr>
        <w:t xml:space="preserve">Table S</w:t>
      </w:r>
      <w:r w:rsidDel="00000000" w:rsidR="00000000" w:rsidRPr="00000000">
        <w:rPr>
          <w:rtl w:val="0"/>
        </w:rPr>
        <w:t xml:space="preserve">9</w:t>
      </w:r>
      <w:r w:rsidDel="00000000" w:rsidR="00000000" w:rsidRPr="00000000">
        <w:rPr>
          <w:rFonts w:ascii="Avenir" w:cs="Avenir" w:eastAsia="Avenir" w:hAnsi="Avenir"/>
          <w:rtl w:val="0"/>
        </w:rPr>
        <w:t xml:space="preserve">: probabilities and durations of stable and casual matches</w:t>
      </w:r>
    </w:p>
    <w:p w:rsidR="00000000" w:rsidDel="00000000" w:rsidP="00000000" w:rsidRDefault="00000000" w:rsidRPr="00000000" w14:paraId="00000194">
      <w:pPr>
        <w:rPr>
          <w:rFonts w:ascii="Avenir" w:cs="Avenir" w:eastAsia="Avenir" w:hAnsi="Avenir"/>
        </w:rPr>
      </w:pPr>
      <w:r w:rsidDel="00000000" w:rsidR="00000000" w:rsidRPr="00000000">
        <w:rPr>
          <w:rtl w:val="0"/>
        </w:rPr>
      </w:r>
    </w:p>
    <w:p w:rsidR="00000000" w:rsidDel="00000000" w:rsidP="00000000" w:rsidRDefault="00000000" w:rsidRPr="00000000" w14:paraId="00000195">
      <w:pPr>
        <w:rPr>
          <w:rFonts w:ascii="Avenir" w:cs="Avenir" w:eastAsia="Avenir" w:hAnsi="Avenir"/>
        </w:rPr>
      </w:pPr>
      <w:r w:rsidDel="00000000" w:rsidR="00000000" w:rsidRPr="00000000">
        <w:rPr>
          <w:rFonts w:ascii="Avenir" w:cs="Avenir" w:eastAsia="Avenir" w:hAnsi="Avenir"/>
          <w:rtl w:val="0"/>
        </w:rPr>
        <w:t xml:space="preserve">We then match new sex work pairs separately, as follows:</w:t>
      </w:r>
    </w:p>
    <w:p w:rsidR="00000000" w:rsidDel="00000000" w:rsidP="00000000" w:rsidRDefault="00000000" w:rsidRPr="00000000" w14:paraId="00000196">
      <w:pPr>
        <w:numPr>
          <w:ilvl w:val="0"/>
          <w:numId w:val="3"/>
        </w:numPr>
        <w:ind w:left="720" w:hanging="360"/>
        <w:rPr>
          <w:rFonts w:ascii="Avenir" w:cs="Avenir" w:eastAsia="Avenir" w:hAnsi="Avenir"/>
        </w:rPr>
      </w:pPr>
      <w:r w:rsidDel="00000000" w:rsidR="00000000" w:rsidRPr="00000000">
        <w:rPr>
          <w:rFonts w:ascii="Avenir" w:cs="Avenir" w:eastAsia="Avenir" w:hAnsi="Avenir"/>
          <w:rtl w:val="0"/>
        </w:rPr>
        <w:t xml:space="preserve">Determine the proportion of clients seeking a sex worker. The annual rate at which clients seek FSWs is assumed to be 6, equivalent to 1 new SW partner every 2 months.</w:t>
      </w:r>
    </w:p>
    <w:p w:rsidR="00000000" w:rsidDel="00000000" w:rsidP="00000000" w:rsidRDefault="00000000" w:rsidRPr="00000000" w14:paraId="00000197">
      <w:pPr>
        <w:numPr>
          <w:ilvl w:val="0"/>
          <w:numId w:val="3"/>
        </w:numPr>
        <w:ind w:left="720" w:hanging="360"/>
        <w:rPr>
          <w:rFonts w:ascii="Avenir" w:cs="Avenir" w:eastAsia="Avenir" w:hAnsi="Avenir"/>
        </w:rPr>
      </w:pPr>
      <w:r w:rsidDel="00000000" w:rsidR="00000000" w:rsidRPr="00000000">
        <w:rPr>
          <w:rFonts w:ascii="Avenir" w:cs="Avenir" w:eastAsia="Avenir" w:hAnsi="Avenir"/>
          <w:rtl w:val="0"/>
        </w:rPr>
        <w:t xml:space="preserve">Randomly assign a sex worker to each client (age preferences are not used here). Sex workers are allowed to have more than one client.</w:t>
      </w:r>
    </w:p>
    <w:p w:rsidR="00000000" w:rsidDel="00000000" w:rsidP="00000000" w:rsidRDefault="00000000" w:rsidRPr="00000000" w14:paraId="00000198">
      <w:pPr>
        <w:rPr>
          <w:rFonts w:ascii="Avenir" w:cs="Avenir" w:eastAsia="Avenir" w:hAnsi="Avenir"/>
        </w:rPr>
      </w:pPr>
      <w:r w:rsidDel="00000000" w:rsidR="00000000" w:rsidRPr="00000000">
        <w:rPr>
          <w:rtl w:val="0"/>
        </w:rPr>
      </w:r>
    </w:p>
    <w:p w:rsidR="00000000" w:rsidDel="00000000" w:rsidP="00000000" w:rsidRDefault="00000000" w:rsidRPr="00000000" w14:paraId="00000199">
      <w:pPr>
        <w:pStyle w:val="Heading2"/>
        <w:rPr>
          <w:rFonts w:ascii="Avenir" w:cs="Avenir" w:eastAsia="Avenir" w:hAnsi="Avenir"/>
        </w:rPr>
      </w:pPr>
      <w:bookmarkStart w:colFirst="0" w:colLast="0" w:name="_xcn3w9mpim26" w:id="23"/>
      <w:bookmarkEnd w:id="23"/>
      <w:r w:rsidDel="00000000" w:rsidR="00000000" w:rsidRPr="00000000">
        <w:rPr>
          <w:rFonts w:ascii="Avenir" w:cs="Avenir" w:eastAsia="Avenir" w:hAnsi="Avenir"/>
          <w:rtl w:val="0"/>
        </w:rPr>
        <w:t xml:space="preserve">Behavior within pairs</w:t>
      </w:r>
    </w:p>
    <w:p w:rsidR="00000000" w:rsidDel="00000000" w:rsidP="00000000" w:rsidRDefault="00000000" w:rsidRPr="00000000" w14:paraId="0000019A">
      <w:pPr>
        <w:rPr>
          <w:rFonts w:ascii="Avenir" w:cs="Avenir" w:eastAsia="Avenir" w:hAnsi="Avenir"/>
        </w:rPr>
      </w:pPr>
      <w:r w:rsidDel="00000000" w:rsidR="00000000" w:rsidRPr="00000000">
        <w:rPr>
          <w:rFonts w:ascii="Avenir" w:cs="Avenir" w:eastAsia="Avenir" w:hAnsi="Avenir"/>
          <w:rtl w:val="0"/>
        </w:rPr>
        <w:t xml:space="preserve">When pairs form, we determine their annual number of acts (drawn from a log-normal distribution with mean of 90 and standard deviation of 30) and their propensity for condom use. Rates of condom use vary over time and by risk group.</w:t>
      </w:r>
    </w:p>
    <w:p w:rsidR="00000000" w:rsidDel="00000000" w:rsidP="00000000" w:rsidRDefault="00000000" w:rsidRPr="00000000" w14:paraId="0000019B">
      <w:pPr>
        <w:rPr>
          <w:rFonts w:ascii="Avenir" w:cs="Avenir" w:eastAsia="Avenir" w:hAnsi="Avenir"/>
        </w:rPr>
      </w:pPr>
      <w:r w:rsidDel="00000000" w:rsidR="00000000" w:rsidRPr="00000000">
        <w:rPr>
          <w:rtl w:val="0"/>
        </w:rPr>
      </w:r>
    </w:p>
    <w:p w:rsidR="00000000" w:rsidDel="00000000" w:rsidP="00000000" w:rsidRDefault="00000000" w:rsidRPr="00000000" w14:paraId="0000019C">
      <w:pPr>
        <w:pStyle w:val="Heading2"/>
        <w:rPr>
          <w:rFonts w:ascii="Avenir" w:cs="Avenir" w:eastAsia="Avenir" w:hAnsi="Avenir"/>
        </w:rPr>
      </w:pPr>
      <w:bookmarkStart w:colFirst="0" w:colLast="0" w:name="_3h822jmkvf55" w:id="24"/>
      <w:bookmarkEnd w:id="24"/>
      <w:r w:rsidDel="00000000" w:rsidR="00000000" w:rsidRPr="00000000">
        <w:rPr>
          <w:rFonts w:ascii="Avenir" w:cs="Avenir" w:eastAsia="Avenir" w:hAnsi="Avenir"/>
          <w:rtl w:val="0"/>
        </w:rPr>
        <w:t xml:space="preserve">Pair dissolution</w:t>
      </w:r>
    </w:p>
    <w:p w:rsidR="00000000" w:rsidDel="00000000" w:rsidP="00000000" w:rsidRDefault="00000000" w:rsidRPr="00000000" w14:paraId="0000019D">
      <w:pPr>
        <w:rPr>
          <w:rFonts w:ascii="Avenir" w:cs="Avenir" w:eastAsia="Avenir" w:hAnsi="Avenir"/>
          <w:highlight w:val="yellow"/>
        </w:rPr>
      </w:pPr>
      <w:r w:rsidDel="00000000" w:rsidR="00000000" w:rsidRPr="00000000">
        <w:rPr>
          <w:rFonts w:ascii="Avenir" w:cs="Avenir" w:eastAsia="Avenir" w:hAnsi="Avenir"/>
          <w:rtl w:val="0"/>
        </w:rPr>
        <w:t xml:space="preserve">Pairs are dissolved at the end of their durations. We do not enforce any lag between ending one relationship and commencing another, but the parameter p_pair_form moderates how quickly females will re-enter relationships. </w:t>
      </w:r>
      <w:r w:rsidDel="00000000" w:rsidR="00000000" w:rsidRPr="00000000">
        <w:rPr>
          <w:rtl w:val="0"/>
        </w:rPr>
      </w:r>
    </w:p>
    <w:p w:rsidR="00000000" w:rsidDel="00000000" w:rsidP="00000000" w:rsidRDefault="00000000" w:rsidRPr="00000000" w14:paraId="0000019E">
      <w:pPr>
        <w:rPr>
          <w:rFonts w:ascii="Avenir" w:cs="Avenir" w:eastAsia="Avenir" w:hAnsi="Avenir"/>
        </w:rPr>
      </w:pPr>
      <w:r w:rsidDel="00000000" w:rsidR="00000000" w:rsidRPr="00000000">
        <w:rPr>
          <w:rtl w:val="0"/>
        </w:rPr>
      </w:r>
    </w:p>
    <w:p w:rsidR="00000000" w:rsidDel="00000000" w:rsidP="00000000" w:rsidRDefault="00000000" w:rsidRPr="00000000" w14:paraId="0000019F">
      <w:pPr>
        <w:rPr>
          <w:rFonts w:ascii="Avenir" w:cs="Avenir" w:eastAsia="Avenir" w:hAnsi="Avenir"/>
        </w:rPr>
      </w:pPr>
      <w:r w:rsidDel="00000000" w:rsidR="00000000" w:rsidRPr="00000000">
        <w:rPr>
          <w:rtl w:val="0"/>
        </w:rPr>
      </w:r>
    </w:p>
    <w:p w:rsidR="00000000" w:rsidDel="00000000" w:rsidP="00000000" w:rsidRDefault="00000000" w:rsidRPr="00000000" w14:paraId="000001A0">
      <w:pPr>
        <w:pStyle w:val="Heading1"/>
        <w:rPr>
          <w:rFonts w:ascii="Avenir" w:cs="Avenir" w:eastAsia="Avenir" w:hAnsi="Avenir"/>
        </w:rPr>
      </w:pPr>
      <w:bookmarkStart w:colFirst="0" w:colLast="0" w:name="_9bdbstcu2zkd" w:id="25"/>
      <w:bookmarkEnd w:id="25"/>
      <w:r w:rsidDel="00000000" w:rsidR="00000000" w:rsidRPr="00000000">
        <w:rPr>
          <w:rFonts w:ascii="Avenir" w:cs="Avenir" w:eastAsia="Avenir" w:hAnsi="Avenir"/>
          <w:rtl w:val="0"/>
        </w:rPr>
        <w:t xml:space="preserve">Model calibration</w:t>
      </w:r>
    </w:p>
    <w:p w:rsidR="00000000" w:rsidDel="00000000" w:rsidP="00000000" w:rsidRDefault="00000000" w:rsidRPr="00000000" w14:paraId="000001A1">
      <w:pPr>
        <w:rPr/>
      </w:pPr>
      <w:r w:rsidDel="00000000" w:rsidR="00000000" w:rsidRPr="00000000">
        <w:rPr>
          <w:rtl w:val="0"/>
        </w:rPr>
        <w:t xml:space="preserve">We split the calibration process into two phases.</w:t>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tl w:val="0"/>
        </w:rPr>
        <w:t xml:space="preserve">The first phase focuses on the sexual network by adjusting parameters of the network in order to model HIV transmission, progression, and treatment, fitting to data on the overall population size, the number of people living with HIV (PLHIV), HIV prevalence, the number of new HIV infections, and the number of HIV-related deaths.from UNAIDS over 1990-2025 whilst simultaneously aiming for near-alignment with sexual behavior data from Zimbabwe’s DHS (age at first sex, lifetime numbers of sexual partners, and marriage rates by age). We did not treat the sexual behavior data as a fixed calibration target due to common mis-reporting issues with these data. In this first step, we use placeholder estimates of population-level STI prevalence and fit the parameters of the sexual network by minimizing the difference between the model estimates of HIV outcomes and data from the UN WPP and UNAIDS. Table S10 summarizes the parameters that we adjust, the prior ranges of these parameters, and the final parameter values identified by calibration. Figure S4 we show the model fit to the HIV data.</w:t>
      </w:r>
    </w:p>
    <w:p w:rsidR="00000000" w:rsidDel="00000000" w:rsidP="00000000" w:rsidRDefault="00000000" w:rsidRPr="00000000" w14:paraId="000001A4">
      <w:pPr>
        <w:rPr/>
      </w:pPr>
      <w:r w:rsidDel="00000000" w:rsidR="00000000" w:rsidRPr="00000000">
        <w:rPr>
          <w:rtl w:val="0"/>
        </w:rPr>
      </w:r>
    </w:p>
    <w:p w:rsidR="00000000" w:rsidDel="00000000" w:rsidP="00000000" w:rsidRDefault="00000000" w:rsidRPr="00000000" w14:paraId="000001A5">
      <w:pPr>
        <w:rPr/>
      </w:pPr>
      <w:r w:rsidDel="00000000" w:rsidR="00000000" w:rsidRPr="00000000">
        <w:rPr>
          <w:rtl w:val="0"/>
        </w:rPr>
        <w:t xml:space="preserve">Building on this calibrated sexual network, the second phase estimated parameters for STI transmissibility, symptomaticity, and care-seeking separately for each of the three implementation scenarios. We varied 7 key parameters in each calibration: the symptomatic share of infections in women for NG (10-20%), CT (10-30%), and TV (15-75%), the proportion of women experiencing VDS who seek clinical care (25-75%), and the male-to-female per-act transmission probability of NG, CT, and TV (2-30%). We fit to STI data on the prevalence of NG, CT, and TV in young women and pregnant women over 1990-2025 </w:t>
      </w:r>
      <w:r w:rsidDel="00000000" w:rsidR="00000000" w:rsidRPr="00000000">
        <w:rPr>
          <w:shd w:fill="auto" w:val="clear"/>
          <w:vertAlign w:val="baseline"/>
          <w:rtl w:val="0"/>
        </w:rPr>
        <w:t xml:space="preserve">(56–58)</w:t>
      </w:r>
      <w:r w:rsidDel="00000000" w:rsidR="00000000" w:rsidRPr="00000000">
        <w:rPr>
          <w:rtl w:val="0"/>
        </w:rPr>
        <w:t xml:space="preserve">.  Table S11 shows the prior and posterior ranges for the parameters adjusted during this step. By tuning these parameters for each scenario, we can estimate the proportion of women treated consistent with historical prevalence estimates.</w:t>
      </w:r>
    </w:p>
    <w:p w:rsidR="00000000" w:rsidDel="00000000" w:rsidP="00000000" w:rsidRDefault="00000000" w:rsidRPr="00000000" w14:paraId="000001A6">
      <w:pPr>
        <w:rPr/>
      </w:pPr>
      <w:r w:rsidDel="00000000" w:rsidR="00000000" w:rsidRPr="00000000">
        <w:rPr>
          <w:rtl w:val="0"/>
        </w:rPr>
      </w:r>
    </w:p>
    <w:p w:rsidR="00000000" w:rsidDel="00000000" w:rsidP="00000000" w:rsidRDefault="00000000" w:rsidRPr="00000000" w14:paraId="000001A7">
      <w:pPr>
        <w:rPr/>
      </w:pPr>
      <w:r w:rsidDel="00000000" w:rsidR="00000000" w:rsidRPr="00000000">
        <w:rPr>
          <w:rtl w:val="0"/>
        </w:rPr>
        <w:t xml:space="preserve">For each calibration, we run 10,000 trials selected using a Bayesian optimization algorithm called Optuna </w:t>
      </w:r>
      <w:r w:rsidDel="00000000" w:rsidR="00000000" w:rsidRPr="00000000">
        <w:rPr>
          <w:shd w:fill="auto" w:val="clear"/>
          <w:vertAlign w:val="baseline"/>
          <w:rtl w:val="0"/>
        </w:rPr>
        <w:t xml:space="preserve">(59)</w:t>
      </w:r>
      <w:r w:rsidDel="00000000" w:rsidR="00000000" w:rsidRPr="00000000">
        <w:rPr>
          <w:rtl w:val="0"/>
        </w:rPr>
        <w:t xml:space="preserve">, a Python package integrated into STIsim for the purpose of finding the parameters that minimize the normalized sum of absolute differences between the model and the data for each metric and at each timepoint over the period from 1990-2025. </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t xml:space="preserve">Throughout the paper, we report estimates derived from the 500 best-fitting parameter sets. </w:t>
      </w:r>
    </w:p>
    <w:p w:rsidR="00000000" w:rsidDel="00000000" w:rsidP="00000000" w:rsidRDefault="00000000" w:rsidRPr="00000000" w14:paraId="000001AA">
      <w:pPr>
        <w:rPr>
          <w:rFonts w:ascii="Avenir" w:cs="Avenir" w:eastAsia="Avenir" w:hAnsi="Avenir"/>
        </w:rPr>
      </w:pPr>
      <w:r w:rsidDel="00000000" w:rsidR="00000000" w:rsidRPr="00000000">
        <w:rPr>
          <w:rtl w:val="0"/>
        </w:rPr>
      </w:r>
    </w:p>
    <w:tbl>
      <w:tblPr>
        <w:tblStyle w:val="Table1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85"/>
        <w:gridCol w:w="1705.0000000000002"/>
        <w:gridCol w:w="2010"/>
        <w:tblGridChange w:id="0">
          <w:tblGrid>
            <w:gridCol w:w="5285"/>
            <w:gridCol w:w="1705.0000000000002"/>
            <w:gridCol w:w="201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Parameter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Prior distribution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Posterior estimates: mean, 95% intervals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Per-act transmission probability from males to females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Unif(0.001-0.1)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0.036 (0.033–0.039)</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line="240" w:lineRule="auto"/>
              <w:jc w:val="left"/>
              <w:rPr>
                <w:rFonts w:ascii="Avenir" w:cs="Avenir" w:eastAsia="Avenir" w:hAnsi="Avenir"/>
              </w:rPr>
            </w:pPr>
            <w:r w:rsidDel="00000000" w:rsidR="00000000" w:rsidRPr="00000000">
              <w:rPr>
                <w:rtl w:val="0"/>
              </w:rPr>
              <w:t xml:space="preserve">Proportion of women in lowest risk-group (level 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Unif(0.50-0.9)</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0.786 (0.685–0.880)</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jc w:val="left"/>
              <w:rPr>
                <w:rFonts w:ascii="Avenir" w:cs="Avenir" w:eastAsia="Avenir" w:hAnsi="Avenir"/>
              </w:rPr>
            </w:pPr>
            <w:r w:rsidDel="00000000" w:rsidR="00000000" w:rsidRPr="00000000">
              <w:rPr>
                <w:rtl w:val="0"/>
              </w:rPr>
              <w:t xml:space="preserve">Proportion of men in lowest risk-group (level 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jc w:val="left"/>
              <w:rPr>
                <w:rFonts w:ascii="Avenir" w:cs="Avenir" w:eastAsia="Avenir" w:hAnsi="Avenir"/>
              </w:rPr>
            </w:pPr>
            <w:r w:rsidDel="00000000" w:rsidR="00000000" w:rsidRPr="00000000">
              <w:rPr>
                <w:rtl w:val="0"/>
              </w:rPr>
              <w:t xml:space="preserve">Unif(0.50-0.9)</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0.832 (0.647–0.898)</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jc w:val="left"/>
              <w:rPr>
                <w:rFonts w:ascii="Avenir" w:cs="Avenir" w:eastAsia="Avenir" w:hAnsi="Avenir"/>
              </w:rPr>
            </w:pPr>
            <w:r w:rsidDel="00000000" w:rsidR="00000000" w:rsidRPr="00000000">
              <w:rPr>
                <w:rtl w:val="0"/>
              </w:rPr>
              <w:t xml:space="preserve">% of level 1 females preferring &gt;1 simultaneous partner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Unif(0.01–0.2)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0.162 (0.046–0.197)</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jc w:val="left"/>
              <w:rPr>
                <w:rFonts w:ascii="Avenir" w:cs="Avenir" w:eastAsia="Avenir" w:hAnsi="Avenir"/>
              </w:rPr>
            </w:pPr>
            <w:r w:rsidDel="00000000" w:rsidR="00000000" w:rsidRPr="00000000">
              <w:rPr>
                <w:rtl w:val="0"/>
              </w:rPr>
              <w:t xml:space="preserve">% of level 1 males preferring &gt;1 simultaneous partner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jc w:val="left"/>
              <w:rPr>
                <w:rFonts w:ascii="Avenir" w:cs="Avenir" w:eastAsia="Avenir" w:hAnsi="Avenir"/>
              </w:rPr>
            </w:pPr>
            <w:r w:rsidDel="00000000" w:rsidR="00000000" w:rsidRPr="00000000">
              <w:rPr>
                <w:rtl w:val="0"/>
              </w:rPr>
              <w:t xml:space="preserve">Unif(0.01–0.2)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0.106 (0.015–0.193)</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D">
            <w:pPr>
              <w:widowControl w:val="0"/>
              <w:spacing w:line="240" w:lineRule="auto"/>
              <w:jc w:val="left"/>
              <w:rPr>
                <w:rFonts w:ascii="Avenir" w:cs="Avenir" w:eastAsia="Avenir" w:hAnsi="Avenir"/>
              </w:rPr>
            </w:pPr>
            <w:r w:rsidDel="00000000" w:rsidR="00000000" w:rsidRPr="00000000">
              <w:rPr>
                <w:rtl w:val="0"/>
              </w:rPr>
              <w:t xml:space="preserve">Proportion of unpartnered women seeking a partner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Unif(0.4–0.9)</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rPr>
            </w:pPr>
            <w:r w:rsidDel="00000000" w:rsidR="00000000" w:rsidRPr="00000000">
              <w:rPr>
                <w:rtl w:val="0"/>
              </w:rPr>
              <w:t xml:space="preserve">0.577 (0.510–0.708)</w:t>
            </w:r>
            <w:r w:rsidDel="00000000" w:rsidR="00000000" w:rsidRPr="00000000">
              <w:rPr>
                <w:rtl w:val="0"/>
              </w:rPr>
            </w:r>
          </w:p>
        </w:tc>
      </w:tr>
    </w:tbl>
    <w:p w:rsidR="00000000" w:rsidDel="00000000" w:rsidP="00000000" w:rsidRDefault="00000000" w:rsidRPr="00000000" w14:paraId="000001C0">
      <w:pPr>
        <w:rPr>
          <w:rFonts w:ascii="Avenir" w:cs="Avenir" w:eastAsia="Avenir" w:hAnsi="Avenir"/>
        </w:rPr>
      </w:pPr>
      <w:r w:rsidDel="00000000" w:rsidR="00000000" w:rsidRPr="00000000">
        <w:rPr>
          <w:rtl w:val="0"/>
        </w:rPr>
        <w:t xml:space="preserve">Table S10: prior distributions and posterior estimates for the parameters of the sexual network and HIV transmission estimated by fitting to data on HIV. </w:t>
      </w:r>
      <w:r w:rsidDel="00000000" w:rsidR="00000000" w:rsidRPr="00000000">
        <w:rPr>
          <w:rtl w:val="0"/>
        </w:rPr>
      </w:r>
    </w:p>
    <w:p w:rsidR="00000000" w:rsidDel="00000000" w:rsidP="00000000" w:rsidRDefault="00000000" w:rsidRPr="00000000" w14:paraId="000001C1">
      <w:pPr>
        <w:rPr>
          <w:rFonts w:ascii="Avenir" w:cs="Avenir" w:eastAsia="Avenir" w:hAnsi="Avenir"/>
        </w:rPr>
      </w:pPr>
      <w:r w:rsidDel="00000000" w:rsidR="00000000" w:rsidRPr="00000000">
        <w:rPr>
          <w:rFonts w:ascii="Avenir" w:cs="Avenir" w:eastAsia="Avenir" w:hAnsi="Avenir"/>
        </w:rPr>
        <w:drawing>
          <wp:inline distB="114300" distT="114300" distL="114300" distR="114300">
            <wp:extent cx="5731200" cy="2222500"/>
            <wp:effectExtent b="0" l="0" r="0" t="0"/>
            <wp:docPr id="3"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731200" cy="2222500"/>
                    </a:xfrm>
                    <a:prstGeom prst="rect"/>
                    <a:ln/>
                  </pic:spPr>
                </pic:pic>
              </a:graphicData>
            </a:graphic>
          </wp:inline>
        </w:drawing>
      </w:r>
      <w:r w:rsidDel="00000000" w:rsidR="00000000" w:rsidRPr="00000000">
        <w:rPr>
          <w:rtl w:val="0"/>
        </w:rPr>
      </w:r>
    </w:p>
    <w:p w:rsidR="00000000" w:rsidDel="00000000" w:rsidP="00000000" w:rsidRDefault="00000000" w:rsidRPr="00000000" w14:paraId="000001C2">
      <w:pPr>
        <w:rPr>
          <w:rFonts w:ascii="Avenir" w:cs="Avenir" w:eastAsia="Avenir" w:hAnsi="Avenir"/>
          <w:i w:val="1"/>
        </w:rPr>
      </w:pPr>
      <w:r w:rsidDel="00000000" w:rsidR="00000000" w:rsidRPr="00000000">
        <w:rPr>
          <w:rFonts w:ascii="Avenir" w:cs="Avenir" w:eastAsia="Avenir" w:hAnsi="Avenir"/>
          <w:i w:val="1"/>
          <w:rtl w:val="0"/>
        </w:rPr>
        <w:t xml:space="preserve">Figure S4: model calibration to HIV data. Black markers indicate data, which is sourced from UN WPP for the population size and from UNAIDS for all other indicators. The blue lines indicate the mean </w:t>
      </w:r>
      <w:r w:rsidDel="00000000" w:rsidR="00000000" w:rsidRPr="00000000">
        <w:rPr>
          <w:i w:val="1"/>
          <w:rtl w:val="0"/>
        </w:rPr>
        <w:t xml:space="preserve">across the best-fitting 500 simulations (we run 10,000 trial simulations for these calibrations). The shaded areas represent the 50%, 90%, and 95% interquartile ranges from the best-fitting 500 simulations.</w:t>
      </w:r>
      <w:r w:rsidDel="00000000" w:rsidR="00000000" w:rsidRPr="00000000">
        <w:rPr>
          <w:rtl w:val="0"/>
        </w:rPr>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rtl w:val="0"/>
        </w:rPr>
      </w:r>
    </w:p>
    <w:tbl>
      <w:tblPr>
        <w:tblStyle w:val="Table11"/>
        <w:tblW w:w="90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845"/>
        <w:gridCol w:w="1875"/>
        <w:gridCol w:w="1875"/>
        <w:gridCol w:w="1875"/>
        <w:tblGridChange w:id="0">
          <w:tblGrid>
            <w:gridCol w:w="1560"/>
            <w:gridCol w:w="1845"/>
            <w:gridCol w:w="1875"/>
            <w:gridCol w:w="1875"/>
            <w:gridCol w:w="1875"/>
          </w:tblGrid>
        </w:tblGridChange>
      </w:tblGrid>
      <w:tr>
        <w:trPr>
          <w:cantSplit w:val="0"/>
          <w:trHeight w:val="400" w:hRule="atLeast"/>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1C5">
            <w:pPr>
              <w:widowControl w:val="0"/>
              <w:spacing w:line="240" w:lineRule="auto"/>
              <w:jc w:val="left"/>
              <w:rPr>
                <w:b w:val="1"/>
              </w:rPr>
            </w:pPr>
            <w:r w:rsidDel="00000000" w:rsidR="00000000" w:rsidRPr="00000000">
              <w:rPr>
                <w:b w:val="1"/>
                <w:rtl w:val="0"/>
              </w:rPr>
              <w:t xml:space="preserve">Parameter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spacing w:line="240" w:lineRule="auto"/>
              <w:jc w:val="left"/>
              <w:rPr>
                <w:b w:val="1"/>
              </w:rPr>
            </w:pPr>
            <w:r w:rsidDel="00000000" w:rsidR="00000000" w:rsidRPr="00000000">
              <w:rPr>
                <w:b w:val="1"/>
                <w:rtl w:val="0"/>
              </w:rPr>
              <w:t xml:space="preserve">Prior distribution</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jc w:val="left"/>
              <w:rPr>
                <w:b w:val="1"/>
              </w:rPr>
            </w:pPr>
            <w:r w:rsidDel="00000000" w:rsidR="00000000" w:rsidRPr="00000000">
              <w:rPr>
                <w:b w:val="1"/>
                <w:rtl w:val="0"/>
              </w:rPr>
              <w:t xml:space="preserve">Posterior estimates: mean, 95% intervals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spacing w:line="240" w:lineRule="auto"/>
              <w:jc w:val="left"/>
              <w:rPr/>
            </w:pPr>
            <w:r w:rsidDel="00000000" w:rsidR="00000000" w:rsidRPr="00000000">
              <w:rPr>
                <w:rtl w:val="0"/>
              </w:rPr>
              <w:t xml:space="preserve">Treat-half</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widowControl w:val="0"/>
              <w:spacing w:line="240" w:lineRule="auto"/>
              <w:jc w:val="left"/>
              <w:rPr/>
            </w:pPr>
            <w:r w:rsidDel="00000000" w:rsidR="00000000" w:rsidRPr="00000000">
              <w:rPr>
                <w:rtl w:val="0"/>
              </w:rPr>
              <w:t xml:space="preserve">Treat-most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spacing w:line="240" w:lineRule="auto"/>
              <w:jc w:val="left"/>
              <w:rPr/>
            </w:pPr>
            <w:r w:rsidDel="00000000" w:rsidR="00000000" w:rsidRPr="00000000">
              <w:rPr>
                <w:rtl w:val="0"/>
              </w:rPr>
              <w:t xml:space="preserve">Treat-all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widowControl w:val="0"/>
              <w:spacing w:line="240" w:lineRule="auto"/>
              <w:jc w:val="left"/>
              <w:rPr/>
            </w:pPr>
            <w:r w:rsidDel="00000000" w:rsidR="00000000" w:rsidRPr="00000000">
              <w:rPr>
                <w:rtl w:val="0"/>
              </w:rPr>
              <w:t xml:space="preserve">Per-act transmission probability, males to females: 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spacing w:line="240" w:lineRule="auto"/>
              <w:jc w:val="left"/>
              <w:rPr/>
            </w:pPr>
            <w:r w:rsidDel="00000000" w:rsidR="00000000" w:rsidRPr="00000000">
              <w:rPr>
                <w:rtl w:val="0"/>
              </w:rPr>
              <w:t xml:space="preserve">Unif(0.02-0.2)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widowControl w:val="0"/>
              <w:spacing w:line="240" w:lineRule="auto"/>
              <w:jc w:val="left"/>
              <w:rPr/>
            </w:pPr>
            <w:r w:rsidDel="00000000" w:rsidR="00000000" w:rsidRPr="00000000">
              <w:rPr>
                <w:rtl w:val="0"/>
              </w:rPr>
              <w:t xml:space="preserve">0.122 (0.113–0.130)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line="240" w:lineRule="auto"/>
              <w:jc w:val="left"/>
              <w:rPr/>
            </w:pPr>
            <w:r w:rsidDel="00000000" w:rsidR="00000000" w:rsidRPr="00000000">
              <w:rPr>
                <w:rtl w:val="0"/>
              </w:rPr>
              <w:t xml:space="preserve">0.126 (0.117–0.133)</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jc w:val="left"/>
              <w:rPr/>
            </w:pPr>
            <w:r w:rsidDel="00000000" w:rsidR="00000000" w:rsidRPr="00000000">
              <w:rPr>
                <w:rtl w:val="0"/>
              </w:rPr>
              <w:t xml:space="preserve">0.129 (0.121–0.141)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spacing w:line="240" w:lineRule="auto"/>
              <w:jc w:val="left"/>
              <w:rPr/>
            </w:pPr>
            <w:r w:rsidDel="00000000" w:rsidR="00000000" w:rsidRPr="00000000">
              <w:rPr>
                <w:rtl w:val="0"/>
              </w:rPr>
              <w:t xml:space="preserve">Per-act transmission probability, males to females: 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jc w:val="left"/>
              <w:rPr/>
            </w:pPr>
            <w:r w:rsidDel="00000000" w:rsidR="00000000" w:rsidRPr="00000000">
              <w:rPr>
                <w:rtl w:val="0"/>
              </w:rPr>
              <w:t xml:space="preserve">Unif(0.02-0.2)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240" w:lineRule="auto"/>
              <w:jc w:val="left"/>
              <w:rPr/>
            </w:pPr>
            <w:r w:rsidDel="00000000" w:rsidR="00000000" w:rsidRPr="00000000">
              <w:rPr>
                <w:rtl w:val="0"/>
              </w:rPr>
              <w:t xml:space="preserve">0.154 (0.134–0.174)</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widowControl w:val="0"/>
              <w:spacing w:line="240" w:lineRule="auto"/>
              <w:jc w:val="left"/>
              <w:rPr/>
            </w:pPr>
            <w:r w:rsidDel="00000000" w:rsidR="00000000" w:rsidRPr="00000000">
              <w:rPr>
                <w:rtl w:val="0"/>
              </w:rPr>
              <w:t xml:space="preserve">0.156 (0.141–0.179)</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widowControl w:val="0"/>
              <w:spacing w:line="240" w:lineRule="auto"/>
              <w:jc w:val="left"/>
              <w:rPr/>
            </w:pPr>
            <w:r w:rsidDel="00000000" w:rsidR="00000000" w:rsidRPr="00000000">
              <w:rPr>
                <w:rtl w:val="0"/>
              </w:rPr>
              <w:t xml:space="preserve">0.163 (0.150–0.175)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240" w:lineRule="auto"/>
              <w:jc w:val="left"/>
              <w:rPr/>
            </w:pPr>
            <w:r w:rsidDel="00000000" w:rsidR="00000000" w:rsidRPr="00000000">
              <w:rPr>
                <w:rtl w:val="0"/>
              </w:rPr>
              <w:t xml:space="preserve">Per-act transmission probability, males to females: TV</w:t>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240" w:lineRule="auto"/>
              <w:jc w:val="left"/>
              <w:rPr/>
            </w:pPr>
            <w:r w:rsidDel="00000000" w:rsidR="00000000" w:rsidRPr="00000000">
              <w:rPr>
                <w:rtl w:val="0"/>
              </w:rPr>
              <w:t xml:space="preserve">Unif(0.02-0.2)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widowControl w:val="0"/>
              <w:spacing w:line="240" w:lineRule="auto"/>
              <w:jc w:val="left"/>
              <w:rPr/>
            </w:pPr>
            <w:r w:rsidDel="00000000" w:rsidR="00000000" w:rsidRPr="00000000">
              <w:rPr>
                <w:rtl w:val="0"/>
              </w:rPr>
              <w:t xml:space="preserve">0.110 (0.093–0.158)</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jc w:val="left"/>
              <w:rPr/>
            </w:pPr>
            <w:r w:rsidDel="00000000" w:rsidR="00000000" w:rsidRPr="00000000">
              <w:rPr>
                <w:rtl w:val="0"/>
              </w:rPr>
              <w:t xml:space="preserve">0.156 (0.138–0.181)</w:t>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240" w:lineRule="auto"/>
              <w:jc w:val="left"/>
              <w:rPr/>
            </w:pPr>
            <w:r w:rsidDel="00000000" w:rsidR="00000000" w:rsidRPr="00000000">
              <w:rPr>
                <w:rtl w:val="0"/>
              </w:rPr>
              <w:t xml:space="preserve">0.158 (0.142–0.173)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jc w:val="left"/>
              <w:rPr/>
            </w:pPr>
            <w:r w:rsidDel="00000000" w:rsidR="00000000" w:rsidRPr="00000000">
              <w:rPr>
                <w:rtl w:val="0"/>
              </w:rPr>
              <w:t xml:space="preserve">Symptomatic proportion among women: 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jc w:val="left"/>
              <w:rPr/>
            </w:pPr>
            <w:r w:rsidDel="00000000" w:rsidR="00000000" w:rsidRPr="00000000">
              <w:rPr>
                <w:rtl w:val="0"/>
              </w:rPr>
              <w:t xml:space="preserve">Unif(0.1–0.2)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widowControl w:val="0"/>
              <w:spacing w:line="240" w:lineRule="auto"/>
              <w:jc w:val="left"/>
              <w:rPr/>
            </w:pPr>
            <w:r w:rsidDel="00000000" w:rsidR="00000000" w:rsidRPr="00000000">
              <w:rPr>
                <w:rtl w:val="0"/>
              </w:rPr>
              <w:t xml:space="preserve">0.173 (0.104–0.197)</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jc w:val="left"/>
              <w:rPr/>
            </w:pPr>
            <w:r w:rsidDel="00000000" w:rsidR="00000000" w:rsidRPr="00000000">
              <w:rPr>
                <w:rtl w:val="0"/>
              </w:rPr>
              <w:t xml:space="preserve">0.156 (0.116–0.188)</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jc w:val="left"/>
              <w:rPr/>
            </w:pPr>
            <w:r w:rsidDel="00000000" w:rsidR="00000000" w:rsidRPr="00000000">
              <w:rPr>
                <w:rtl w:val="0"/>
              </w:rPr>
              <w:t xml:space="preserve">0.136 (0.115–0.174)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jc w:val="left"/>
              <w:rPr/>
            </w:pPr>
            <w:r w:rsidDel="00000000" w:rsidR="00000000" w:rsidRPr="00000000">
              <w:rPr>
                <w:rtl w:val="0"/>
              </w:rPr>
              <w:t xml:space="preserve">Symptomatic proportion among women: 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jc w:val="left"/>
              <w:rPr/>
            </w:pPr>
            <w:r w:rsidDel="00000000" w:rsidR="00000000" w:rsidRPr="00000000">
              <w:rPr>
                <w:rtl w:val="0"/>
              </w:rPr>
              <w:t xml:space="preserve">Unif(0.1–0.3)</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jc w:val="left"/>
              <w:rPr/>
            </w:pPr>
            <w:r w:rsidDel="00000000" w:rsidR="00000000" w:rsidRPr="00000000">
              <w:rPr>
                <w:rtl w:val="0"/>
              </w:rPr>
              <w:t xml:space="preserve">0.227 (0.203–0.293)</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jc w:val="left"/>
              <w:rPr/>
            </w:pPr>
            <w:r w:rsidDel="00000000" w:rsidR="00000000" w:rsidRPr="00000000">
              <w:rPr>
                <w:rtl w:val="0"/>
              </w:rPr>
              <w:t xml:space="preserve">0.245 (0.214–0.292)</w:t>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jc w:val="left"/>
              <w:rPr/>
            </w:pPr>
            <w:r w:rsidDel="00000000" w:rsidR="00000000" w:rsidRPr="00000000">
              <w:rPr>
                <w:rtl w:val="0"/>
              </w:rPr>
              <w:t xml:space="preserve">0.242 (0.202–0.295)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jc w:val="left"/>
              <w:rPr/>
            </w:pPr>
            <w:r w:rsidDel="00000000" w:rsidR="00000000" w:rsidRPr="00000000">
              <w:rPr>
                <w:rtl w:val="0"/>
              </w:rPr>
              <w:t xml:space="preserve">Symptomatic proportion among women: TV</w:t>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widowControl w:val="0"/>
              <w:spacing w:line="240" w:lineRule="auto"/>
              <w:jc w:val="left"/>
              <w:rPr/>
            </w:pPr>
            <w:r w:rsidDel="00000000" w:rsidR="00000000" w:rsidRPr="00000000">
              <w:rPr>
                <w:rtl w:val="0"/>
              </w:rPr>
              <w:t xml:space="preserve">Unif(0.15–0.75)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jc w:val="left"/>
              <w:rPr/>
            </w:pPr>
            <w:r w:rsidDel="00000000" w:rsidR="00000000" w:rsidRPr="00000000">
              <w:rPr>
                <w:rtl w:val="0"/>
              </w:rPr>
              <w:t xml:space="preserve">0.398 (0.204–0.679)</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jc w:val="left"/>
              <w:rPr/>
            </w:pPr>
            <w:r w:rsidDel="00000000" w:rsidR="00000000" w:rsidRPr="00000000">
              <w:rPr>
                <w:rtl w:val="0"/>
              </w:rPr>
              <w:t xml:space="preserve">0.623 (0.541–0.746)</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240" w:lineRule="auto"/>
              <w:jc w:val="left"/>
              <w:rPr/>
            </w:pPr>
            <w:r w:rsidDel="00000000" w:rsidR="00000000" w:rsidRPr="00000000">
              <w:rPr>
                <w:rtl w:val="0"/>
              </w:rPr>
              <w:t xml:space="preserve">0.636 (0.596–0.670)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line="240" w:lineRule="auto"/>
              <w:jc w:val="left"/>
              <w:rPr/>
            </w:pPr>
            <w:r w:rsidDel="00000000" w:rsidR="00000000" w:rsidRPr="00000000">
              <w:rPr>
                <w:rtl w:val="0"/>
              </w:rPr>
              <w:t xml:space="preserve">Proportion of women with VDS who seek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240" w:lineRule="auto"/>
              <w:jc w:val="left"/>
              <w:rPr/>
            </w:pPr>
            <w:r w:rsidDel="00000000" w:rsidR="00000000" w:rsidRPr="00000000">
              <w:rPr>
                <w:rtl w:val="0"/>
              </w:rPr>
              <w:t xml:space="preserve">Unif(0.25–0.75)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spacing w:line="240" w:lineRule="auto"/>
              <w:jc w:val="left"/>
              <w:rPr/>
            </w:pPr>
            <w:r w:rsidDel="00000000" w:rsidR="00000000" w:rsidRPr="00000000">
              <w:rPr>
                <w:rtl w:val="0"/>
              </w:rPr>
              <w:t xml:space="preserve">0.573 (0.269–0.728)</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line="240" w:lineRule="auto"/>
              <w:jc w:val="left"/>
              <w:rPr/>
            </w:pPr>
            <w:r w:rsidDel="00000000" w:rsidR="00000000" w:rsidRPr="00000000">
              <w:rPr>
                <w:rtl w:val="0"/>
              </w:rPr>
              <w:t xml:space="preserve">0.653 (0.496–0.735)</w:t>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jc w:val="left"/>
              <w:rPr/>
            </w:pPr>
            <w:r w:rsidDel="00000000" w:rsidR="00000000" w:rsidRPr="00000000">
              <w:rPr>
                <w:rtl w:val="0"/>
              </w:rPr>
              <w:t xml:space="preserve">0.467 (0.362–0.651)</w:t>
            </w:r>
          </w:p>
        </w:tc>
      </w:tr>
    </w:tbl>
    <w:p w:rsidR="00000000" w:rsidDel="00000000" w:rsidP="00000000" w:rsidRDefault="00000000" w:rsidRPr="00000000" w14:paraId="000001F2">
      <w:pPr>
        <w:rPr/>
      </w:pPr>
      <w:r w:rsidDel="00000000" w:rsidR="00000000" w:rsidRPr="00000000">
        <w:rPr>
          <w:rtl w:val="0"/>
        </w:rPr>
        <w:t xml:space="preserve">Table S11: prior distributions and posterior estimates for the parameters of the STI models.</w:t>
      </w:r>
    </w:p>
    <w:p w:rsidR="00000000" w:rsidDel="00000000" w:rsidP="00000000" w:rsidRDefault="00000000" w:rsidRPr="00000000" w14:paraId="000001F3">
      <w:pPr>
        <w:rPr/>
      </w:pPr>
      <w:r w:rsidDel="00000000" w:rsidR="00000000" w:rsidRPr="00000000">
        <w:rPr>
          <w:rtl w:val="0"/>
        </w:rPr>
      </w:r>
    </w:p>
    <w:p w:rsidR="00000000" w:rsidDel="00000000" w:rsidP="00000000" w:rsidRDefault="00000000" w:rsidRPr="00000000" w14:paraId="000001F4">
      <w:pPr>
        <w:rPr>
          <w:i w:val="1"/>
        </w:rPr>
      </w:pPr>
      <w:r w:rsidDel="00000000" w:rsidR="00000000" w:rsidRPr="00000000">
        <w:rPr>
          <w:rtl w:val="0"/>
        </w:rPr>
      </w:r>
    </w:p>
    <w:p w:rsidR="00000000" w:rsidDel="00000000" w:rsidP="00000000" w:rsidRDefault="00000000" w:rsidRPr="00000000" w14:paraId="000001F5">
      <w:pPr>
        <w:rPr>
          <w:i w:val="1"/>
        </w:rPr>
      </w:pPr>
      <w:r w:rsidDel="00000000" w:rsidR="00000000" w:rsidRPr="00000000">
        <w:rPr>
          <w:i w:val="1"/>
        </w:rPr>
        <w:drawing>
          <wp:inline distB="114300" distT="114300" distL="114300" distR="114300">
            <wp:extent cx="5731200" cy="2755900"/>
            <wp:effectExtent b="0" l="0" r="0" t="0"/>
            <wp:docPr id="5"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731200" cy="2755900"/>
                    </a:xfrm>
                    <a:prstGeom prst="rect"/>
                    <a:ln/>
                  </pic:spPr>
                </pic:pic>
              </a:graphicData>
            </a:graphic>
          </wp:inline>
        </w:drawing>
      </w:r>
      <w:r w:rsidDel="00000000" w:rsidR="00000000" w:rsidRPr="00000000">
        <w:rPr>
          <w:rtl w:val="0"/>
        </w:rPr>
      </w:r>
    </w:p>
    <w:p w:rsidR="00000000" w:rsidDel="00000000" w:rsidP="00000000" w:rsidRDefault="00000000" w:rsidRPr="00000000" w14:paraId="000001F6">
      <w:pPr>
        <w:rPr>
          <w:highlight w:val="yellow"/>
        </w:rPr>
      </w:pPr>
      <w:r w:rsidDel="00000000" w:rsidR="00000000" w:rsidRPr="00000000">
        <w:rPr>
          <w:i w:val="1"/>
          <w:rtl w:val="0"/>
        </w:rPr>
        <w:t xml:space="preserve">Figure S5: model calibration to STI data. Black markers indicate data, which is sourced from IHME Global Burden of Disease (2019). The blue lines indicate the mean across the best-fitting 500 simulations (we run 10,000 trial simulations for these calibrations). The shaded areas represent the 50%, 90%, and 95% interquartile ranges from the best-fitting 500 simulations.</w:t>
      </w:r>
      <w:r w:rsidDel="00000000" w:rsidR="00000000" w:rsidRPr="00000000">
        <w:rPr>
          <w:rtl w:val="0"/>
        </w:rPr>
      </w:r>
    </w:p>
    <w:p w:rsidR="00000000" w:rsidDel="00000000" w:rsidP="00000000" w:rsidRDefault="00000000" w:rsidRPr="00000000" w14:paraId="000001F7">
      <w:pPr>
        <w:rPr/>
      </w:pPr>
      <w:r w:rsidDel="00000000" w:rsidR="00000000" w:rsidRPr="00000000">
        <w:rPr>
          <w:rtl w:val="0"/>
        </w:rPr>
      </w:r>
    </w:p>
    <w:p w:rsidR="00000000" w:rsidDel="00000000" w:rsidP="00000000" w:rsidRDefault="00000000" w:rsidRPr="00000000" w14:paraId="000001F8">
      <w:pPr>
        <w:pStyle w:val="Heading1"/>
        <w:rPr/>
      </w:pPr>
      <w:bookmarkStart w:colFirst="0" w:colLast="0" w:name="_jwpnjgd3idtt" w:id="26"/>
      <w:bookmarkEnd w:id="26"/>
      <w:r w:rsidDel="00000000" w:rsidR="00000000" w:rsidRPr="00000000">
        <w:rPr>
          <w:rtl w:val="0"/>
        </w:rPr>
        <w:t xml:space="preserve">Summary of impact of a POC diagnostic </w:t>
      </w:r>
    </w:p>
    <w:p w:rsidR="00000000" w:rsidDel="00000000" w:rsidP="00000000" w:rsidRDefault="00000000" w:rsidRPr="00000000" w14:paraId="000001F9">
      <w:pPr>
        <w:rPr/>
      </w:pPr>
      <w:r w:rsidDel="00000000" w:rsidR="00000000" w:rsidRPr="00000000">
        <w:rPr>
          <w:rtl w:val="0"/>
        </w:rPr>
      </w:r>
    </w:p>
    <w:tbl>
      <w:tblPr>
        <w:tblStyle w:val="Table12"/>
        <w:tblW w:w="9105.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55"/>
        <w:gridCol w:w="645"/>
        <w:gridCol w:w="878.3333333333335"/>
        <w:gridCol w:w="878.3333333333335"/>
        <w:gridCol w:w="878.3333333333335"/>
        <w:gridCol w:w="878.3333333333335"/>
        <w:gridCol w:w="878.3333333333335"/>
        <w:gridCol w:w="878.3333333333335"/>
        <w:gridCol w:w="878.3333333333335"/>
        <w:gridCol w:w="878.3333333333335"/>
        <w:gridCol w:w="878.3333333333335"/>
        <w:tblGridChange w:id="0">
          <w:tblGrid>
            <w:gridCol w:w="555"/>
            <w:gridCol w:w="645"/>
            <w:gridCol w:w="878.3333333333335"/>
            <w:gridCol w:w="878.3333333333335"/>
            <w:gridCol w:w="878.3333333333335"/>
            <w:gridCol w:w="878.3333333333335"/>
            <w:gridCol w:w="878.3333333333335"/>
            <w:gridCol w:w="878.3333333333335"/>
            <w:gridCol w:w="878.3333333333335"/>
            <w:gridCol w:w="878.3333333333335"/>
            <w:gridCol w:w="878.3333333333335"/>
          </w:tblGrid>
        </w:tblGridChange>
      </w:tblGrid>
      <w:tr>
        <w:trPr>
          <w:cantSplit w:val="0"/>
          <w:trHeight w:val="4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B">
            <w:pPr>
              <w:widowControl w:val="0"/>
              <w:spacing w:line="240" w:lineRule="auto"/>
              <w:jc w:val="center"/>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FC">
            <w:pPr>
              <w:widowControl w:val="0"/>
              <w:spacing w:line="240" w:lineRule="auto"/>
              <w:jc w:val="center"/>
              <w:rPr/>
            </w:pPr>
            <w:r w:rsidDel="00000000" w:rsidR="00000000" w:rsidRPr="00000000">
              <w:rPr>
                <w:rtl w:val="0"/>
              </w:rPr>
              <w:t xml:space="preserve">Overtreatment 2027-2040</w:t>
            </w:r>
          </w:p>
          <w:p w:rsidR="00000000" w:rsidDel="00000000" w:rsidP="00000000" w:rsidRDefault="00000000" w:rsidRPr="00000000" w14:paraId="000001FD">
            <w:pPr>
              <w:widowControl w:val="0"/>
              <w:spacing w:line="240" w:lineRule="auto"/>
              <w:jc w:val="center"/>
              <w:rPr/>
            </w:pPr>
            <w:r w:rsidDel="00000000" w:rsidR="00000000" w:rsidRPr="00000000">
              <w:rPr>
                <w:rtl w:val="0"/>
              </w:rPr>
              <w:t xml:space="preserve">(cumulative, thousands)</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00">
            <w:pPr>
              <w:widowControl w:val="0"/>
              <w:spacing w:line="240" w:lineRule="auto"/>
              <w:jc w:val="center"/>
              <w:rPr/>
            </w:pPr>
            <w:r w:rsidDel="00000000" w:rsidR="00000000" w:rsidRPr="00000000">
              <w:rPr>
                <w:rtl w:val="0"/>
              </w:rPr>
              <w:t xml:space="preserve">Undertreatment 2027-2040</w:t>
            </w:r>
          </w:p>
          <w:p w:rsidR="00000000" w:rsidDel="00000000" w:rsidP="00000000" w:rsidRDefault="00000000" w:rsidRPr="00000000" w14:paraId="00000201">
            <w:pPr>
              <w:widowControl w:val="0"/>
              <w:spacing w:line="240" w:lineRule="auto"/>
              <w:jc w:val="center"/>
              <w:rPr/>
            </w:pPr>
            <w:r w:rsidDel="00000000" w:rsidR="00000000" w:rsidRPr="00000000">
              <w:rPr>
                <w:rtl w:val="0"/>
              </w:rPr>
              <w:t xml:space="preserve">(cumulative, thousands)</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04">
            <w:pPr>
              <w:widowControl w:val="0"/>
              <w:spacing w:line="240" w:lineRule="auto"/>
              <w:jc w:val="center"/>
              <w:rPr/>
            </w:pPr>
            <w:r w:rsidDel="00000000" w:rsidR="00000000" w:rsidRPr="00000000">
              <w:rPr>
                <w:rtl w:val="0"/>
              </w:rPr>
              <w:t xml:space="preserve">Disease burden</w:t>
            </w:r>
          </w:p>
          <w:p w:rsidR="00000000" w:rsidDel="00000000" w:rsidP="00000000" w:rsidRDefault="00000000" w:rsidRPr="00000000" w14:paraId="00000205">
            <w:pPr>
              <w:widowControl w:val="0"/>
              <w:spacing w:line="240" w:lineRule="auto"/>
              <w:jc w:val="center"/>
              <w:rPr/>
            </w:pPr>
            <w:r w:rsidDel="00000000" w:rsidR="00000000" w:rsidRPr="00000000">
              <w:rPr>
                <w:rtl w:val="0"/>
              </w:rPr>
              <w:t xml:space="preserve">(2040, thousands)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8">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spacing w:line="240" w:lineRule="auto"/>
              <w:jc w:val="center"/>
              <w:rPr/>
            </w:pPr>
            <w:r w:rsidDel="00000000" w:rsidR="00000000" w:rsidRPr="00000000">
              <w:rPr>
                <w:rtl w:val="0"/>
              </w:rPr>
              <w:t xml:space="preserve">Treat</w:t>
            </w:r>
          </w:p>
          <w:p w:rsidR="00000000" w:rsidDel="00000000" w:rsidP="00000000" w:rsidRDefault="00000000" w:rsidRPr="00000000" w14:paraId="0000020B">
            <w:pPr>
              <w:widowControl w:val="0"/>
              <w:spacing w:line="240" w:lineRule="auto"/>
              <w:jc w:val="center"/>
              <w:rPr/>
            </w:pPr>
            <w:r w:rsidDel="00000000" w:rsidR="00000000" w:rsidRPr="00000000">
              <w:rPr>
                <w:rtl w:val="0"/>
              </w:rPr>
              <w:t xml:space="preserve">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widowControl w:val="0"/>
              <w:spacing w:line="240" w:lineRule="auto"/>
              <w:jc w:val="center"/>
              <w:rPr/>
            </w:pPr>
            <w:r w:rsidDel="00000000" w:rsidR="00000000" w:rsidRPr="00000000">
              <w:rPr>
                <w:rtl w:val="0"/>
              </w:rPr>
              <w:t xml:space="preserve">Treat most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20D">
            <w:pPr>
              <w:widowControl w:val="0"/>
              <w:spacing w:line="240" w:lineRule="auto"/>
              <w:jc w:val="center"/>
              <w:rPr/>
            </w:pPr>
            <w:r w:rsidDel="00000000" w:rsidR="00000000" w:rsidRPr="00000000">
              <w:rPr>
                <w:rtl w:val="0"/>
              </w:rPr>
              <w:t xml:space="preserve">Treat half</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widowControl w:val="0"/>
              <w:spacing w:line="240" w:lineRule="auto"/>
              <w:jc w:val="center"/>
              <w:rPr/>
            </w:pPr>
            <w:r w:rsidDel="00000000" w:rsidR="00000000" w:rsidRPr="00000000">
              <w:rPr>
                <w:rtl w:val="0"/>
              </w:rPr>
              <w:t xml:space="preserve">Treat</w:t>
            </w:r>
          </w:p>
          <w:p w:rsidR="00000000" w:rsidDel="00000000" w:rsidP="00000000" w:rsidRDefault="00000000" w:rsidRPr="00000000" w14:paraId="0000020F">
            <w:pPr>
              <w:widowControl w:val="0"/>
              <w:spacing w:line="240" w:lineRule="auto"/>
              <w:jc w:val="center"/>
              <w:rPr/>
            </w:pPr>
            <w:r w:rsidDel="00000000" w:rsidR="00000000" w:rsidRPr="00000000">
              <w:rPr>
                <w:rtl w:val="0"/>
              </w:rPr>
              <w:t xml:space="preserve">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widowControl w:val="0"/>
              <w:spacing w:line="240" w:lineRule="auto"/>
              <w:jc w:val="center"/>
              <w:rPr/>
            </w:pPr>
            <w:r w:rsidDel="00000000" w:rsidR="00000000" w:rsidRPr="00000000">
              <w:rPr>
                <w:rtl w:val="0"/>
              </w:rPr>
              <w:t xml:space="preserve">Treat most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widowControl w:val="0"/>
              <w:spacing w:line="240" w:lineRule="auto"/>
              <w:jc w:val="center"/>
              <w:rPr/>
            </w:pPr>
            <w:r w:rsidDel="00000000" w:rsidR="00000000" w:rsidRPr="00000000">
              <w:rPr>
                <w:rtl w:val="0"/>
              </w:rPr>
              <w:t xml:space="preserve">Treat half</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widowControl w:val="0"/>
              <w:spacing w:line="240" w:lineRule="auto"/>
              <w:jc w:val="center"/>
              <w:rPr/>
            </w:pPr>
            <w:r w:rsidDel="00000000" w:rsidR="00000000" w:rsidRPr="00000000">
              <w:rPr>
                <w:rtl w:val="0"/>
              </w:rPr>
              <w:t xml:space="preserve">Treat</w:t>
            </w:r>
          </w:p>
          <w:p w:rsidR="00000000" w:rsidDel="00000000" w:rsidP="00000000" w:rsidRDefault="00000000" w:rsidRPr="00000000" w14:paraId="00000213">
            <w:pPr>
              <w:widowControl w:val="0"/>
              <w:spacing w:line="240" w:lineRule="auto"/>
              <w:jc w:val="center"/>
              <w:rPr/>
            </w:pPr>
            <w:r w:rsidDel="00000000" w:rsidR="00000000" w:rsidRPr="00000000">
              <w:rPr>
                <w:rtl w:val="0"/>
              </w:rPr>
              <w:t xml:space="preserve">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widowControl w:val="0"/>
              <w:spacing w:line="240" w:lineRule="auto"/>
              <w:jc w:val="center"/>
              <w:rPr/>
            </w:pPr>
            <w:r w:rsidDel="00000000" w:rsidR="00000000" w:rsidRPr="00000000">
              <w:rPr>
                <w:rtl w:val="0"/>
              </w:rPr>
              <w:t xml:space="preserve">Treat most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widowControl w:val="0"/>
              <w:spacing w:line="240" w:lineRule="auto"/>
              <w:jc w:val="center"/>
              <w:rPr/>
            </w:pPr>
            <w:r w:rsidDel="00000000" w:rsidR="00000000" w:rsidRPr="00000000">
              <w:rPr>
                <w:rtl w:val="0"/>
              </w:rPr>
              <w:t xml:space="preserve">Treat half</w:t>
            </w:r>
          </w:p>
        </w:tc>
      </w:tr>
      <w:tr>
        <w:trPr>
          <w:cantSplit w:val="0"/>
          <w:trHeight w:val="40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216">
            <w:pPr>
              <w:widowControl w:val="0"/>
              <w:spacing w:line="240" w:lineRule="auto"/>
              <w:jc w:val="left"/>
              <w:rPr/>
            </w:pPr>
            <w:r w:rsidDel="00000000" w:rsidR="00000000" w:rsidRPr="00000000">
              <w:rPr>
                <w:rtl w:val="0"/>
              </w:rPr>
              <w:t xml:space="preserve">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widowControl w:val="0"/>
              <w:spacing w:line="240" w:lineRule="auto"/>
              <w:jc w:val="left"/>
              <w:rPr/>
            </w:pPr>
            <w:r w:rsidDel="00000000" w:rsidR="00000000" w:rsidRPr="00000000">
              <w:rPr>
                <w:rtl w:val="0"/>
              </w:rPr>
              <w:t xml:space="preserve">SOC</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widowControl w:val="0"/>
              <w:spacing w:line="240" w:lineRule="auto"/>
              <w:jc w:val="right"/>
              <w:rPr/>
            </w:pPr>
            <w:r w:rsidDel="00000000" w:rsidR="00000000" w:rsidRPr="00000000">
              <w:rPr>
                <w:rtl w:val="0"/>
              </w:rPr>
              <w:t xml:space="preserve">3,457</w:t>
            </w:r>
          </w:p>
        </w:tc>
        <w:tc>
          <w:tcPr>
            <w:shd w:fill="auto" w:val="clear"/>
            <w:tcMar>
              <w:top w:w="100.0" w:type="dxa"/>
              <w:left w:w="100.0" w:type="dxa"/>
              <w:bottom w:w="100.0" w:type="dxa"/>
              <w:right w:w="100.0" w:type="dxa"/>
            </w:tcMar>
            <w:vAlign w:val="top"/>
          </w:tcPr>
          <w:p w:rsidR="00000000" w:rsidDel="00000000" w:rsidP="00000000" w:rsidRDefault="00000000" w:rsidRPr="00000000" w14:paraId="00000219">
            <w:pPr>
              <w:widowControl w:val="0"/>
              <w:spacing w:line="240" w:lineRule="auto"/>
              <w:jc w:val="right"/>
              <w:rPr/>
            </w:pPr>
            <w:r w:rsidDel="00000000" w:rsidR="00000000" w:rsidRPr="00000000">
              <w:rPr>
                <w:rtl w:val="0"/>
              </w:rPr>
              <w:t xml:space="preserve">2,480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widowControl w:val="0"/>
              <w:spacing w:line="240" w:lineRule="auto"/>
              <w:jc w:val="right"/>
              <w:rPr/>
            </w:pPr>
            <w:r w:rsidDel="00000000" w:rsidR="00000000" w:rsidRPr="00000000">
              <w:rPr>
                <w:rtl w:val="0"/>
              </w:rPr>
              <w:t xml:space="preserve">2,738</w:t>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widowControl w:val="0"/>
              <w:spacing w:line="240" w:lineRule="auto"/>
              <w:jc w:val="right"/>
              <w:rPr/>
            </w:pPr>
            <w:r w:rsidDel="00000000" w:rsidR="00000000" w:rsidRPr="00000000">
              <w:rPr>
                <w:rtl w:val="0"/>
              </w:rPr>
              <w:t xml:space="preserve">296</w:t>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widowControl w:val="0"/>
              <w:spacing w:line="240" w:lineRule="auto"/>
              <w:jc w:val="right"/>
              <w:rPr/>
            </w:pPr>
            <w:r w:rsidDel="00000000" w:rsidR="00000000" w:rsidRPr="00000000">
              <w:rPr>
                <w:rtl w:val="0"/>
              </w:rPr>
              <w:t xml:space="preserve">588</w:t>
            </w:r>
          </w:p>
        </w:tc>
        <w:tc>
          <w:tcPr>
            <w:shd w:fill="auto" w:val="clear"/>
            <w:tcMar>
              <w:top w:w="100.0" w:type="dxa"/>
              <w:left w:w="100.0" w:type="dxa"/>
              <w:bottom w:w="100.0" w:type="dxa"/>
              <w:right w:w="100.0" w:type="dxa"/>
            </w:tcMar>
            <w:vAlign w:val="top"/>
          </w:tcPr>
          <w:p w:rsidR="00000000" w:rsidDel="00000000" w:rsidP="00000000" w:rsidRDefault="00000000" w:rsidRPr="00000000" w14:paraId="0000021E">
            <w:pPr>
              <w:widowControl w:val="0"/>
              <w:spacing w:line="240" w:lineRule="auto"/>
              <w:jc w:val="right"/>
              <w:rPr/>
            </w:pPr>
            <w:r w:rsidDel="00000000" w:rsidR="00000000" w:rsidRPr="00000000">
              <w:rPr>
                <w:rtl w:val="0"/>
              </w:rPr>
              <w:t xml:space="preserve">223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widowControl w:val="0"/>
              <w:spacing w:line="240" w:lineRule="auto"/>
              <w:jc w:val="right"/>
              <w:rPr/>
            </w:pPr>
            <w:r w:rsidDel="00000000" w:rsidR="00000000" w:rsidRPr="00000000">
              <w:rPr>
                <w:rtl w:val="0"/>
              </w:rPr>
              <w:t xml:space="preserve">215</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widowControl w:val="0"/>
              <w:spacing w:line="240" w:lineRule="auto"/>
              <w:jc w:val="right"/>
              <w:rPr/>
            </w:pPr>
            <w:r w:rsidDel="00000000" w:rsidR="00000000" w:rsidRPr="00000000">
              <w:rPr>
                <w:rtl w:val="0"/>
              </w:rPr>
              <w:t xml:space="preserve">225</w:t>
            </w:r>
          </w:p>
        </w:tc>
      </w:tr>
      <w:tr>
        <w:trPr>
          <w:cantSplit w:val="0"/>
          <w:trHeight w:val="40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221">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widowControl w:val="0"/>
              <w:spacing w:line="240" w:lineRule="auto"/>
              <w:jc w:val="left"/>
              <w:rPr/>
            </w:pPr>
            <w:r w:rsidDel="00000000" w:rsidR="00000000" w:rsidRPr="00000000">
              <w:rPr>
                <w:rtl w:val="0"/>
              </w:rPr>
              <w:t xml:space="preserve">POC</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widowControl w:val="0"/>
              <w:spacing w:line="240" w:lineRule="auto"/>
              <w:jc w:val="right"/>
              <w:rPr/>
            </w:pPr>
            <w:r w:rsidDel="00000000" w:rsidR="00000000" w:rsidRPr="00000000">
              <w:rPr>
                <w:rtl w:val="0"/>
              </w:rPr>
              <w:t xml:space="preserve">195</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widowControl w:val="0"/>
              <w:spacing w:line="240" w:lineRule="auto"/>
              <w:jc w:val="right"/>
              <w:rPr/>
            </w:pPr>
            <w:r w:rsidDel="00000000" w:rsidR="00000000" w:rsidRPr="00000000">
              <w:rPr>
                <w:rtl w:val="0"/>
              </w:rPr>
              <w:t xml:space="preserve">262</w:t>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widowControl w:val="0"/>
              <w:spacing w:line="240" w:lineRule="auto"/>
              <w:jc w:val="right"/>
              <w:rPr/>
            </w:pPr>
            <w:r w:rsidDel="00000000" w:rsidR="00000000" w:rsidRPr="00000000">
              <w:rPr>
                <w:rtl w:val="0"/>
              </w:rPr>
              <w:t xml:space="preserve">381</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widowControl w:val="0"/>
              <w:spacing w:line="240" w:lineRule="auto"/>
              <w:jc w:val="right"/>
              <w:rPr/>
            </w:pPr>
            <w:r w:rsidDel="00000000" w:rsidR="00000000" w:rsidRPr="00000000">
              <w:rPr>
                <w:rtl w:val="0"/>
              </w:rPr>
              <w:t xml:space="preserve">222</w:t>
            </w:r>
          </w:p>
        </w:tc>
        <w:tc>
          <w:tcPr>
            <w:shd w:fill="auto" w:val="clear"/>
            <w:tcMar>
              <w:top w:w="100.0" w:type="dxa"/>
              <w:left w:w="100.0" w:type="dxa"/>
              <w:bottom w:w="100.0" w:type="dxa"/>
              <w:right w:w="100.0" w:type="dxa"/>
            </w:tcMar>
            <w:vAlign w:val="top"/>
          </w:tcPr>
          <w:p w:rsidR="00000000" w:rsidDel="00000000" w:rsidP="00000000" w:rsidRDefault="00000000" w:rsidRPr="00000000" w14:paraId="0000022A">
            <w:pPr>
              <w:widowControl w:val="0"/>
              <w:spacing w:line="240" w:lineRule="auto"/>
              <w:jc w:val="right"/>
              <w:rPr/>
            </w:pPr>
            <w:r w:rsidDel="00000000" w:rsidR="00000000" w:rsidRPr="00000000">
              <w:rPr>
                <w:rtl w:val="0"/>
              </w:rPr>
              <w:t xml:space="preserve">182</w:t>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spacing w:line="240" w:lineRule="auto"/>
              <w:jc w:val="right"/>
              <w:rPr/>
            </w:pPr>
            <w:r w:rsidDel="00000000" w:rsidR="00000000" w:rsidRPr="00000000">
              <w:rPr>
                <w:rtl w:val="0"/>
              </w:rPr>
              <w:t xml:space="preserve">170</w:t>
            </w:r>
          </w:p>
        </w:tc>
      </w:tr>
      <w:tr>
        <w:trPr>
          <w:cantSplit w:val="0"/>
          <w:trHeight w:val="40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22C">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widowControl w:val="0"/>
              <w:spacing w:line="240" w:lineRule="auto"/>
              <w:jc w:val="left"/>
              <w:rPr/>
            </w:pPr>
            <w:r w:rsidDel="00000000" w:rsidR="00000000" w:rsidRPr="00000000">
              <w:rPr>
                <w:rtl w:val="0"/>
              </w:rPr>
              <w:t xml:space="preserve">%Δ</w:t>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jc w:val="right"/>
              <w:rPr/>
            </w:pPr>
            <w:r w:rsidDel="00000000" w:rsidR="00000000" w:rsidRPr="00000000">
              <w:rPr>
                <w:rtl w:val="0"/>
              </w:rPr>
              <w:t xml:space="preserve">94%</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widowControl w:val="0"/>
              <w:spacing w:line="240" w:lineRule="auto"/>
              <w:jc w:val="right"/>
              <w:rPr/>
            </w:pPr>
            <w:r w:rsidDel="00000000" w:rsidR="00000000" w:rsidRPr="00000000">
              <w:rPr>
                <w:rtl w:val="0"/>
              </w:rPr>
              <w:t xml:space="preserve">89%</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jc w:val="right"/>
              <w:rPr/>
            </w:pPr>
            <w:r w:rsidDel="00000000" w:rsidR="00000000" w:rsidRPr="00000000">
              <w:rPr>
                <w:rtl w:val="0"/>
              </w:rPr>
              <w:t xml:space="preserve">86%</w:t>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jc w:val="righ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jc w:val="righ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jc w:val="righ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line="240" w:lineRule="auto"/>
              <w:jc w:val="right"/>
              <w:rPr/>
            </w:pPr>
            <w:r w:rsidDel="00000000" w:rsidR="00000000" w:rsidRPr="00000000">
              <w:rPr>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line="240" w:lineRule="auto"/>
              <w:jc w:val="right"/>
              <w:rPr/>
            </w:pPr>
            <w:r w:rsidDel="00000000" w:rsidR="00000000" w:rsidRPr="00000000">
              <w:rPr>
                <w:rtl w:val="0"/>
              </w:rPr>
              <w:t xml:space="preserve">24%</w:t>
            </w:r>
          </w:p>
        </w:tc>
      </w:tr>
      <w:tr>
        <w:trPr>
          <w:cantSplit w:val="0"/>
          <w:trHeight w:val="40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237">
            <w:pPr>
              <w:widowControl w:val="0"/>
              <w:spacing w:line="240" w:lineRule="auto"/>
              <w:jc w:val="left"/>
              <w:rPr/>
            </w:pPr>
            <w:r w:rsidDel="00000000" w:rsidR="00000000" w:rsidRPr="00000000">
              <w:rPr>
                <w:rtl w:val="0"/>
              </w:rPr>
              <w:t xml:space="preserv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widowControl w:val="0"/>
              <w:spacing w:line="240" w:lineRule="auto"/>
              <w:jc w:val="left"/>
              <w:rPr/>
            </w:pPr>
            <w:r w:rsidDel="00000000" w:rsidR="00000000" w:rsidRPr="00000000">
              <w:rPr>
                <w:rtl w:val="0"/>
              </w:rPr>
              <w:t xml:space="preserve">SOC</w:t>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widowControl w:val="0"/>
              <w:spacing w:line="240" w:lineRule="auto"/>
              <w:jc w:val="right"/>
              <w:rPr/>
            </w:pPr>
            <w:r w:rsidDel="00000000" w:rsidR="00000000" w:rsidRPr="00000000">
              <w:rPr>
                <w:rtl w:val="0"/>
              </w:rPr>
              <w:t xml:space="preserve">2,311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240" w:lineRule="auto"/>
              <w:jc w:val="right"/>
              <w:rPr/>
            </w:pPr>
            <w:r w:rsidDel="00000000" w:rsidR="00000000" w:rsidRPr="00000000">
              <w:rPr>
                <w:rtl w:val="0"/>
              </w:rPr>
              <w:t xml:space="preserve">1,497</w:t>
            </w:r>
          </w:p>
        </w:tc>
        <w:tc>
          <w:tcPr>
            <w:shd w:fill="auto" w:val="clear"/>
            <w:tcMar>
              <w:top w:w="100.0" w:type="dxa"/>
              <w:left w:w="100.0" w:type="dxa"/>
              <w:bottom w:w="100.0" w:type="dxa"/>
              <w:right w:w="100.0" w:type="dxa"/>
            </w:tcMar>
            <w:vAlign w:val="top"/>
          </w:tcPr>
          <w:p w:rsidR="00000000" w:rsidDel="00000000" w:rsidP="00000000" w:rsidRDefault="00000000" w:rsidRPr="00000000" w14:paraId="0000023B">
            <w:pPr>
              <w:widowControl w:val="0"/>
              <w:spacing w:line="240" w:lineRule="auto"/>
              <w:jc w:val="right"/>
              <w:rPr/>
            </w:pPr>
            <w:r w:rsidDel="00000000" w:rsidR="00000000" w:rsidRPr="00000000">
              <w:rPr>
                <w:rtl w:val="0"/>
              </w:rPr>
              <w:t xml:space="preserve">1,892</w:t>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D">
            <w:pPr>
              <w:widowControl w:val="0"/>
              <w:spacing w:line="240" w:lineRule="auto"/>
              <w:jc w:val="right"/>
              <w:rPr/>
            </w:pPr>
            <w:r w:rsidDel="00000000" w:rsidR="00000000" w:rsidRPr="00000000">
              <w:rPr>
                <w:rtl w:val="0"/>
              </w:rPr>
              <w:t xml:space="preserve">903</w:t>
            </w:r>
          </w:p>
        </w:tc>
        <w:tc>
          <w:tcPr>
            <w:shd w:fill="auto" w:val="clear"/>
            <w:tcMar>
              <w:top w:w="100.0" w:type="dxa"/>
              <w:left w:w="100.0" w:type="dxa"/>
              <w:bottom w:w="100.0" w:type="dxa"/>
              <w:right w:w="100.0" w:type="dxa"/>
            </w:tcMar>
            <w:vAlign w:val="top"/>
          </w:tcPr>
          <w:p w:rsidR="00000000" w:rsidDel="00000000" w:rsidP="00000000" w:rsidRDefault="00000000" w:rsidRPr="00000000" w14:paraId="0000023E">
            <w:pPr>
              <w:widowControl w:val="0"/>
              <w:spacing w:line="240" w:lineRule="auto"/>
              <w:jc w:val="right"/>
              <w:rPr/>
            </w:pPr>
            <w:r w:rsidDel="00000000" w:rsidR="00000000" w:rsidRPr="00000000">
              <w:rPr>
                <w:rtl w:val="0"/>
              </w:rPr>
              <w:t xml:space="preserve">1,444</w:t>
            </w:r>
          </w:p>
        </w:tc>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jc w:val="right"/>
              <w:rPr/>
            </w:pPr>
            <w:r w:rsidDel="00000000" w:rsidR="00000000" w:rsidRPr="00000000">
              <w:rPr>
                <w:rtl w:val="0"/>
              </w:rPr>
              <w:t xml:space="preserve">757</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jc w:val="right"/>
              <w:rPr/>
            </w:pPr>
            <w:r w:rsidDel="00000000" w:rsidR="00000000" w:rsidRPr="00000000">
              <w:rPr>
                <w:rtl w:val="0"/>
              </w:rPr>
              <w:t xml:space="preserve">764</w:t>
            </w:r>
          </w:p>
        </w:tc>
        <w:tc>
          <w:tcPr>
            <w:shd w:fill="auto" w:val="clear"/>
            <w:tcMar>
              <w:top w:w="100.0" w:type="dxa"/>
              <w:left w:w="100.0" w:type="dxa"/>
              <w:bottom w:w="100.0" w:type="dxa"/>
              <w:right w:w="100.0" w:type="dxa"/>
            </w:tcMar>
            <w:vAlign w:val="top"/>
          </w:tcPr>
          <w:p w:rsidR="00000000" w:rsidDel="00000000" w:rsidP="00000000" w:rsidRDefault="00000000" w:rsidRPr="00000000" w14:paraId="00000241">
            <w:pPr>
              <w:widowControl w:val="0"/>
              <w:spacing w:line="240" w:lineRule="auto"/>
              <w:jc w:val="right"/>
              <w:rPr/>
            </w:pPr>
            <w:r w:rsidDel="00000000" w:rsidR="00000000" w:rsidRPr="00000000">
              <w:rPr>
                <w:rtl w:val="0"/>
              </w:rPr>
              <w:t xml:space="preserve">752</w:t>
            </w:r>
          </w:p>
        </w:tc>
      </w:tr>
      <w:tr>
        <w:trPr>
          <w:cantSplit w:val="0"/>
          <w:trHeight w:val="40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242">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line="240" w:lineRule="auto"/>
              <w:jc w:val="left"/>
              <w:rPr/>
            </w:pPr>
            <w:r w:rsidDel="00000000" w:rsidR="00000000" w:rsidRPr="00000000">
              <w:rPr>
                <w:rtl w:val="0"/>
              </w:rPr>
              <w:t xml:space="preserve">POC</w:t>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widowControl w:val="0"/>
              <w:spacing w:line="240" w:lineRule="auto"/>
              <w:jc w:val="right"/>
              <w:rPr/>
            </w:pPr>
            <w:r w:rsidDel="00000000" w:rsidR="00000000" w:rsidRPr="00000000">
              <w:rPr>
                <w:rtl w:val="0"/>
              </w:rPr>
              <w:t xml:space="preserve">124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spacing w:line="240" w:lineRule="auto"/>
              <w:jc w:val="right"/>
              <w:rPr/>
            </w:pPr>
            <w:r w:rsidDel="00000000" w:rsidR="00000000" w:rsidRPr="00000000">
              <w:rPr>
                <w:rtl w:val="0"/>
              </w:rPr>
              <w:t xml:space="preserve">155</w:t>
            </w:r>
          </w:p>
        </w:tc>
        <w:tc>
          <w:tcPr>
            <w:shd w:fill="auto" w:val="clear"/>
            <w:tcMar>
              <w:top w:w="100.0" w:type="dxa"/>
              <w:left w:w="100.0" w:type="dxa"/>
              <w:bottom w:w="100.0" w:type="dxa"/>
              <w:right w:w="100.0" w:type="dxa"/>
            </w:tcMar>
            <w:vAlign w:val="top"/>
          </w:tcPr>
          <w:p w:rsidR="00000000" w:rsidDel="00000000" w:rsidP="00000000" w:rsidRDefault="00000000" w:rsidRPr="00000000" w14:paraId="00000246">
            <w:pPr>
              <w:widowControl w:val="0"/>
              <w:spacing w:line="240" w:lineRule="auto"/>
              <w:jc w:val="right"/>
              <w:rPr/>
            </w:pPr>
            <w:r w:rsidDel="00000000" w:rsidR="00000000" w:rsidRPr="00000000">
              <w:rPr>
                <w:rtl w:val="0"/>
              </w:rPr>
              <w:t xml:space="preserve">233</w:t>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line="240" w:lineRule="auto"/>
              <w:jc w:val="right"/>
              <w:rPr/>
            </w:pPr>
            <w:r w:rsidDel="00000000" w:rsidR="00000000" w:rsidRPr="00000000">
              <w:rPr>
                <w:rtl w:val="0"/>
              </w:rPr>
              <w:t xml:space="preserve">758</w:t>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jc w:val="right"/>
              <w:rPr/>
            </w:pPr>
            <w:r w:rsidDel="00000000" w:rsidR="00000000" w:rsidRPr="00000000">
              <w:rPr>
                <w:rtl w:val="0"/>
              </w:rPr>
              <w:t xml:space="preserve">725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widowControl w:val="0"/>
              <w:spacing w:line="240" w:lineRule="auto"/>
              <w:jc w:val="right"/>
              <w:rPr/>
            </w:pPr>
            <w:r w:rsidDel="00000000" w:rsidR="00000000" w:rsidRPr="00000000">
              <w:rPr>
                <w:rtl w:val="0"/>
              </w:rPr>
              <w:t xml:space="preserve">689</w:t>
            </w:r>
          </w:p>
        </w:tc>
      </w:tr>
      <w:tr>
        <w:trPr>
          <w:cantSplit w:val="0"/>
          <w:trHeight w:val="40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24D">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E">
            <w:pPr>
              <w:widowControl w:val="0"/>
              <w:spacing w:line="240" w:lineRule="auto"/>
              <w:jc w:val="left"/>
              <w:rPr/>
            </w:pPr>
            <w:r w:rsidDel="00000000" w:rsidR="00000000" w:rsidRPr="00000000">
              <w:rPr>
                <w:rtl w:val="0"/>
              </w:rPr>
              <w:t xml:space="preserve">%Δ</w:t>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spacing w:line="240" w:lineRule="auto"/>
              <w:jc w:val="right"/>
              <w:rPr/>
            </w:pPr>
            <w:r w:rsidDel="00000000" w:rsidR="00000000" w:rsidRPr="00000000">
              <w:rPr>
                <w:rtl w:val="0"/>
              </w:rPr>
              <w:t xml:space="preserve">95%</w:t>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widowControl w:val="0"/>
              <w:spacing w:line="240" w:lineRule="auto"/>
              <w:jc w:val="right"/>
              <w:rPr/>
            </w:pPr>
            <w:r w:rsidDel="00000000" w:rsidR="00000000" w:rsidRPr="00000000">
              <w:rPr>
                <w:rtl w:val="0"/>
              </w:rPr>
              <w:t xml:space="preserve">90%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jc w:val="right"/>
              <w:rPr/>
            </w:pPr>
            <w:r w:rsidDel="00000000" w:rsidR="00000000" w:rsidRPr="00000000">
              <w:rPr>
                <w:rtl w:val="0"/>
              </w:rPr>
              <w:t xml:space="preserve">88%</w:t>
            </w:r>
          </w:p>
        </w:tc>
        <w:tc>
          <w:tcPr>
            <w:shd w:fill="auto" w:val="clear"/>
            <w:tcMar>
              <w:top w:w="100.0" w:type="dxa"/>
              <w:left w:w="100.0" w:type="dxa"/>
              <w:bottom w:w="100.0" w:type="dxa"/>
              <w:right w:w="100.0" w:type="dxa"/>
            </w:tcMar>
            <w:vAlign w:val="top"/>
          </w:tcPr>
          <w:p w:rsidR="00000000" w:rsidDel="00000000" w:rsidP="00000000" w:rsidRDefault="00000000" w:rsidRPr="00000000" w14:paraId="00000252">
            <w:pPr>
              <w:widowControl w:val="0"/>
              <w:spacing w:line="240" w:lineRule="auto"/>
              <w:jc w:val="righ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widowControl w:val="0"/>
              <w:spacing w:line="240" w:lineRule="auto"/>
              <w:jc w:val="righ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4">
            <w:pPr>
              <w:widowControl w:val="0"/>
              <w:spacing w:line="240" w:lineRule="auto"/>
              <w:jc w:val="righ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6">
            <w:pPr>
              <w:widowControl w:val="0"/>
              <w:spacing w:line="240" w:lineRule="auto"/>
              <w:jc w:val="righ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line="240" w:lineRule="auto"/>
              <w:jc w:val="right"/>
              <w:rPr/>
            </w:pPr>
            <w:r w:rsidDel="00000000" w:rsidR="00000000" w:rsidRPr="00000000">
              <w:rPr>
                <w:rtl w:val="0"/>
              </w:rPr>
              <w:t xml:space="preserve">8%</w:t>
            </w:r>
          </w:p>
        </w:tc>
      </w:tr>
      <w:tr>
        <w:trPr>
          <w:cantSplit w:val="0"/>
          <w:trHeight w:val="40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258">
            <w:pPr>
              <w:widowControl w:val="0"/>
              <w:spacing w:line="240" w:lineRule="auto"/>
              <w:jc w:val="left"/>
              <w:rPr/>
            </w:pPr>
            <w:r w:rsidDel="00000000" w:rsidR="00000000" w:rsidRPr="00000000">
              <w:rPr>
                <w:rtl w:val="0"/>
              </w:rPr>
              <w:t xml:space="preserve">TV</w:t>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widowControl w:val="0"/>
              <w:spacing w:line="240" w:lineRule="auto"/>
              <w:jc w:val="left"/>
              <w:rPr/>
            </w:pPr>
            <w:r w:rsidDel="00000000" w:rsidR="00000000" w:rsidRPr="00000000">
              <w:rPr>
                <w:rtl w:val="0"/>
              </w:rPr>
              <w:t xml:space="preserve">SOC</w:t>
            </w:r>
          </w:p>
        </w:tc>
        <w:tc>
          <w:tcPr>
            <w:shd w:fill="auto" w:val="clear"/>
            <w:tcMar>
              <w:top w:w="100.0" w:type="dxa"/>
              <w:left w:w="100.0" w:type="dxa"/>
              <w:bottom w:w="100.0" w:type="dxa"/>
              <w:right w:w="100.0" w:type="dxa"/>
            </w:tcMar>
            <w:vAlign w:val="top"/>
          </w:tcPr>
          <w:p w:rsidR="00000000" w:rsidDel="00000000" w:rsidP="00000000" w:rsidRDefault="00000000" w:rsidRPr="00000000" w14:paraId="0000025A">
            <w:pPr>
              <w:widowControl w:val="0"/>
              <w:spacing w:line="240" w:lineRule="auto"/>
              <w:jc w:val="right"/>
              <w:rPr/>
            </w:pPr>
            <w:r w:rsidDel="00000000" w:rsidR="00000000" w:rsidRPr="00000000">
              <w:rPr>
                <w:rtl w:val="0"/>
              </w:rPr>
              <w:t xml:space="preserve">2,135</w:t>
            </w:r>
          </w:p>
        </w:tc>
        <w:tc>
          <w:tcPr>
            <w:shd w:fill="auto" w:val="clear"/>
            <w:tcMar>
              <w:top w:w="100.0" w:type="dxa"/>
              <w:left w:w="100.0" w:type="dxa"/>
              <w:bottom w:w="100.0" w:type="dxa"/>
              <w:right w:w="100.0" w:type="dxa"/>
            </w:tcMar>
            <w:vAlign w:val="top"/>
          </w:tcPr>
          <w:p w:rsidR="00000000" w:rsidDel="00000000" w:rsidP="00000000" w:rsidRDefault="00000000" w:rsidRPr="00000000" w14:paraId="0000025B">
            <w:pPr>
              <w:widowControl w:val="0"/>
              <w:spacing w:line="240" w:lineRule="auto"/>
              <w:jc w:val="right"/>
              <w:rPr/>
            </w:pPr>
            <w:r w:rsidDel="00000000" w:rsidR="00000000" w:rsidRPr="00000000">
              <w:rPr>
                <w:rtl w:val="0"/>
              </w:rPr>
              <w:t xml:space="preserve">1,871</w:t>
            </w:r>
          </w:p>
        </w:tc>
        <w:tc>
          <w:tcPr>
            <w:shd w:fill="auto" w:val="clear"/>
            <w:tcMar>
              <w:top w:w="100.0" w:type="dxa"/>
              <w:left w:w="100.0" w:type="dxa"/>
              <w:bottom w:w="100.0" w:type="dxa"/>
              <w:right w:w="100.0" w:type="dxa"/>
            </w:tcMar>
            <w:vAlign w:val="top"/>
          </w:tcPr>
          <w:p w:rsidR="00000000" w:rsidDel="00000000" w:rsidP="00000000" w:rsidRDefault="00000000" w:rsidRPr="00000000" w14:paraId="0000025C">
            <w:pPr>
              <w:widowControl w:val="0"/>
              <w:spacing w:line="240" w:lineRule="auto"/>
              <w:jc w:val="right"/>
              <w:rPr/>
            </w:pPr>
            <w:r w:rsidDel="00000000" w:rsidR="00000000" w:rsidRPr="00000000">
              <w:rPr>
                <w:rtl w:val="0"/>
              </w:rPr>
              <w:t xml:space="preserve">1,700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line="240" w:lineRule="auto"/>
              <w:jc w:val="right"/>
              <w:rPr/>
            </w:pPr>
            <w:r w:rsidDel="00000000" w:rsidR="00000000" w:rsidRPr="00000000">
              <w:rPr>
                <w:rtl w:val="0"/>
              </w:rPr>
              <w:t xml:space="preserve">878</w:t>
            </w:r>
          </w:p>
        </w:tc>
        <w:tc>
          <w:tcPr>
            <w:shd w:fill="auto" w:val="clear"/>
            <w:tcMar>
              <w:top w:w="100.0" w:type="dxa"/>
              <w:left w:w="100.0" w:type="dxa"/>
              <w:bottom w:w="100.0" w:type="dxa"/>
              <w:right w:w="100.0" w:type="dxa"/>
            </w:tcMar>
            <w:vAlign w:val="top"/>
          </w:tcPr>
          <w:p w:rsidR="00000000" w:rsidDel="00000000" w:rsidP="00000000" w:rsidRDefault="00000000" w:rsidRPr="00000000" w14:paraId="0000025F">
            <w:pPr>
              <w:widowControl w:val="0"/>
              <w:spacing w:line="240" w:lineRule="auto"/>
              <w:jc w:val="right"/>
              <w:rPr/>
            </w:pPr>
            <w:r w:rsidDel="00000000" w:rsidR="00000000" w:rsidRPr="00000000">
              <w:rPr>
                <w:rtl w:val="0"/>
              </w:rPr>
              <w:t xml:space="preserve">1,613</w:t>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widowControl w:val="0"/>
              <w:spacing w:line="240" w:lineRule="auto"/>
              <w:jc w:val="right"/>
              <w:rPr/>
            </w:pPr>
            <w:r w:rsidDel="00000000" w:rsidR="00000000" w:rsidRPr="00000000">
              <w:rPr>
                <w:rtl w:val="0"/>
              </w:rPr>
              <w:t xml:space="preserve">1,392</w:t>
            </w:r>
          </w:p>
        </w:tc>
        <w:tc>
          <w:tcPr>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line="240" w:lineRule="auto"/>
              <w:jc w:val="right"/>
              <w:rPr/>
            </w:pPr>
            <w:r w:rsidDel="00000000" w:rsidR="00000000" w:rsidRPr="00000000">
              <w:rPr>
                <w:rtl w:val="0"/>
              </w:rPr>
              <w:t xml:space="preserve">1,314</w:t>
            </w:r>
          </w:p>
        </w:tc>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240" w:lineRule="auto"/>
              <w:jc w:val="right"/>
              <w:rPr/>
            </w:pPr>
            <w:r w:rsidDel="00000000" w:rsidR="00000000" w:rsidRPr="00000000">
              <w:rPr>
                <w:rtl w:val="0"/>
              </w:rPr>
              <w:t xml:space="preserve">1,409</w:t>
            </w:r>
          </w:p>
        </w:tc>
      </w:tr>
      <w:tr>
        <w:trPr>
          <w:cantSplit w:val="0"/>
          <w:trHeight w:val="40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263">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line="240" w:lineRule="auto"/>
              <w:jc w:val="left"/>
              <w:rPr/>
            </w:pPr>
            <w:r w:rsidDel="00000000" w:rsidR="00000000" w:rsidRPr="00000000">
              <w:rPr>
                <w:rtl w:val="0"/>
              </w:rPr>
              <w:t xml:space="preserve">POC</w:t>
            </w:r>
          </w:p>
        </w:tc>
        <w:tc>
          <w:tcPr>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line="240" w:lineRule="auto"/>
              <w:jc w:val="right"/>
              <w:rPr/>
            </w:pPr>
            <w:r w:rsidDel="00000000" w:rsidR="00000000" w:rsidRPr="00000000">
              <w:rPr>
                <w:rtl w:val="0"/>
              </w:rPr>
              <w:t xml:space="preserve">1,728</w:t>
            </w:r>
          </w:p>
        </w:tc>
        <w:tc>
          <w:tcPr>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line="240" w:lineRule="auto"/>
              <w:jc w:val="right"/>
              <w:rPr/>
            </w:pPr>
            <w:r w:rsidDel="00000000" w:rsidR="00000000" w:rsidRPr="00000000">
              <w:rPr>
                <w:rtl w:val="0"/>
              </w:rPr>
              <w:t xml:space="preserve">1,812</w:t>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line="240" w:lineRule="auto"/>
              <w:jc w:val="right"/>
              <w:rPr/>
            </w:pPr>
            <w:r w:rsidDel="00000000" w:rsidR="00000000" w:rsidRPr="00000000">
              <w:rPr>
                <w:rtl w:val="0"/>
              </w:rPr>
              <w:t xml:space="preserve">1,713</w:t>
            </w:r>
          </w:p>
        </w:tc>
        <w:tc>
          <w:tcPr>
            <w:shd w:fill="auto" w:val="clear"/>
            <w:tcMar>
              <w:top w:w="100.0" w:type="dxa"/>
              <w:left w:w="100.0" w:type="dxa"/>
              <w:bottom w:w="100.0" w:type="dxa"/>
              <w:right w:w="100.0" w:type="dxa"/>
            </w:tcMar>
            <w:vAlign w:val="top"/>
          </w:tcPr>
          <w:p w:rsidR="00000000" w:rsidDel="00000000" w:rsidP="00000000" w:rsidRDefault="00000000" w:rsidRPr="00000000" w14:paraId="00000268">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widowControl w:val="0"/>
              <w:spacing w:line="240" w:lineRule="auto"/>
              <w:jc w:val="right"/>
              <w:rPr/>
            </w:pPr>
            <w:r w:rsidDel="00000000" w:rsidR="00000000" w:rsidRPr="00000000">
              <w:rPr>
                <w:rtl w:val="0"/>
              </w:rPr>
              <w:t xml:space="preserve">1,393</w:t>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widowControl w:val="0"/>
              <w:spacing w:line="240" w:lineRule="auto"/>
              <w:jc w:val="right"/>
              <w:rPr/>
            </w:pPr>
            <w:r w:rsidDel="00000000" w:rsidR="00000000" w:rsidRPr="00000000">
              <w:rPr>
                <w:rtl w:val="0"/>
              </w:rPr>
              <w:t xml:space="preserve">1,257</w:t>
            </w:r>
          </w:p>
        </w:tc>
        <w:tc>
          <w:tcPr>
            <w:shd w:fill="auto" w:val="clear"/>
            <w:tcMar>
              <w:top w:w="100.0" w:type="dxa"/>
              <w:left w:w="100.0" w:type="dxa"/>
              <w:bottom w:w="100.0" w:type="dxa"/>
              <w:right w:w="100.0" w:type="dxa"/>
            </w:tcMar>
            <w:vAlign w:val="top"/>
          </w:tcPr>
          <w:p w:rsidR="00000000" w:rsidDel="00000000" w:rsidP="00000000" w:rsidRDefault="00000000" w:rsidRPr="00000000" w14:paraId="0000026D">
            <w:pPr>
              <w:widowControl w:val="0"/>
              <w:spacing w:line="240" w:lineRule="auto"/>
              <w:jc w:val="right"/>
              <w:rPr/>
            </w:pPr>
            <w:r w:rsidDel="00000000" w:rsidR="00000000" w:rsidRPr="00000000">
              <w:rPr>
                <w:rtl w:val="0"/>
              </w:rPr>
              <w:t xml:space="preserve">1,309</w:t>
            </w:r>
          </w:p>
        </w:tc>
      </w:tr>
      <w:tr>
        <w:trPr>
          <w:cantSplit w:val="0"/>
          <w:trHeight w:val="40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26E">
            <w:pPr>
              <w:widowControl w:val="0"/>
              <w:spacing w:line="240" w:lineRule="auto"/>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F">
            <w:pPr>
              <w:widowControl w:val="0"/>
              <w:spacing w:line="240" w:lineRule="auto"/>
              <w:jc w:val="left"/>
              <w:rPr/>
            </w:pPr>
            <w:r w:rsidDel="00000000" w:rsidR="00000000" w:rsidRPr="00000000">
              <w:rPr>
                <w:rtl w:val="0"/>
              </w:rPr>
              <w:t xml:space="preserve">%Δ</w:t>
            </w:r>
          </w:p>
        </w:tc>
        <w:tc>
          <w:tcPr>
            <w:shd w:fill="auto" w:val="clear"/>
            <w:tcMar>
              <w:top w:w="100.0" w:type="dxa"/>
              <w:left w:w="100.0" w:type="dxa"/>
              <w:bottom w:w="100.0" w:type="dxa"/>
              <w:right w:w="100.0" w:type="dxa"/>
            </w:tcMar>
            <w:vAlign w:val="top"/>
          </w:tcPr>
          <w:p w:rsidR="00000000" w:rsidDel="00000000" w:rsidP="00000000" w:rsidRDefault="00000000" w:rsidRPr="00000000" w14:paraId="00000270">
            <w:pPr>
              <w:widowControl w:val="0"/>
              <w:spacing w:line="240" w:lineRule="auto"/>
              <w:jc w:val="right"/>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271">
            <w:pPr>
              <w:widowControl w:val="0"/>
              <w:spacing w:line="240" w:lineRule="auto"/>
              <w:jc w:val="righ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73">
            <w:pPr>
              <w:widowControl w:val="0"/>
              <w:spacing w:line="240" w:lineRule="auto"/>
              <w:jc w:val="righ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4">
            <w:pPr>
              <w:widowControl w:val="0"/>
              <w:spacing w:line="240" w:lineRule="auto"/>
              <w:jc w:val="righ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line="240" w:lineRule="auto"/>
              <w:jc w:val="righ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276">
            <w:pPr>
              <w:widowControl w:val="0"/>
              <w:spacing w:line="240" w:lineRule="auto"/>
              <w:jc w:val="righ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widowControl w:val="0"/>
              <w:spacing w:line="240" w:lineRule="auto"/>
              <w:jc w:val="righ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278">
            <w:pPr>
              <w:widowControl w:val="0"/>
              <w:spacing w:line="240" w:lineRule="auto"/>
              <w:jc w:val="right"/>
              <w:rPr/>
            </w:pPr>
            <w:r w:rsidDel="00000000" w:rsidR="00000000" w:rsidRPr="00000000">
              <w:rPr>
                <w:rtl w:val="0"/>
              </w:rPr>
              <w:t xml:space="preserve">7%</w:t>
            </w:r>
          </w:p>
        </w:tc>
      </w:tr>
    </w:tbl>
    <w:p w:rsidR="00000000" w:rsidDel="00000000" w:rsidP="00000000" w:rsidRDefault="00000000" w:rsidRPr="00000000" w14:paraId="00000279">
      <w:pPr>
        <w:rPr/>
      </w:pPr>
      <w:r w:rsidDel="00000000" w:rsidR="00000000" w:rsidRPr="00000000">
        <w:rPr>
          <w:i w:val="1"/>
          <w:rtl w:val="0"/>
        </w:rPr>
        <w:t xml:space="preserve">Table S12: Summary of impact of a POC diagnostic on overtreatment, undertreatment, and disease burden. SOC=standard of care; POC=point-of-care diagnostic available from 2027; %Δ=estimated percentage difference between the SOC and POC scenarios.</w:t>
      </w:r>
      <w:r w:rsidDel="00000000" w:rsidR="00000000" w:rsidRPr="00000000">
        <w:rPr>
          <w:rtl w:val="0"/>
        </w:rPr>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pStyle w:val="Heading1"/>
        <w:rPr>
          <w:rFonts w:ascii="Avenir" w:cs="Avenir" w:eastAsia="Avenir" w:hAnsi="Avenir"/>
        </w:rPr>
      </w:pPr>
      <w:bookmarkStart w:colFirst="0" w:colLast="0" w:name="_fyu4ukefctxp" w:id="27"/>
      <w:bookmarkEnd w:id="27"/>
      <w:r w:rsidDel="00000000" w:rsidR="00000000" w:rsidRPr="00000000">
        <w:rPr>
          <w:rFonts w:ascii="Avenir" w:cs="Avenir" w:eastAsia="Avenir" w:hAnsi="Avenir"/>
          <w:rtl w:val="0"/>
        </w:rPr>
        <w:t xml:space="preserve">References</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w:t>
        <w:tab/>
        <w:t xml:space="preserve">Padeniya TN, Hui BB, Wood JG, Regan DG, Seib KL. Review of mathematical models of Neisseria gonorrhoeae vaccine impact: Implications for vaccine development. Vaccine. 2024 Jul 25;42(19S1):S70–81.</w:t>
      </w:r>
      <w:r w:rsidDel="00000000" w:rsidR="00000000" w:rsidRPr="00000000">
        <w:rPr>
          <w:rtl w:val="0"/>
        </w:rPr>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w:t>
        <w:tab/>
        <w:t xml:space="preserve">Farley TA, Cohen DA, Elkins W. Asymptomatic sexually transmitted diseases: the case for screening. Preventive Medicine. 2003 Apr 1;36(4):502–9.</w:t>
      </w:r>
      <w:r w:rsidDel="00000000" w:rsidR="00000000" w:rsidRPr="00000000">
        <w:rPr>
          <w:rtl w:val="0"/>
        </w:rPr>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w:t>
        <w:tab/>
        <w:t xml:space="preserve">Korenromp EL, Sudaryo MK, de Vlas SJ, Gray RH, Sewankambo NK, Serwadda D, et al. What proportion of episodes of gonorrhoea and chlamydia becomes symptomatic? Int J STD AIDS. 2002 Feb 1;13(2):91–101.</w:t>
      </w:r>
      <w:r w:rsidDel="00000000" w:rsidR="00000000" w:rsidRPr="00000000">
        <w:rPr>
          <w:rtl w:val="0"/>
        </w:rPr>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w:t>
        <w:tab/>
        <w:t xml:space="preserve">Newman L, Rowley J, Vander Hoorn S, Wijesooriya NS, Unemo M, Low N, et al. Global Estimates of the Prevalence and Incidence of Four Curable Sexually Transmitted Infections in 2012 Based on Systematic Review and Global Reporting. PLoS One. 2015;10(12):e0143304.</w:t>
      </w:r>
      <w:r w:rsidDel="00000000" w:rsidR="00000000" w:rsidRPr="00000000">
        <w:rPr>
          <w:rtl w:val="0"/>
        </w:rPr>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w:t>
        <w:tab/>
        <w:t xml:space="preserve">Price MJ, Ades AE, Soldan K, Welton NJ, Macleod J, Simms I, et al. The natural history of Chlamydia trachomatis infection in women: a multi-parameter evidence synthesis. Health Technol Assess. 2016 Mar;20(22):1–250.</w:t>
      </w:r>
      <w:r w:rsidDel="00000000" w:rsidR="00000000" w:rsidRPr="00000000">
        <w:rPr>
          <w:rtl w:val="0"/>
        </w:rPr>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6.</w:t>
        <w:tab/>
        <w:t xml:space="preserve">Kaul R, Kimani J, Nagelkerke NJ, Fonck K, Ngugi EN, Keli F, et al. Monthly Antibiotic Chemoprophylaxis and Incidence of Sexually Transmitted Infections and HIV-1 Infection in Kenyan Sex WorkersA Randomized Controlled Trial. JAMA. 2004 Jun 2;291(21):2555–62.</w:t>
      </w:r>
      <w:r w:rsidDel="00000000" w:rsidR="00000000" w:rsidRPr="00000000">
        <w:rPr>
          <w:rtl w:val="0"/>
        </w:rPr>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7.</w:t>
        <w:tab/>
        <w:t xml:space="preserve">The Global Library of Women’s Medicine [Internet]. [cited 2024 Aug 9]. Trichomoniasis | Article | GLOWM. Available from: http://www.glowm.com/article/heading/vol-12--infections-in-gynecology--trichomoniasis/id/419923</w:t>
      </w:r>
      <w:r w:rsidDel="00000000" w:rsidR="00000000" w:rsidRPr="00000000">
        <w:rPr>
          <w:rtl w:val="0"/>
        </w:rPr>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8.</w:t>
        <w:tab/>
        <w:t xml:space="preserve">Petrin D, Delgaty K, Bhatt R, Garber G. Clinical and microbiological aspects of Trichomonas vaginalis. Clin Microbiol Rev. 1998 Apr;11(2):300–17.</w:t>
      </w:r>
      <w:r w:rsidDel="00000000" w:rsidR="00000000" w:rsidRPr="00000000">
        <w:rPr>
          <w:rtl w:val="0"/>
        </w:rPr>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9.</w:t>
        <w:tab/>
        <w:t xml:space="preserve">Bowden F, Garnett G. Trichomonas vaginalis epidemiology: parameterising and analysing a model of treatment interventions. Sex Transm Infect. 2000 Aug;76(4):248–56.</w:t>
      </w:r>
      <w:r w:rsidDel="00000000" w:rsidR="00000000" w:rsidRPr="00000000">
        <w:rPr>
          <w:rtl w:val="0"/>
        </w:rPr>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10.</w:t>
        <w:tab/>
        <w:t xml:space="preserve">Martín-Sánchez M, Fairley CK, Ong JJ, Maddaford K, Chen MY, Williamson DA, et al. Clinical presentation of asymptomatic and symptomatic women who tested positive for genital gonorrhoea at a sexual health service in Melbourne, Australia. Epidemiology &amp; Infection. 2020 Jan;148:e240.</w:t>
      </w:r>
      <w:r w:rsidDel="00000000" w:rsidR="00000000" w:rsidRPr="00000000">
        <w:rPr>
          <w:rtl w:val="0"/>
        </w:rPr>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11.</w:t>
        <w:tab/>
        <w:t xml:space="preserve">Van Ommen CE, Malleson S, Grennan T. A practical approach to the diagnosis and management of chlamydia and gonorrhea. CMAJ. 2023 Jun 19;195(24):E844–9.</w:t>
      </w:r>
      <w:r w:rsidDel="00000000" w:rsidR="00000000" w:rsidRPr="00000000">
        <w:rPr>
          <w:rtl w:val="0"/>
        </w:rPr>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12.</w:t>
        <w:tab/>
        <w:t xml:space="preserve">Schumann JA, Plasner S. Trichomoniasis. In: StatPearls [Internet]. Treasure Island (FL): StatPearls Publishing; 2024 [cited 2024 Sep 5]. Available from: http://www.ncbi.nlm.nih.gov/books/NBK534826/</w:t>
      </w:r>
      <w:r w:rsidDel="00000000" w:rsidR="00000000" w:rsidRPr="00000000">
        <w:rPr>
          <w:rtl w:val="0"/>
        </w:rPr>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13.</w:t>
        <w:tab/>
        <w:t xml:space="preserve">Kretzschmar M, van Duynhoven YT, Severijnen AJ. Modeling prevention strategies for gonorrhea and Chlamydia using stochastic network simulations. Am J Epidemiol. 1996 Aug 1;144(3):306–17.</w:t>
      </w:r>
      <w:r w:rsidDel="00000000" w:rsidR="00000000" w:rsidRPr="00000000">
        <w:rPr>
          <w:rtl w:val="0"/>
        </w:rPr>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14.</w:t>
        <w:tab/>
        <w:t xml:space="preserve">Althaus CL, Heijne JCM, Roellin A, Low N. Transmission dynamics of Chlamydia trachomatis affect the impact of screening programmes. Epidemics. 2010 Sep;2(3):123–31.</w:t>
      </w:r>
      <w:r w:rsidDel="00000000" w:rsidR="00000000" w:rsidRPr="00000000">
        <w:rPr>
          <w:rtl w:val="0"/>
        </w:rPr>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15.</w:t>
        <w:tab/>
        <w:t xml:space="preserve">Marfatia YS, Pandya I, Mehta K. Condoms: Past, present, and future. Indian J Sex Transm Dis AIDS. 2015;36(2):133–9.</w:t>
      </w:r>
      <w:r w:rsidDel="00000000" w:rsidR="00000000" w:rsidRPr="00000000">
        <w:rPr>
          <w:rtl w:val="0"/>
        </w:rPr>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16.</w:t>
        <w:tab/>
        <w:t xml:space="preserve">Ng BE, Butler LM, Horvath T, Rutherford GW. Population‐based biomedical sexually transmitted infection control interventions for reducing HIV infection - Ng, BE - 2011 | Cochrane Library. [cited 2024 Oct 23]; Available from: https://www.cochranelibrary.com/cdsr/doi/10.1002/14651858.CD001220.pub3/full</w:t>
      </w:r>
      <w:r w:rsidDel="00000000" w:rsidR="00000000" w:rsidRPr="00000000">
        <w:rPr>
          <w:rtl w:val="0"/>
        </w:rPr>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17.</w:t>
        <w:tab/>
        <w:t xml:space="preserve">Grosskurth H, Mosha F, Todd J, Mwijarubi E, Klokke A, Senkoro K, et al. Impact of improved treatment of sexually transmitted diseases on HIV infection in rural Tanzania: randomised controlled trial. Lancet. 1995 Aug 26;346(8974):530–6.</w:t>
      </w:r>
      <w:r w:rsidDel="00000000" w:rsidR="00000000" w:rsidRPr="00000000">
        <w:rPr>
          <w:rtl w:val="0"/>
        </w:rPr>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18.</w:t>
        <w:tab/>
        <w:t xml:space="preserve">Wawer MJ, Sewankambo NK, Serwadda D, Quinn TC, Paxton LA, Kiwanuka N, et al. Control of sexually transmitted diseases for AIDS prevention in Uganda: a randomised community trial. Rakai Project Study Group. Lancet. 1999 Feb 13;353(9152):525–35.</w:t>
      </w:r>
      <w:r w:rsidDel="00000000" w:rsidR="00000000" w:rsidRPr="00000000">
        <w:rPr>
          <w:rtl w:val="0"/>
        </w:rPr>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19.</w:t>
        <w:tab/>
        <w:t xml:space="preserve">Kamali A, Quigley M, Nakiyingi J, Kinsman J, Kengeya-Kayondo J, Gopal R, et al. Syndromic management of sexually-transmitted infections and behaviour change interventions on transmission of HIV-1 in rural Uganda: a community randomised trial. Lancet. 2003 Feb 22;361(9358):645–52.</w:t>
      </w:r>
      <w:r w:rsidDel="00000000" w:rsidR="00000000" w:rsidRPr="00000000">
        <w:rPr>
          <w:rtl w:val="0"/>
        </w:rPr>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20.</w:t>
        <w:tab/>
        <w:t xml:space="preserve">Gregson S, Adamson S, Papaya S, Mundondo J, Nyamukapa CA, Mason PR, et al. Impact and Process Evaluation of Integrated Community and Clinic-Based HIV-1 Control: A Cluster-Randomised Trial in Eastern Zimbabwe. PLOS Medicine. 2007 Mar 27;4(3):e102.</w:t>
      </w:r>
      <w:r w:rsidDel="00000000" w:rsidR="00000000" w:rsidRPr="00000000">
        <w:rPr>
          <w:rtl w:val="0"/>
        </w:rPr>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21.</w:t>
        <w:tab/>
        <w:t xml:space="preserve">Orroth KK, White RG, Korenromp EL, Bakker R, Changalucha J, Habbema JDF, et al. Empirical observations underestimate the proportion of human immunodeficiency virus infections attributable to sexually transmitted diseases in the Mwanza and Rakai sexually transmitted disease treatment trials: Simulation results. Sex Transm Dis. 2006 Sep;33(9):536–44.</w:t>
      </w:r>
      <w:r w:rsidDel="00000000" w:rsidR="00000000" w:rsidRPr="00000000">
        <w:rPr>
          <w:rtl w:val="0"/>
        </w:rPr>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22.</w:t>
        <w:tab/>
        <w:t xml:space="preserve">Kerr CC, Stuart RM, Gray RT, Shattock AJ, Fraser-Hurt N, Benedikt C, et al. Optima: A Model for HIV Epidemic Analysis, Program Prioritization, and Resource Optimization. JAIDS Journal of Acquired Immune Deficiency Syndromes. 2015 Jul 1;69(3):365.</w:t>
      </w:r>
      <w:r w:rsidDel="00000000" w:rsidR="00000000" w:rsidRPr="00000000">
        <w:rPr>
          <w:rtl w:val="0"/>
        </w:rPr>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23.</w:t>
        <w:tab/>
        <w:t xml:space="preserve">Kerr CC, Stuart RM, Kedziora DJ, Brown A, Abeysuriya R, Chadderdon GL, et al. Optima HIV Methodology and Approach. In: Tackling the World’s Fastest-Growing HIV Epidemic More Efficient HIV Responses in Eastern Europe and Central Asia. Washington, DC: World Bank: Human Development Perspectives; 2020.</w:t>
      </w:r>
      <w:r w:rsidDel="00000000" w:rsidR="00000000" w:rsidRPr="00000000">
        <w:rPr>
          <w:rtl w:val="0"/>
        </w:rPr>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24.</w:t>
        <w:tab/>
        <w:t xml:space="preserve">Kelly SL, Martin-Hughes R, Stuart RM, Yap XF, Kedziora DJ, Grantham KL, et al. The global Optima HIV allocative efficiency model: targeting resources in efforts to end AIDS. The Lancet HIV. 2018 Apr 1;5(4):e190–8.</w:t>
      </w:r>
      <w:r w:rsidDel="00000000" w:rsidR="00000000" w:rsidRPr="00000000">
        <w:rPr>
          <w:rtl w:val="0"/>
        </w:rPr>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25.</w:t>
        <w:tab/>
        <w:t xml:space="preserve">Stuart RM, Grobicki L, Haghparast-Bidgoli H, Panovska-Griffiths J, Skordis J, Keiser O, et al. How should HIV resources be allocated? Lessons learnt from applying Optima HIV in 23 countries. J Int AIDS Soc. 2018 Apr;21(4):e25097.</w:t>
      </w:r>
      <w:r w:rsidDel="00000000" w:rsidR="00000000" w:rsidRPr="00000000">
        <w:rPr>
          <w:rtl w:val="0"/>
        </w:rPr>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26.</w:t>
        <w:tab/>
        <w:t xml:space="preserve">Bershteyn A, Gerardin J, Bridenbecker D, Lorton CW, Bloedow J, Baker RS, et al. Implementation and applications of EMOD, an individual-based multi-disease modeling platform. Pathogens and Disease [Internet]. 2018 Jul 1 [cited 2024 Sep 17];76(5). Available from: https://research.wur.nl/en/publications/implementation-and-applications-of-emod-an-individual-based-multi</w:t>
      </w:r>
      <w:r w:rsidDel="00000000" w:rsidR="00000000" w:rsidRPr="00000000">
        <w:rPr>
          <w:rtl w:val="0"/>
        </w:rPr>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27.</w:t>
        <w:tab/>
        <w:t xml:space="preserve">Bershteyn A, Klein DJ, Eckhoff PA. Age-dependent partnering and the HIV transmission chain: a microsimulation analysis. J R Soc Interface. 2013 Nov 6;10(88):20130613.</w:t>
      </w:r>
      <w:r w:rsidDel="00000000" w:rsidR="00000000" w:rsidRPr="00000000">
        <w:rPr>
          <w:rtl w:val="0"/>
        </w:rPr>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28.</w:t>
        <w:tab/>
        <w:t xml:space="preserve">Crampin AC, Mwaungulu FD, Ambrose LR, Longwe H, French N. Normal Range of CD4 Cell Counts and Temporal Changes in Two HIVNegative Malawian Populations. [cited 2024 Sep 17]; Available from: https://openaidsjournal.com/VOLUME/5/PAGE/74/FULLTEXT/</w:t>
      </w:r>
      <w:r w:rsidDel="00000000" w:rsidR="00000000" w:rsidRPr="00000000">
        <w:rPr>
          <w:rtl w:val="0"/>
        </w:rPr>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29.</w:t>
        <w:tab/>
        <w:t xml:space="preserve">Tsegaye A, Messele T, Tilahun T, Hailu E, Sahlu T, Doorly R, et al. Immunohematological reference ranges for adult Ethiopians. Clin Diagn Lab Immunol. 1999 May;6(3):410–4.</w:t>
      </w:r>
      <w:r w:rsidDel="00000000" w:rsidR="00000000" w:rsidRPr="00000000">
        <w:rPr>
          <w:rtl w:val="0"/>
        </w:rPr>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30.</w:t>
        <w:tab/>
        <w:t xml:space="preserve">Williams BG, Korenromp EL, Gouws E, Schmid GP, Auvert B, Dye C. HIV infection, antiretroviral therapy, and CD4+ cell count distributions in African populations. J Infect Dis. 2006 Nov 15;194(10):1450–8.</w:t>
      </w:r>
      <w:r w:rsidDel="00000000" w:rsidR="00000000" w:rsidRPr="00000000">
        <w:rPr>
          <w:rtl w:val="0"/>
        </w:rPr>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31.</w:t>
        <w:tab/>
        <w:t xml:space="preserve">Menard D, Mandeng MJ, Tothy MB, Kelembho EK, Gresenguet G, Talarmin A. Immunohematological reference ranges for adults from the Central African Republic. Clin Diagn Lab Immunol. 2003 May;10(3):443–5.</w:t>
      </w:r>
      <w:r w:rsidDel="00000000" w:rsidR="00000000" w:rsidRPr="00000000">
        <w:rPr>
          <w:rtl w:val="0"/>
        </w:rPr>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32.</w:t>
        <w:tab/>
        <w:t xml:space="preserve">Sabin CA, Lundgren JD. The natural history of HIV infection. Curr Opin HIV AIDS. 2013 Jul;8(4):311–7.</w:t>
      </w:r>
      <w:r w:rsidDel="00000000" w:rsidR="00000000" w:rsidRPr="00000000">
        <w:rPr>
          <w:rtl w:val="0"/>
        </w:rPr>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33.</w:t>
        <w:tab/>
        <w:t xml:space="preserve">Hollingsworth TD, Anderson RM, Fraser C. HIV-1 transmission, by stage of infection. J Infect Dis. 2008 Sep 1;198(5):687–93.</w:t>
      </w:r>
      <w:r w:rsidDel="00000000" w:rsidR="00000000" w:rsidRPr="00000000">
        <w:rPr>
          <w:rtl w:val="0"/>
        </w:rPr>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34.</w:t>
        <w:tab/>
        <w:t xml:space="preserve">Kerr CC, Stuart RM, Kelly SL, Wilson DP. Optima HIV User Guide Vol. VI: Parameter Data Sources [Internet]. 2020. Available from: userguide.optimamodel.com</w:t>
      </w:r>
      <w:r w:rsidDel="00000000" w:rsidR="00000000" w:rsidRPr="00000000">
        <w:rPr>
          <w:rtl w:val="0"/>
        </w:rPr>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35.</w:t>
        <w:tab/>
        <w:t xml:space="preserve">Mocroft A, Phillips AN, Gatell J, Ledergerber B, Fisher M, Clumeck N, et al. Normalisation of CD4 counts in patients with HIV-1 infection and maximum virological suppression who are taking combination antiretroviral therapy: an observational cohort study. Lancet. 2007 Aug 4;370(9585):407–13.</w:t>
      </w:r>
      <w:r w:rsidDel="00000000" w:rsidR="00000000" w:rsidRPr="00000000">
        <w:rPr>
          <w:rtl w:val="0"/>
        </w:rPr>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36.</w:t>
        <w:tab/>
        <w:t xml:space="preserve">Eaton JW, Johnson LF, Salomon JA, Bärnighausen T, Bendavid E, Bershteyn A, et al. HIV Treatment as Prevention: Systematic Comparison of Mathematical Models of the Potential Impact of Antiretroviral Therapy on HIV Incidence in South Africa. PLOS Medicine. 2012 Jul 10;9(7):e1001245.</w:t>
      </w:r>
      <w:r w:rsidDel="00000000" w:rsidR="00000000" w:rsidRPr="00000000">
        <w:rPr>
          <w:rtl w:val="0"/>
        </w:rPr>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37.</w:t>
        <w:tab/>
        <w:t xml:space="preserve">Cohen MS, Chen YQ, McCauley M, Gamble T, Hosseinipour MC, Kumarasamy N, et al. Prevention of HIV-1 infection with early antiretroviral therapy. N Engl J Med. 2011 Aug 11;365(6):493–505.</w:t>
      </w:r>
      <w:r w:rsidDel="00000000" w:rsidR="00000000" w:rsidRPr="00000000">
        <w:rPr>
          <w:rtl w:val="0"/>
        </w:rPr>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38.</w:t>
        <w:tab/>
        <w:t xml:space="preserve">Moore RD, Keruly JC. CD4+ cell count 6 years after commencement of highly active antiretroviral therapy in persons with sustained virologic suppression. Clin Infect Dis. 2007 Feb 1;44(3):441–6.</w:t>
      </w:r>
      <w:r w:rsidDel="00000000" w:rsidR="00000000" w:rsidRPr="00000000">
        <w:rPr>
          <w:rtl w:val="0"/>
        </w:rPr>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39.</w:t>
        <w:tab/>
        <w:t xml:space="preserve">Michael CG, Kirk O, Mathiesen L, Nielsen SD. The naive CD4+ count in HIV-1-infected patients at time of initiation of highly active antiretroviral therapy is strongly associated with the level of immunological recovery. Scand J Infect Dis. 2002;34(1):45–9.</w:t>
      </w:r>
      <w:r w:rsidDel="00000000" w:rsidR="00000000" w:rsidRPr="00000000">
        <w:rPr>
          <w:rtl w:val="0"/>
        </w:rPr>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40.</w:t>
        <w:tab/>
        <w:t xml:space="preserve">Institute for Disease Modeling. EMOD HIV model documentation [Internet]. [cited 2024 Sep 17]. Available from: https://docs.idmod.org/projects/emod-hiv/en/2.20_a/hiv-model-overview.html</w:t>
      </w:r>
      <w:r w:rsidDel="00000000" w:rsidR="00000000" w:rsidRPr="00000000">
        <w:rPr>
          <w:rtl w:val="0"/>
        </w:rPr>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41.</w:t>
        <w:tab/>
        <w:t xml:space="preserve">Rodger AJ, Cambiano V, Bruun T, Vernazza P, Collins S, Degen O, et al. Risk of HIV transmission through condomless sex in serodifferent gay couples with the HIV-positive partner taking suppressive antiretroviral therapy (PARTNER): final results of a multicentre, prospective, observational study. Lancet. 2019 Jun 15;393(10189):2428–38.</w:t>
      </w:r>
      <w:r w:rsidDel="00000000" w:rsidR="00000000" w:rsidRPr="00000000">
        <w:rPr>
          <w:rtl w:val="0"/>
        </w:rPr>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42.</w:t>
        <w:tab/>
        <w:t xml:space="preserve">Attia S, Egger M, Müller M, Zwahlen M, Low N. Sexual transmission of HIV according to viral load and antiretroviral therapy: systematic review and meta-analysis. AIDS. 2009 Jul 17;23(11):1397–404.</w:t>
      </w:r>
      <w:r w:rsidDel="00000000" w:rsidR="00000000" w:rsidRPr="00000000">
        <w:rPr>
          <w:rtl w:val="0"/>
        </w:rPr>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43.</w:t>
        <w:tab/>
        <w:t xml:space="preserve">Bellan SE, Dushoff J, Galvani AP, Meyers LA. Reassessment of HIV-1 Acute Phase Infectivity: Accounting for Heterogeneity and Study Design with Simulated Cohorts. PLOS Medicine. 2015 Mar 17;12(3):e1001801.</w:t>
      </w:r>
      <w:r w:rsidDel="00000000" w:rsidR="00000000" w:rsidRPr="00000000">
        <w:rPr>
          <w:rtl w:val="0"/>
        </w:rPr>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44.</w:t>
        <w:tab/>
        <w:t xml:space="preserve">Boily MC, Baggaley RF, Wang L, Masse B, White RG, Hayes RJ, et al. Heterosexual risk of HIV-1 infection per sexual act: systematic review and meta-analysis of observational studies. Lancet Infect Dis. 2009 Feb;9(2):118–29.</w:t>
      </w:r>
      <w:r w:rsidDel="00000000" w:rsidR="00000000" w:rsidRPr="00000000">
        <w:rPr>
          <w:rtl w:val="0"/>
        </w:rPr>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45.</w:t>
        <w:tab/>
        <w:t xml:space="preserve">Nduati R, John G, Mbori-Ngacha D, Richardson B, Overbaugh J, Mwatha A, et al. Effect of breastfeeding and formula feeding on transmission of HIV-1: a randomized clinical trial. JAMA. 2000 Mar 1;283(9):1167–74.</w:t>
      </w:r>
      <w:r w:rsidDel="00000000" w:rsidR="00000000" w:rsidRPr="00000000">
        <w:rPr>
          <w:rtl w:val="0"/>
        </w:rPr>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46.</w:t>
        <w:tab/>
        <w:t xml:space="preserve">Zimbabwe National Statistics Agency, ICF International. Zimbabwe Demographic and Health Survey 2015: Final Report [Internet]. Rockville, Maryland, USA: Zimbabwe National Statistics Agency (ZIMSTAT) and ICF International; 2016. Available from: http://dhsprogram.com/pubs/pdf/FR322/FR322.pdf</w:t>
      </w:r>
      <w:r w:rsidDel="00000000" w:rsidR="00000000" w:rsidRPr="00000000">
        <w:rPr>
          <w:rtl w:val="0"/>
        </w:rPr>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47.</w:t>
        <w:tab/>
        <w:t xml:space="preserve">PHIA Project [Internet]. [cited 2024 Sep 17]. Zimbabwe Final Report 2020 - PHIA Project %. Available from: https://phia.icap.columbia.edu/zimbabwe2020-final-report/</w:t>
      </w:r>
      <w:r w:rsidDel="00000000" w:rsidR="00000000" w:rsidRPr="00000000">
        <w:rPr>
          <w:rtl w:val="0"/>
        </w:rPr>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48.</w:t>
        <w:tab/>
        <w:t xml:space="preserve">Kalichman SC, Pellowski J, Turner C. Prevalence of Sexually Transmitted Co-Infections in People Living with HIV/AIDS: Systematic Review with Implications for using HIV Treatments for Prevention. Sex Transm Infect. 2011 Apr;87(3):183–90.</w:t>
      </w:r>
      <w:r w:rsidDel="00000000" w:rsidR="00000000" w:rsidRPr="00000000">
        <w:rPr>
          <w:rtl w:val="0"/>
        </w:rPr>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49.</w:t>
        <w:tab/>
        <w:t xml:space="preserve">Ng BE, Butler LM, Horvath T, Rutherford GW. Population-based biomedical sexually transmitted infection control interventions for reducing HIV infection. Cochrane Database Syst Rev. 2011 Mar 16;(3):CD001220.</w:t>
      </w:r>
      <w:r w:rsidDel="00000000" w:rsidR="00000000" w:rsidRPr="00000000">
        <w:rPr>
          <w:rtl w:val="0"/>
        </w:rPr>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50.</w:t>
        <w:tab/>
        <w:t xml:space="preserve">Cohen MS, Council OD, Chen JS. Sexually transmitted infections and HIV in the era of antiretroviral treatment and prevention: the biologic basis for epidemiologic synergy. J Int AIDS Soc. 2019 Aug;22 Suppl 6(Suppl Suppl 6):e25355.</w:t>
      </w:r>
      <w:r w:rsidDel="00000000" w:rsidR="00000000" w:rsidRPr="00000000">
        <w:rPr>
          <w:rtl w:val="0"/>
        </w:rPr>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51.</w:t>
        <w:tab/>
        <w:t xml:space="preserve">Jarolimova J, Platt LR, Curtis MR, Philpotts LL, Bekker LG, Morroni C, et al. Curable sexually transmitted infections among women with HIV in sub-Saharan Africa. AIDS. 2022 Apr 1;36(5):697–709.</w:t>
      </w:r>
      <w:r w:rsidDel="00000000" w:rsidR="00000000" w:rsidRPr="00000000">
        <w:rPr>
          <w:rtl w:val="0"/>
        </w:rPr>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52.</w:t>
        <w:tab/>
        <w:t xml:space="preserve">Sexton J, Garnett G, Røttingen JA. Metaanalysis and metaregression in interpreting study variability in the impact of sexually transmitted diseases on susceptibility to HIV infection. Sex Transm Dis. 2005 Jun;32(6):351–7.</w:t>
      </w:r>
      <w:r w:rsidDel="00000000" w:rsidR="00000000" w:rsidRPr="00000000">
        <w:rPr>
          <w:rtl w:val="0"/>
        </w:rPr>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53.</w:t>
        <w:tab/>
        <w:t xml:space="preserve">Hayes R, Watson-Jones D, Celum C, van de Wijgert J, Wasserheit J. Treatment of sexually transmitted infections for HIV prevention: end of the road or new beginning? AIDS. 2010 Oct;24 Suppl 4(0 4):S15-26.</w:t>
      </w:r>
      <w:r w:rsidDel="00000000" w:rsidR="00000000" w:rsidRPr="00000000">
        <w:rPr>
          <w:rtl w:val="0"/>
        </w:rPr>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54.</w:t>
        <w:tab/>
        <w:t xml:space="preserve">Johnson LF, Lewis DA. The effect of genital tract infections on HIV-1 shedding in the genital tract: a systematic review and meta-analysis. Sex Transm Dis. 2008 Nov;35(11):946–59.</w:t>
      </w:r>
      <w:r w:rsidDel="00000000" w:rsidR="00000000" w:rsidRPr="00000000">
        <w:rPr>
          <w:rtl w:val="0"/>
        </w:rPr>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55.</w:t>
        <w:tab/>
        <w:t xml:space="preserve">Fearon E, Chabata ST, Magutshwa S, Ndori-Mharadze T, Musemburi S, Chidawanyika H, et al. Estimating the Population Size of Female Sex Workers in Zimbabwe: Comparison of Estimates Obtained Using Different Methods in Twenty Sites and Development of a National-Level Estimate. J Acquir Immune Defic Syndr. 2020 Sep 1;85(1):30–8.</w:t>
      </w:r>
      <w:r w:rsidDel="00000000" w:rsidR="00000000" w:rsidRPr="00000000">
        <w:rPr>
          <w:rtl w:val="0"/>
        </w:rPr>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56.</w:t>
        <w:tab/>
        <w:t xml:space="preserve">Martin K, Olaru ID, Buwu N, Bandason T, Marks M, Dauya E, et al. Uptake of and factors associated with testing for sexually transmitted infections in community-based settings among youth in Zimbabwe: a mixed-methods study. The Lancet Child &amp; Adolescent Health. 2021 Feb 1;5(2):122–32.</w:t>
      </w:r>
      <w:r w:rsidDel="00000000" w:rsidR="00000000" w:rsidRPr="00000000">
        <w:rPr>
          <w:rtl w:val="0"/>
        </w:rPr>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57.</w:t>
        <w:tab/>
        <w:t xml:space="preserve">Chikwari CD, Simms V, Kranzer K, Dauya E, Bandason T, Tembo M, et al. Evaluation of a community-based aetiological approach for sexually transmitted infections management for youth in Zimbabwe: intervention findings from the STICH cluster randomised trial. eClinicalMedicine. 2023 Aug 3;62:102125.</w:t>
      </w:r>
      <w:r w:rsidDel="00000000" w:rsidR="00000000" w:rsidRPr="00000000">
        <w:rPr>
          <w:rtl w:val="0"/>
        </w:rPr>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58.</w:t>
        <w:tab/>
        <w:t xml:space="preserve">Martin K, Chikwari CD, Dauya E, Mackworth-Young C, Tucker JD, Simms V, et al. Integrated Antenatal HIV, Hepatitis B, &amp; Curable STI Testing: A Pragmatic Study in Harare, Zimbabwe.</w:t>
      </w:r>
      <w:r w:rsidDel="00000000" w:rsidR="00000000" w:rsidRPr="00000000">
        <w:rPr>
          <w:rtl w:val="0"/>
        </w:rPr>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264" w:right="0" w:hanging="264"/>
        <w:jc w:val="left"/>
        <w:rPr>
          <w:rFonts w:ascii="Avenir" w:cs="Avenir" w:eastAsia="Avenir" w:hAnsi="Avenir"/>
        </w:rPr>
      </w:pPr>
      <w:r w:rsidDel="00000000" w:rsidR="00000000" w:rsidRPr="00000000">
        <w:rPr>
          <w:shd w:fill="auto" w:val="clear"/>
          <w:vertAlign w:val="baseline"/>
          <w:rtl w:val="0"/>
        </w:rPr>
        <w:t xml:space="preserve">59.</w:t>
        <w:tab/>
        <w:t xml:space="preserve">Akiba T, Sano S, Yanase T, Ohta T, Koyama M. Optuna: A Next-generation Hyperparameter Optimization Framework. In: Proceedings of the 25th ACM SIGKDD International Conference on Knowledge Discovery &amp; Data Mining [Internet]. New York, NY, USA: Association for Computing Machinery; 2019 [cited 2022 Nov 20]. p. 2623–31. (KDD ’19). Available from: https://doi.org/10.1145/3292500.3330701</w:t>
      </w: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veni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venir" w:cs="Avenir" w:eastAsia="Avenir" w:hAnsi="Avenir"/>
        <w:lang w:val="en"/>
      </w:rPr>
    </w:rPrDefault>
    <w:pPrDefault>
      <w:pPr>
        <w:spacing w:line="276" w:lineRule="auto"/>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pPr>
    <w:rPr>
      <w:sz w:val="36"/>
      <w:szCs w:val="36"/>
    </w:rPr>
  </w:style>
  <w:style w:type="paragraph" w:styleId="Heading2">
    <w:name w:val="heading 2"/>
    <w:basedOn w:val="Normal"/>
    <w:next w:val="Normal"/>
    <w:pPr>
      <w:keepNext w:val="1"/>
      <w:keepLines w:val="1"/>
      <w:pageBreakBefore w:val="0"/>
    </w:pPr>
    <w:rPr>
      <w:sz w:val="30"/>
      <w:szCs w:val="30"/>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pPr>
    <w:rPr>
      <w:color w:val="1c4587"/>
      <w:sz w:val="44"/>
      <w:szCs w:val="44"/>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