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1.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2.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rawings/drawing3.xml" ContentType="application/vnd.openxmlformats-officedocument.drawingml.chartshapes+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4.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5.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6.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6D272B" w14:textId="77777777" w:rsidR="007D055B" w:rsidRPr="00CF416A" w:rsidRDefault="007D055B" w:rsidP="007D055B">
      <w:pPr>
        <w:spacing w:line="360" w:lineRule="auto"/>
        <w:jc w:val="both"/>
        <w:rPr>
          <w:rFonts w:ascii="Times New Roman" w:hAnsi="Times New Roman" w:cs="Times New Roman"/>
          <w:b/>
          <w:bCs/>
          <w:sz w:val="20"/>
          <w:szCs w:val="20"/>
        </w:rPr>
      </w:pPr>
      <w:r w:rsidRPr="00CF416A">
        <w:rPr>
          <w:rFonts w:ascii="Times New Roman" w:hAnsi="Times New Roman" w:cs="Times New Roman"/>
          <w:b/>
          <w:bCs/>
          <w:sz w:val="20"/>
          <w:szCs w:val="20"/>
        </w:rPr>
        <w:t>Supplementary Information</w:t>
      </w:r>
    </w:p>
    <w:p w14:paraId="398460F5" w14:textId="77777777" w:rsidR="007D055B" w:rsidRPr="007D055B" w:rsidRDefault="007D055B" w:rsidP="007D055B">
      <w:pPr>
        <w:spacing w:line="360" w:lineRule="auto"/>
        <w:jc w:val="both"/>
        <w:rPr>
          <w:rFonts w:ascii="Times New Roman" w:hAnsi="Times New Roman" w:cs="Times New Roman"/>
          <w:sz w:val="20"/>
          <w:szCs w:val="20"/>
        </w:rPr>
      </w:pPr>
      <w:r w:rsidRPr="007D055B">
        <w:rPr>
          <w:rFonts w:ascii="Times New Roman" w:hAnsi="Times New Roman" w:cs="Times New Roman"/>
          <w:sz w:val="20"/>
          <w:szCs w:val="20"/>
        </w:rPr>
        <w:t>Title: Structural and systems-level analysis of polyphenolic scaffold compatibility at immune checkpoint interfaces: a PD-L1 dimer–focused in silico study</w:t>
      </w:r>
    </w:p>
    <w:p w14:paraId="268863A8" w14:textId="77777777" w:rsidR="007D055B" w:rsidRPr="007D055B" w:rsidRDefault="007D055B" w:rsidP="007D055B">
      <w:pPr>
        <w:spacing w:line="360" w:lineRule="auto"/>
        <w:jc w:val="both"/>
        <w:rPr>
          <w:rFonts w:ascii="Times New Roman" w:hAnsi="Times New Roman" w:cs="Times New Roman"/>
          <w:sz w:val="20"/>
          <w:szCs w:val="20"/>
        </w:rPr>
      </w:pPr>
      <w:r w:rsidRPr="007D055B">
        <w:rPr>
          <w:rFonts w:ascii="Times New Roman" w:hAnsi="Times New Roman" w:cs="Times New Roman"/>
          <w:sz w:val="20"/>
          <w:szCs w:val="20"/>
        </w:rPr>
        <w:t>Journal: Journal of Molecular Modeling</w:t>
      </w:r>
    </w:p>
    <w:p w14:paraId="5963F6E7" w14:textId="35BD5F3F" w:rsidR="007D055B" w:rsidRPr="007D055B" w:rsidRDefault="007D055B" w:rsidP="007D055B">
      <w:pPr>
        <w:spacing w:line="360" w:lineRule="auto"/>
        <w:jc w:val="both"/>
        <w:rPr>
          <w:rFonts w:ascii="Times New Roman" w:hAnsi="Times New Roman" w:cs="Times New Roman"/>
          <w:sz w:val="20"/>
          <w:szCs w:val="20"/>
        </w:rPr>
      </w:pPr>
      <w:r w:rsidRPr="007D055B">
        <w:rPr>
          <w:rFonts w:ascii="Times New Roman" w:hAnsi="Times New Roman" w:cs="Times New Roman"/>
          <w:sz w:val="20"/>
          <w:szCs w:val="20"/>
        </w:rPr>
        <w:t xml:space="preserve">Author: </w:t>
      </w:r>
      <w:r>
        <w:rPr>
          <w:rFonts w:ascii="Times New Roman" w:hAnsi="Times New Roman" w:cs="Times New Roman"/>
          <w:sz w:val="20"/>
          <w:szCs w:val="20"/>
        </w:rPr>
        <w:t>Muhammad Rafif Pratama Putra Shanizal</w:t>
      </w:r>
    </w:p>
    <w:p w14:paraId="6B03D1B5" w14:textId="6F70623F" w:rsidR="007D055B" w:rsidRPr="007D055B" w:rsidRDefault="007D055B" w:rsidP="007D055B">
      <w:pPr>
        <w:spacing w:line="360" w:lineRule="auto"/>
        <w:jc w:val="both"/>
        <w:rPr>
          <w:rFonts w:ascii="Times New Roman" w:hAnsi="Times New Roman" w:cs="Times New Roman"/>
          <w:sz w:val="20"/>
          <w:szCs w:val="20"/>
        </w:rPr>
      </w:pPr>
      <w:r w:rsidRPr="007D055B">
        <w:rPr>
          <w:rFonts w:ascii="Times New Roman" w:hAnsi="Times New Roman" w:cs="Times New Roman"/>
          <w:sz w:val="20"/>
          <w:szCs w:val="20"/>
        </w:rPr>
        <w:t>Corresponding author: [Nama, afiliasi, email]</w:t>
      </w:r>
      <w:r>
        <w:rPr>
          <w:rFonts w:ascii="Times New Roman" w:hAnsi="Times New Roman" w:cs="Times New Roman"/>
          <w:sz w:val="20"/>
          <w:szCs w:val="20"/>
        </w:rPr>
        <w:t xml:space="preserve"> Muhammad Rafif Pratama Putra Shanizal, Faculty of Medicine Universitas Gadjah Mada, muhammadrafifpratamaputrashanizal2005@mail.ugm.ac.id</w:t>
      </w:r>
    </w:p>
    <w:p w14:paraId="7B3DC15A" w14:textId="77777777" w:rsidR="007D055B" w:rsidRDefault="007D055B" w:rsidP="007D055B">
      <w:pPr>
        <w:spacing w:line="360" w:lineRule="auto"/>
        <w:jc w:val="both"/>
        <w:rPr>
          <w:rFonts w:ascii="Times New Roman" w:hAnsi="Times New Roman" w:cs="Times New Roman"/>
          <w:b/>
          <w:bCs/>
          <w:sz w:val="20"/>
          <w:szCs w:val="20"/>
        </w:rPr>
      </w:pPr>
    </w:p>
    <w:p w14:paraId="41AEE254" w14:textId="77777777" w:rsidR="007D055B" w:rsidRPr="006A7376" w:rsidRDefault="007D055B" w:rsidP="007D055B">
      <w:pPr>
        <w:spacing w:line="360" w:lineRule="auto"/>
        <w:jc w:val="both"/>
        <w:rPr>
          <w:rFonts w:ascii="Times New Roman" w:hAnsi="Times New Roman" w:cs="Times New Roman"/>
          <w:b/>
          <w:bCs/>
          <w:sz w:val="20"/>
          <w:szCs w:val="20"/>
        </w:rPr>
      </w:pPr>
      <w:r w:rsidRPr="006A7376">
        <w:rPr>
          <w:rFonts w:ascii="Times New Roman" w:hAnsi="Times New Roman" w:cs="Times New Roman"/>
          <w:b/>
          <w:bCs/>
          <w:sz w:val="20"/>
          <w:szCs w:val="20"/>
        </w:rPr>
        <w:t>Supplementary Methods</w:t>
      </w:r>
    </w:p>
    <w:p w14:paraId="6D2D8961" w14:textId="77777777" w:rsidR="007D055B" w:rsidRPr="006A7376" w:rsidRDefault="007D055B" w:rsidP="007D055B">
      <w:pPr>
        <w:spacing w:line="360" w:lineRule="auto"/>
        <w:jc w:val="both"/>
        <w:rPr>
          <w:rFonts w:ascii="Times New Roman" w:hAnsi="Times New Roman" w:cs="Times New Roman"/>
          <w:b/>
          <w:bCs/>
          <w:sz w:val="20"/>
          <w:szCs w:val="20"/>
        </w:rPr>
      </w:pPr>
      <w:r w:rsidRPr="006A7376">
        <w:rPr>
          <w:rFonts w:ascii="Times New Roman" w:hAnsi="Times New Roman" w:cs="Times New Roman"/>
          <w:b/>
          <w:bCs/>
          <w:sz w:val="20"/>
          <w:szCs w:val="20"/>
        </w:rPr>
        <w:t>S1. Protein and ligand preparation</w:t>
      </w:r>
    </w:p>
    <w:p w14:paraId="06FC386A" w14:textId="77777777" w:rsidR="007D055B" w:rsidRPr="006A7376" w:rsidRDefault="007D055B" w:rsidP="007D055B">
      <w:pPr>
        <w:spacing w:line="360" w:lineRule="auto"/>
        <w:ind w:firstLine="720"/>
        <w:jc w:val="both"/>
        <w:rPr>
          <w:rFonts w:ascii="Times New Roman" w:hAnsi="Times New Roman" w:cs="Times New Roman"/>
          <w:sz w:val="20"/>
          <w:szCs w:val="20"/>
        </w:rPr>
      </w:pPr>
      <w:r w:rsidRPr="006A7376">
        <w:rPr>
          <w:rFonts w:ascii="Times New Roman" w:hAnsi="Times New Roman" w:cs="Times New Roman"/>
          <w:sz w:val="20"/>
          <w:szCs w:val="20"/>
        </w:rPr>
        <w:t>Protein preparation was performed using AutoDockTools v1.5.7. All crystallographic water molecules, ions, and non–small-molecule co-crystallized components were removed. Polar hydrogens were added, and partial atomic charges were assigned using the Gasteiger method. Protonation states were adjusted to approximate physiological pH (~7.4). Prepared receptor structures were saved in PDB format and subsequently converted to PDBQT format for docking.</w:t>
      </w:r>
    </w:p>
    <w:p w14:paraId="150CFCD3" w14:textId="77777777" w:rsidR="007D055B" w:rsidRPr="006A7376" w:rsidRDefault="007D055B" w:rsidP="007D055B">
      <w:pPr>
        <w:spacing w:line="360" w:lineRule="auto"/>
        <w:ind w:firstLine="720"/>
        <w:jc w:val="both"/>
        <w:rPr>
          <w:rFonts w:ascii="Times New Roman" w:hAnsi="Times New Roman" w:cs="Times New Roman"/>
          <w:sz w:val="20"/>
          <w:szCs w:val="20"/>
        </w:rPr>
      </w:pPr>
      <w:r w:rsidRPr="006A7376">
        <w:rPr>
          <w:rFonts w:ascii="Times New Roman" w:hAnsi="Times New Roman" w:cs="Times New Roman"/>
          <w:sz w:val="20"/>
          <w:szCs w:val="20"/>
        </w:rPr>
        <w:t>Ligand structures were retrieved from PubChem in SDF format. Initial format conversion from SDF to PDB was performed using Open Babel v3.1.1. Geometry optimization was carried out in PyRx v0.8 using the MMFF94 force field and the steepest descent algorithm until convergence. Although numerical convergence thresholds were not explicitly recorded, all ligands reached minimized conformations. Optimized ligands were converted to PDBQT format for docking.</w:t>
      </w:r>
    </w:p>
    <w:p w14:paraId="2E4BD49D" w14:textId="77777777" w:rsidR="007D055B" w:rsidRPr="006A7376" w:rsidRDefault="007D055B" w:rsidP="007D055B">
      <w:pPr>
        <w:spacing w:line="360" w:lineRule="auto"/>
        <w:jc w:val="both"/>
        <w:rPr>
          <w:rFonts w:ascii="Times New Roman" w:hAnsi="Times New Roman" w:cs="Times New Roman"/>
          <w:b/>
          <w:bCs/>
          <w:sz w:val="20"/>
          <w:szCs w:val="20"/>
        </w:rPr>
      </w:pPr>
      <w:r w:rsidRPr="006A7376">
        <w:rPr>
          <w:rFonts w:ascii="Times New Roman" w:hAnsi="Times New Roman" w:cs="Times New Roman"/>
          <w:b/>
          <w:bCs/>
          <w:sz w:val="20"/>
          <w:szCs w:val="20"/>
        </w:rPr>
        <w:t>S2. Docking protocol and grid definition</w:t>
      </w:r>
    </w:p>
    <w:p w14:paraId="2E285A16" w14:textId="77777777" w:rsidR="007D055B" w:rsidRPr="006A7376" w:rsidRDefault="007D055B" w:rsidP="007D055B">
      <w:pPr>
        <w:spacing w:line="360" w:lineRule="auto"/>
        <w:ind w:firstLine="720"/>
        <w:jc w:val="both"/>
        <w:rPr>
          <w:rFonts w:ascii="Times New Roman" w:hAnsi="Times New Roman" w:cs="Times New Roman"/>
          <w:sz w:val="20"/>
          <w:szCs w:val="20"/>
        </w:rPr>
      </w:pPr>
      <w:r w:rsidRPr="006A7376">
        <w:rPr>
          <w:rFonts w:ascii="Times New Roman" w:hAnsi="Times New Roman" w:cs="Times New Roman"/>
          <w:sz w:val="20"/>
          <w:szCs w:val="20"/>
        </w:rPr>
        <w:t>An initial docking step was conducted to confirm ligand convergence toward a dominant cavity, followed by focused docking using a fixed grid derived from the primary cavity to ensure consistent and reproducible ligand placement.</w:t>
      </w:r>
    </w:p>
    <w:p w14:paraId="5D14C9AB" w14:textId="77777777" w:rsidR="007D055B" w:rsidRPr="006A7376" w:rsidRDefault="007D055B" w:rsidP="007D055B">
      <w:pPr>
        <w:spacing w:line="360" w:lineRule="auto"/>
        <w:ind w:firstLine="720"/>
        <w:jc w:val="both"/>
        <w:rPr>
          <w:rFonts w:ascii="Times New Roman" w:hAnsi="Times New Roman" w:cs="Times New Roman"/>
          <w:sz w:val="20"/>
          <w:szCs w:val="20"/>
        </w:rPr>
      </w:pPr>
      <w:r w:rsidRPr="006A7376">
        <w:rPr>
          <w:rFonts w:ascii="Times New Roman" w:hAnsi="Times New Roman" w:cs="Times New Roman"/>
          <w:sz w:val="20"/>
          <w:szCs w:val="20"/>
        </w:rPr>
        <w:t>For CTLA-4, the docking grid was defined using CB-Dock2 (2022 release), centered at (x = 13.6, y = 42.2, z = 49.9) with dimensions of 26 × 26 × 26 Å.</w:t>
      </w:r>
    </w:p>
    <w:p w14:paraId="0189907F" w14:textId="77777777" w:rsidR="007D055B" w:rsidRPr="006A7376" w:rsidRDefault="007D055B" w:rsidP="007D055B">
      <w:pPr>
        <w:spacing w:line="360" w:lineRule="auto"/>
        <w:ind w:firstLine="720"/>
        <w:jc w:val="both"/>
        <w:rPr>
          <w:rFonts w:ascii="Times New Roman" w:hAnsi="Times New Roman" w:cs="Times New Roman"/>
          <w:sz w:val="20"/>
          <w:szCs w:val="20"/>
        </w:rPr>
      </w:pPr>
      <w:r w:rsidRPr="006A7376">
        <w:rPr>
          <w:rFonts w:ascii="Times New Roman" w:hAnsi="Times New Roman" w:cs="Times New Roman"/>
          <w:sz w:val="20"/>
          <w:szCs w:val="20"/>
        </w:rPr>
        <w:t>For the PD-L1 homodimer, the focused grid was positioned at the dimer-interface cavity identified by CB-Dock2 (2022 release), with the grid center set at (x = 15.108, y = −19.465, z = 180.177) and dimensions of 26 × 26 × 26 Å. This grid encompassed residues contributed by both protomers, preserving the structural features of the PD-L1 dimer interface.</w:t>
      </w:r>
    </w:p>
    <w:p w14:paraId="157916C8" w14:textId="77777777" w:rsidR="007D055B" w:rsidRPr="006A7376" w:rsidRDefault="007D055B" w:rsidP="007D055B">
      <w:pPr>
        <w:spacing w:line="360" w:lineRule="auto"/>
        <w:jc w:val="both"/>
        <w:rPr>
          <w:rFonts w:ascii="Times New Roman" w:hAnsi="Times New Roman" w:cs="Times New Roman"/>
          <w:b/>
          <w:bCs/>
          <w:sz w:val="20"/>
          <w:szCs w:val="20"/>
        </w:rPr>
      </w:pPr>
      <w:r w:rsidRPr="006A7376">
        <w:rPr>
          <w:rFonts w:ascii="Times New Roman" w:hAnsi="Times New Roman" w:cs="Times New Roman"/>
          <w:b/>
          <w:bCs/>
          <w:sz w:val="20"/>
          <w:szCs w:val="20"/>
        </w:rPr>
        <w:t>S3. Docking reproducibility and validation</w:t>
      </w:r>
    </w:p>
    <w:p w14:paraId="616BA470" w14:textId="77777777" w:rsidR="007D055B" w:rsidRPr="006A7376" w:rsidRDefault="007D055B" w:rsidP="007D055B">
      <w:pPr>
        <w:spacing w:line="360" w:lineRule="auto"/>
        <w:ind w:firstLine="720"/>
        <w:jc w:val="both"/>
        <w:rPr>
          <w:rFonts w:ascii="Times New Roman" w:hAnsi="Times New Roman" w:cs="Times New Roman"/>
          <w:sz w:val="20"/>
          <w:szCs w:val="20"/>
        </w:rPr>
      </w:pPr>
      <w:r w:rsidRPr="006A7376">
        <w:rPr>
          <w:rFonts w:ascii="Times New Roman" w:hAnsi="Times New Roman" w:cs="Times New Roman"/>
          <w:sz w:val="20"/>
          <w:szCs w:val="20"/>
        </w:rPr>
        <w:lastRenderedPageBreak/>
        <w:t>Pose reproducibility was evaluated by performing a minimum of two independent docking runs for each ligand–target pair using identical grid parameters and fixed random seeds. Reproducibility was assessed by calculating heavy-atom root-mean-square deviation (RMSD) between top-ranked docking poses (mode-1) obtained from independent runs. Internal RMSD clustering metrics reported by AutoDock Vina v1.2.3 (rmsd/lb and rmsd/ub) were used only for within-run pose clustering and were not interpreted as cross-run RMSD.</w:t>
      </w:r>
    </w:p>
    <w:p w14:paraId="7990415A" w14:textId="77777777" w:rsidR="007D055B" w:rsidRPr="006A7376" w:rsidRDefault="007D055B" w:rsidP="007D055B">
      <w:pPr>
        <w:spacing w:line="360" w:lineRule="auto"/>
        <w:ind w:firstLine="720"/>
        <w:jc w:val="both"/>
        <w:rPr>
          <w:rFonts w:ascii="Times New Roman" w:hAnsi="Times New Roman" w:cs="Times New Roman"/>
          <w:sz w:val="20"/>
          <w:szCs w:val="20"/>
        </w:rPr>
      </w:pPr>
      <w:r w:rsidRPr="006A7376">
        <w:rPr>
          <w:rFonts w:ascii="Times New Roman" w:hAnsi="Times New Roman" w:cs="Times New Roman"/>
          <w:sz w:val="20"/>
          <w:szCs w:val="20"/>
        </w:rPr>
        <w:t>To provide an experimental structural reference for PD-L1 docking, a benchmark redocking procedure was performed using a co-crystallized small-molecule ligand reported to bind the PD-L1 dimer interface. The ligand was extracted from its crystal structure and redocked into the PD-L1 dimer using the same grid definition applied to the screened polyphenols. Structural similarity between crystallographic and redocked poses was evaluated using heavy-atom RMSD.</w:t>
      </w:r>
    </w:p>
    <w:p w14:paraId="2E2807FE" w14:textId="77777777" w:rsidR="007D055B" w:rsidRPr="006A7376" w:rsidRDefault="007D055B" w:rsidP="007D055B">
      <w:pPr>
        <w:spacing w:line="360" w:lineRule="auto"/>
        <w:ind w:firstLine="720"/>
        <w:jc w:val="both"/>
        <w:rPr>
          <w:rFonts w:ascii="Times New Roman" w:hAnsi="Times New Roman" w:cs="Times New Roman"/>
          <w:sz w:val="20"/>
          <w:szCs w:val="20"/>
        </w:rPr>
      </w:pPr>
      <w:r w:rsidRPr="006A7376">
        <w:rPr>
          <w:rFonts w:ascii="Times New Roman" w:hAnsi="Times New Roman" w:cs="Times New Roman"/>
          <w:sz w:val="20"/>
          <w:szCs w:val="20"/>
        </w:rPr>
        <w:t>To evaluate the ability of the docking protocol to distinguish putative binders from non-binders, a decoy-based enrichment analysis was conducted. A decoy library consisting of physicochemically matched decoys was generated for selected representative ligands. Active ligands and decoys were docked using identical grid and scoring parameters. Docking scores were ranked, and enrichment factors were calculated based on the proportion of active ligands retrieved within the top-ranked fraction of the ranked list. This analysis was intended to assess non-random enrichment behavior rather than predictive accuracy of biological activity.</w:t>
      </w:r>
    </w:p>
    <w:p w14:paraId="50C75D22" w14:textId="77777777" w:rsidR="007D055B" w:rsidRPr="006A7376" w:rsidRDefault="007D055B" w:rsidP="007D055B">
      <w:pPr>
        <w:spacing w:line="360" w:lineRule="auto"/>
        <w:jc w:val="both"/>
        <w:rPr>
          <w:rFonts w:ascii="Times New Roman" w:hAnsi="Times New Roman" w:cs="Times New Roman"/>
          <w:b/>
          <w:bCs/>
          <w:sz w:val="20"/>
          <w:szCs w:val="20"/>
        </w:rPr>
      </w:pPr>
      <w:r w:rsidRPr="006A7376">
        <w:rPr>
          <w:rFonts w:ascii="Times New Roman" w:hAnsi="Times New Roman" w:cs="Times New Roman"/>
          <w:b/>
          <w:bCs/>
          <w:sz w:val="20"/>
          <w:szCs w:val="20"/>
        </w:rPr>
        <w:t>S4. Interaction analysis</w:t>
      </w:r>
    </w:p>
    <w:p w14:paraId="0B4CD498" w14:textId="77777777" w:rsidR="007D055B" w:rsidRPr="006A7376" w:rsidRDefault="007D055B" w:rsidP="007D055B">
      <w:pPr>
        <w:spacing w:line="360" w:lineRule="auto"/>
        <w:ind w:firstLine="720"/>
        <w:jc w:val="both"/>
        <w:rPr>
          <w:rFonts w:ascii="Times New Roman" w:hAnsi="Times New Roman" w:cs="Times New Roman"/>
          <w:sz w:val="20"/>
          <w:szCs w:val="20"/>
        </w:rPr>
      </w:pPr>
      <w:r w:rsidRPr="006A7376">
        <w:rPr>
          <w:rFonts w:ascii="Times New Roman" w:hAnsi="Times New Roman" w:cs="Times New Roman"/>
          <w:sz w:val="20"/>
          <w:szCs w:val="20"/>
        </w:rPr>
        <w:t>Ligand–protein interactions were analyzed using Discovery Studio Visualizer. Two-dimensional interaction diagrams were generated to classify interaction types, while three-dimensional visualizations were used to assess binding orientation within the receptor pocket. Interactions were categorized as hydrogen bonds, π–π stacking, π–alkyl, π–cation, π–anion, and hydrophobic contacts. Hydrogen bonds were defined using a distance cutoff of ≤ 3.5 Å.</w:t>
      </w:r>
    </w:p>
    <w:p w14:paraId="1D848CA2" w14:textId="77777777" w:rsidR="007D055B" w:rsidRPr="006A7376" w:rsidRDefault="007D055B" w:rsidP="007D055B">
      <w:pPr>
        <w:spacing w:line="360" w:lineRule="auto"/>
        <w:jc w:val="both"/>
        <w:rPr>
          <w:rFonts w:ascii="Times New Roman" w:hAnsi="Times New Roman" w:cs="Times New Roman"/>
          <w:b/>
          <w:bCs/>
          <w:sz w:val="20"/>
          <w:szCs w:val="20"/>
        </w:rPr>
      </w:pPr>
      <w:r w:rsidRPr="006A7376">
        <w:rPr>
          <w:rFonts w:ascii="Times New Roman" w:hAnsi="Times New Roman" w:cs="Times New Roman"/>
          <w:b/>
          <w:bCs/>
          <w:sz w:val="20"/>
          <w:szCs w:val="20"/>
        </w:rPr>
        <w:t>S5. Molecular dynamics system setup and equilibration</w:t>
      </w:r>
    </w:p>
    <w:p w14:paraId="0113EC49" w14:textId="77777777" w:rsidR="007D055B" w:rsidRPr="006A7376" w:rsidRDefault="007D055B" w:rsidP="007D055B">
      <w:pPr>
        <w:spacing w:line="360" w:lineRule="auto"/>
        <w:ind w:firstLine="720"/>
        <w:jc w:val="both"/>
        <w:rPr>
          <w:rFonts w:ascii="Times New Roman" w:hAnsi="Times New Roman" w:cs="Times New Roman"/>
          <w:sz w:val="20"/>
          <w:szCs w:val="20"/>
        </w:rPr>
      </w:pPr>
      <w:r w:rsidRPr="006A7376">
        <w:rPr>
          <w:rFonts w:ascii="Times New Roman" w:hAnsi="Times New Roman" w:cs="Times New Roman"/>
          <w:sz w:val="20"/>
          <w:szCs w:val="20"/>
        </w:rPr>
        <w:t>The PD-L1 dimer system was solvated using an explicit TIP3P water model in a cubic simulation box, maintaining a minimum distance of 1.0 nm between the protein surface and the box boundary. Sodium and chloride ions were added to neutralize the system and achieve a physiological ionic strength of 0.15 M.</w:t>
      </w:r>
    </w:p>
    <w:p w14:paraId="745C604B" w14:textId="77777777" w:rsidR="007D055B" w:rsidRPr="006A7376" w:rsidRDefault="007D055B" w:rsidP="007D055B">
      <w:pPr>
        <w:spacing w:line="360" w:lineRule="auto"/>
        <w:ind w:firstLine="720"/>
        <w:jc w:val="both"/>
        <w:rPr>
          <w:rFonts w:ascii="Times New Roman" w:hAnsi="Times New Roman" w:cs="Times New Roman"/>
          <w:sz w:val="20"/>
          <w:szCs w:val="20"/>
        </w:rPr>
      </w:pPr>
      <w:r w:rsidRPr="006A7376">
        <w:rPr>
          <w:rFonts w:ascii="Times New Roman" w:hAnsi="Times New Roman" w:cs="Times New Roman"/>
          <w:sz w:val="20"/>
          <w:szCs w:val="20"/>
        </w:rPr>
        <w:t>Energy minimization was performed using the steepest descent algorithm until convergence below a maximum force threshold of 1000 kJ·mol⁻¹·nm⁻¹. The system was equilibrated under constant number, volume, and temperature (NVT) conditions for 500 ps, followed by constant number, pressure, and temperature (NPT) equilibration for 1 ns with position restraints applied to protein heavy atoms. Temperature was maintained at 300 K using the velocity-rescaling (V-rescale) thermostat, and pressure was controlled at 1 bar using the Parrinello–Rahman barostat.</w:t>
      </w:r>
    </w:p>
    <w:p w14:paraId="16E70ACC" w14:textId="77777777" w:rsidR="007D055B" w:rsidRPr="006A7376" w:rsidRDefault="007D055B" w:rsidP="007D055B">
      <w:pPr>
        <w:spacing w:line="360" w:lineRule="auto"/>
        <w:jc w:val="both"/>
        <w:rPr>
          <w:rFonts w:ascii="Times New Roman" w:hAnsi="Times New Roman" w:cs="Times New Roman"/>
          <w:b/>
          <w:bCs/>
          <w:sz w:val="20"/>
          <w:szCs w:val="20"/>
        </w:rPr>
      </w:pPr>
      <w:r w:rsidRPr="006A7376">
        <w:rPr>
          <w:rFonts w:ascii="Times New Roman" w:hAnsi="Times New Roman" w:cs="Times New Roman"/>
          <w:b/>
          <w:bCs/>
          <w:sz w:val="20"/>
          <w:szCs w:val="20"/>
        </w:rPr>
        <w:lastRenderedPageBreak/>
        <w:t>S6. Molecular dynamics interface analysis</w:t>
      </w:r>
    </w:p>
    <w:p w14:paraId="3895E231" w14:textId="77777777" w:rsidR="007D055B" w:rsidRPr="006A7376" w:rsidRDefault="007D055B" w:rsidP="007D055B">
      <w:pPr>
        <w:spacing w:line="360" w:lineRule="auto"/>
        <w:ind w:firstLine="720"/>
        <w:jc w:val="both"/>
        <w:rPr>
          <w:rFonts w:ascii="Times New Roman" w:hAnsi="Times New Roman" w:cs="Times New Roman"/>
          <w:sz w:val="20"/>
          <w:szCs w:val="20"/>
        </w:rPr>
      </w:pPr>
      <w:r w:rsidRPr="006A7376">
        <w:rPr>
          <w:rFonts w:ascii="Times New Roman" w:hAnsi="Times New Roman" w:cs="Times New Roman"/>
          <w:sz w:val="20"/>
          <w:szCs w:val="20"/>
        </w:rPr>
        <w:t>Inter-protomer interface stability was quantified by monitoring the number of intermolecular contacts between protomers A and B using a distance cutoff of 0.35 nm, as well as by calculating the minimum interfacial distance throughout the trajectory. Representative structural snapshots were extracted from the equilibrated trajectory at defined time points for visualization and structural comparison.</w:t>
      </w:r>
    </w:p>
    <w:p w14:paraId="69134079" w14:textId="77777777" w:rsidR="007D055B" w:rsidRPr="006A7376" w:rsidRDefault="007D055B" w:rsidP="007D055B">
      <w:pPr>
        <w:spacing w:line="360" w:lineRule="auto"/>
        <w:jc w:val="both"/>
        <w:rPr>
          <w:rFonts w:ascii="Times New Roman" w:hAnsi="Times New Roman" w:cs="Times New Roman"/>
          <w:b/>
          <w:bCs/>
          <w:sz w:val="20"/>
          <w:szCs w:val="20"/>
        </w:rPr>
      </w:pPr>
      <w:r w:rsidRPr="006A7376">
        <w:rPr>
          <w:rFonts w:ascii="Times New Roman" w:hAnsi="Times New Roman" w:cs="Times New Roman"/>
          <w:b/>
          <w:bCs/>
          <w:sz w:val="20"/>
          <w:szCs w:val="20"/>
        </w:rPr>
        <w:t>S7. Network analysis</w:t>
      </w:r>
    </w:p>
    <w:p w14:paraId="229D5786" w14:textId="77777777" w:rsidR="007D055B" w:rsidRPr="006A7376" w:rsidRDefault="007D055B" w:rsidP="007D055B">
      <w:pPr>
        <w:spacing w:line="360" w:lineRule="auto"/>
        <w:ind w:firstLine="720"/>
        <w:jc w:val="both"/>
        <w:rPr>
          <w:rFonts w:ascii="Times New Roman" w:hAnsi="Times New Roman" w:cs="Times New Roman"/>
          <w:sz w:val="20"/>
          <w:szCs w:val="20"/>
        </w:rPr>
      </w:pPr>
      <w:r w:rsidRPr="006A7376">
        <w:rPr>
          <w:rFonts w:ascii="Times New Roman" w:hAnsi="Times New Roman" w:cs="Times New Roman"/>
          <w:sz w:val="20"/>
          <w:szCs w:val="20"/>
        </w:rPr>
        <w:t>Protein–protein interaction networks were constructed using STRING v12.0, restricted to Homo sapiens with a minimum confidence score of 0.4. Interaction sources included experimental evidence, curated databases, and co-expression data, while text-mining-derived associations were excluded. Only first-shell interactors were considered.</w:t>
      </w:r>
    </w:p>
    <w:p w14:paraId="093362EF" w14:textId="77777777" w:rsidR="007D055B" w:rsidRPr="006A7376" w:rsidRDefault="007D055B" w:rsidP="007D055B">
      <w:pPr>
        <w:spacing w:line="360" w:lineRule="auto"/>
        <w:ind w:firstLine="720"/>
        <w:jc w:val="both"/>
        <w:rPr>
          <w:rFonts w:ascii="Times New Roman" w:hAnsi="Times New Roman" w:cs="Times New Roman"/>
          <w:sz w:val="20"/>
          <w:szCs w:val="20"/>
        </w:rPr>
      </w:pPr>
      <w:r w:rsidRPr="006A7376">
        <w:rPr>
          <w:rFonts w:ascii="Times New Roman" w:hAnsi="Times New Roman" w:cs="Times New Roman"/>
          <w:sz w:val="20"/>
          <w:szCs w:val="20"/>
        </w:rPr>
        <w:t>Network topology analysis was performed using STRING v12.0 and Cytoscape v3.10.4, with node degree used as the primary centrality metric. The ten nodes with the highest degree values were designated as hub genes, with CTLA-4 and PD-L1 retained as seed proteins.</w:t>
      </w:r>
    </w:p>
    <w:p w14:paraId="13672798" w14:textId="77777777" w:rsidR="007D055B" w:rsidRPr="006A7376" w:rsidRDefault="007D055B" w:rsidP="007D055B">
      <w:pPr>
        <w:spacing w:line="360" w:lineRule="auto"/>
        <w:ind w:firstLine="720"/>
        <w:jc w:val="both"/>
        <w:rPr>
          <w:rFonts w:ascii="Times New Roman" w:hAnsi="Times New Roman" w:cs="Times New Roman"/>
          <w:sz w:val="20"/>
          <w:szCs w:val="20"/>
        </w:rPr>
      </w:pPr>
      <w:r w:rsidRPr="006A7376">
        <w:rPr>
          <w:rFonts w:ascii="Times New Roman" w:hAnsi="Times New Roman" w:cs="Times New Roman"/>
          <w:sz w:val="20"/>
          <w:szCs w:val="20"/>
        </w:rPr>
        <w:t>Functional enrichment analysis was conducted using the STRING enrichment module, including Gene Ontology Biological Process, KEGG, and Reactome pathway analyses. The Homo sapiens genome was used as background, and multiple testing correction was applied using the Benjamini–Hochberg method with a false discovery rate threshold of &lt; 0.05.</w:t>
      </w:r>
    </w:p>
    <w:p w14:paraId="7766B19B" w14:textId="77777777" w:rsidR="007D055B" w:rsidRPr="006A7376" w:rsidRDefault="007D055B" w:rsidP="007D055B">
      <w:pPr>
        <w:spacing w:line="360" w:lineRule="auto"/>
        <w:ind w:firstLine="720"/>
        <w:jc w:val="both"/>
        <w:rPr>
          <w:rFonts w:ascii="Times New Roman" w:hAnsi="Times New Roman" w:cs="Times New Roman"/>
          <w:sz w:val="20"/>
          <w:szCs w:val="20"/>
        </w:rPr>
      </w:pPr>
      <w:r w:rsidRPr="006A7376">
        <w:rPr>
          <w:rFonts w:ascii="Times New Roman" w:hAnsi="Times New Roman" w:cs="Times New Roman"/>
          <w:sz w:val="20"/>
          <w:szCs w:val="20"/>
        </w:rPr>
        <w:t>Network visualization was performed using Cytoscape v3.10.4 with the Prefuse Force Directed layout. Node size was scaled according to degree centrality, and seed proteins were highlighted using contrasting colors.</w:t>
      </w:r>
    </w:p>
    <w:p w14:paraId="39B87AC6" w14:textId="77777777" w:rsidR="007D055B" w:rsidRPr="006A7376" w:rsidRDefault="007D055B" w:rsidP="007D055B">
      <w:pPr>
        <w:spacing w:line="360" w:lineRule="auto"/>
        <w:jc w:val="both"/>
        <w:rPr>
          <w:rFonts w:ascii="Times New Roman" w:hAnsi="Times New Roman" w:cs="Times New Roman"/>
          <w:b/>
          <w:bCs/>
          <w:sz w:val="20"/>
          <w:szCs w:val="20"/>
        </w:rPr>
      </w:pPr>
      <w:r w:rsidRPr="006A7376">
        <w:rPr>
          <w:rFonts w:ascii="Times New Roman" w:hAnsi="Times New Roman" w:cs="Times New Roman"/>
          <w:b/>
          <w:bCs/>
          <w:sz w:val="20"/>
          <w:szCs w:val="20"/>
        </w:rPr>
        <w:t>S8. Computational environment</w:t>
      </w:r>
    </w:p>
    <w:p w14:paraId="754AD452" w14:textId="77777777" w:rsidR="007D055B" w:rsidRPr="006A7376" w:rsidRDefault="007D055B" w:rsidP="007D055B">
      <w:pPr>
        <w:spacing w:line="360" w:lineRule="auto"/>
        <w:ind w:firstLine="720"/>
        <w:jc w:val="both"/>
        <w:rPr>
          <w:rFonts w:ascii="Times New Roman" w:hAnsi="Times New Roman" w:cs="Times New Roman"/>
          <w:sz w:val="20"/>
          <w:szCs w:val="20"/>
        </w:rPr>
      </w:pPr>
      <w:r w:rsidRPr="006A7376">
        <w:rPr>
          <w:rFonts w:ascii="Times New Roman" w:hAnsi="Times New Roman" w:cs="Times New Roman"/>
          <w:sz w:val="20"/>
          <w:szCs w:val="20"/>
        </w:rPr>
        <w:t>Docking and network analyses were performed in January 2026 using a mixed Windows 11 and Ubuntu Linux workflow. Molecular dynamics simulations and trajectory analyses were conducted on Ubuntu Linux within a conda-based environment using GROMACS v2025.4 (conda-forge build) with thread_mpi support. Molecular docking was performed using AutoDock Vina v1.2.3 via PyRx v0.8, and receptor preparation was conducted with AutoDockTools v1.5.7. Ligand format conversion used Open Babel v3.1.1.</w:t>
      </w:r>
    </w:p>
    <w:p w14:paraId="52C03830" w14:textId="77777777" w:rsidR="007D055B" w:rsidRDefault="007D055B" w:rsidP="007D055B">
      <w:pPr>
        <w:spacing w:line="360" w:lineRule="auto"/>
        <w:ind w:firstLine="720"/>
        <w:jc w:val="both"/>
        <w:rPr>
          <w:rFonts w:ascii="Times New Roman" w:hAnsi="Times New Roman" w:cs="Times New Roman"/>
          <w:sz w:val="20"/>
          <w:szCs w:val="20"/>
        </w:rPr>
      </w:pPr>
      <w:r w:rsidRPr="006A7376">
        <w:rPr>
          <w:rFonts w:ascii="Times New Roman" w:hAnsi="Times New Roman" w:cs="Times New Roman"/>
          <w:sz w:val="20"/>
          <w:szCs w:val="20"/>
        </w:rPr>
        <w:t>Target prediction was conducted using SwissTargetPrediction (database update 2023). Protein–protein interaction networks were generated using STRING v12.0, and network visualization and topology analysis were performed using Cytoscape v3.10.4 (Windows 11). Cavity detection was conducted using CB-Dock2 (2022 release). The Python environment used Python v3.13.2 with pip v25.3.</w:t>
      </w:r>
    </w:p>
    <w:p w14:paraId="33386095" w14:textId="77777777" w:rsidR="007D055B" w:rsidRPr="006A7376" w:rsidRDefault="007D055B" w:rsidP="007D055B">
      <w:pPr>
        <w:spacing w:line="360" w:lineRule="auto"/>
        <w:ind w:firstLine="720"/>
        <w:jc w:val="both"/>
        <w:rPr>
          <w:rFonts w:ascii="Times New Roman" w:hAnsi="Times New Roman" w:cs="Times New Roman"/>
          <w:sz w:val="20"/>
          <w:szCs w:val="20"/>
        </w:rPr>
      </w:pPr>
      <w:r w:rsidRPr="00F60B7F">
        <w:rPr>
          <w:rFonts w:ascii="Times New Roman" w:hAnsi="Times New Roman" w:cs="Times New Roman"/>
          <w:sz w:val="20"/>
          <w:szCs w:val="20"/>
        </w:rPr>
        <w:lastRenderedPageBreak/>
        <w:t>All molecular graphics were generated using PyMOL, and plots were prepared using Matplotlib and Microsoft Excel. Figures were exported in publication-ready electronic formats.</w:t>
      </w:r>
    </w:p>
    <w:p w14:paraId="14DDF120" w14:textId="77777777" w:rsidR="007D055B" w:rsidRPr="006A7376" w:rsidRDefault="007D055B" w:rsidP="007D055B">
      <w:pPr>
        <w:spacing w:line="360" w:lineRule="auto"/>
        <w:jc w:val="both"/>
        <w:rPr>
          <w:rFonts w:ascii="Times New Roman" w:hAnsi="Times New Roman" w:cs="Times New Roman"/>
          <w:b/>
          <w:bCs/>
          <w:sz w:val="20"/>
          <w:szCs w:val="20"/>
        </w:rPr>
      </w:pPr>
      <w:r w:rsidRPr="006A7376">
        <w:rPr>
          <w:rFonts w:ascii="Times New Roman" w:hAnsi="Times New Roman" w:cs="Times New Roman"/>
          <w:b/>
          <w:bCs/>
          <w:sz w:val="20"/>
          <w:szCs w:val="20"/>
        </w:rPr>
        <w:t>Supplementary Results</w:t>
      </w:r>
    </w:p>
    <w:p w14:paraId="2178068F" w14:textId="77777777" w:rsidR="007D055B" w:rsidRPr="006A7376" w:rsidRDefault="007D055B" w:rsidP="007D055B">
      <w:pPr>
        <w:spacing w:line="360" w:lineRule="auto"/>
        <w:jc w:val="both"/>
        <w:rPr>
          <w:rFonts w:ascii="Times New Roman" w:hAnsi="Times New Roman" w:cs="Times New Roman"/>
          <w:b/>
          <w:bCs/>
          <w:sz w:val="20"/>
          <w:szCs w:val="20"/>
        </w:rPr>
      </w:pPr>
      <w:r w:rsidRPr="006A7376">
        <w:rPr>
          <w:rFonts w:ascii="Times New Roman" w:hAnsi="Times New Roman" w:cs="Times New Roman"/>
          <w:b/>
          <w:bCs/>
          <w:sz w:val="20"/>
          <w:szCs w:val="20"/>
        </w:rPr>
        <w:t>S1. Interaction profiling of CTLA-4–ligand complexes</w:t>
      </w:r>
    </w:p>
    <w:p w14:paraId="14A05CB1" w14:textId="77777777" w:rsidR="007D055B" w:rsidRPr="006A7376" w:rsidRDefault="007D055B" w:rsidP="007D055B">
      <w:pPr>
        <w:spacing w:line="360" w:lineRule="auto"/>
        <w:ind w:firstLine="720"/>
        <w:jc w:val="both"/>
        <w:rPr>
          <w:rFonts w:ascii="Times New Roman" w:hAnsi="Times New Roman" w:cs="Times New Roman"/>
          <w:sz w:val="20"/>
          <w:szCs w:val="20"/>
        </w:rPr>
      </w:pPr>
      <w:r w:rsidRPr="006A7376">
        <w:rPr>
          <w:rFonts w:ascii="Times New Roman" w:hAnsi="Times New Roman" w:cs="Times New Roman"/>
          <w:sz w:val="20"/>
          <w:szCs w:val="20"/>
        </w:rPr>
        <w:t>Interaction profiling was performed for three representative ligands—gnetin C, quercetin, and resveratrol—selected based on docking rank and pose reproducibility. All three ligands occupied the same primary binding pocket of CTLA-4 as identified by cavity detection, exhibiting overlapping binding orientations.</w:t>
      </w:r>
    </w:p>
    <w:p w14:paraId="6710A360" w14:textId="77777777" w:rsidR="007D055B" w:rsidRPr="006A7376" w:rsidRDefault="007D055B" w:rsidP="007D055B">
      <w:pPr>
        <w:spacing w:line="360" w:lineRule="auto"/>
        <w:ind w:firstLine="720"/>
        <w:jc w:val="both"/>
        <w:rPr>
          <w:rFonts w:ascii="Times New Roman" w:hAnsi="Times New Roman" w:cs="Times New Roman"/>
          <w:sz w:val="20"/>
          <w:szCs w:val="20"/>
        </w:rPr>
      </w:pPr>
      <w:r w:rsidRPr="006A7376">
        <w:rPr>
          <w:rFonts w:ascii="Times New Roman" w:hAnsi="Times New Roman" w:cs="Times New Roman"/>
          <w:sz w:val="20"/>
          <w:szCs w:val="20"/>
        </w:rPr>
        <w:t>Gnetin C formed a predominantly hydrophobic interaction network within the CTLA-4 pocket. Recurrent π–alkyl interactions were observed with LYS A:56 and LYS A:78, accompanied by a π–anion interaction with ASP A:34. Additional van der Waals contacts involved TYR A:57, ASP A:79, and GLN A:76, resulting in a dense local contact pattern in the top-ranked docking pose.</w:t>
      </w:r>
    </w:p>
    <w:p w14:paraId="0458991B" w14:textId="77777777" w:rsidR="007D055B" w:rsidRPr="006A7376" w:rsidRDefault="007D055B" w:rsidP="007D055B">
      <w:pPr>
        <w:spacing w:line="360" w:lineRule="auto"/>
        <w:ind w:firstLine="720"/>
        <w:jc w:val="both"/>
        <w:rPr>
          <w:rFonts w:ascii="Times New Roman" w:hAnsi="Times New Roman" w:cs="Times New Roman"/>
          <w:sz w:val="20"/>
          <w:szCs w:val="20"/>
        </w:rPr>
      </w:pPr>
      <w:r w:rsidRPr="006A7376">
        <w:rPr>
          <w:rFonts w:ascii="Times New Roman" w:hAnsi="Times New Roman" w:cs="Times New Roman"/>
          <w:sz w:val="20"/>
          <w:szCs w:val="20"/>
        </w:rPr>
        <w:t>Quercetin displayed a more polar interaction profile. Conventional hydrogen bonds were detected with MET A:58 and TYR A:83, together with π–alkyl interactions involving ARG A:60 and LYS A:78 and a π–anion interaction with ASP A:79. Despite its lower docking affinity relative to gnetin C, quercetin adopted a comparable binding orientation within the same pocket.</w:t>
      </w:r>
    </w:p>
    <w:p w14:paraId="55F6649E" w14:textId="77777777" w:rsidR="007D055B" w:rsidRPr="006A7376" w:rsidRDefault="007D055B" w:rsidP="007D055B">
      <w:pPr>
        <w:spacing w:line="360" w:lineRule="auto"/>
        <w:ind w:firstLine="720"/>
        <w:jc w:val="both"/>
        <w:rPr>
          <w:rFonts w:ascii="Times New Roman" w:hAnsi="Times New Roman" w:cs="Times New Roman"/>
          <w:sz w:val="20"/>
          <w:szCs w:val="20"/>
        </w:rPr>
      </w:pPr>
      <w:r w:rsidRPr="006A7376">
        <w:rPr>
          <w:rFonts w:ascii="Times New Roman" w:hAnsi="Times New Roman" w:cs="Times New Roman"/>
          <w:sz w:val="20"/>
          <w:szCs w:val="20"/>
        </w:rPr>
        <w:t>Resveratrol engaged fewer total interactions, consistent with its weaker docking affinity. Hydrogen bonds were observed with GLU A:36 and TYR A:83, along with π–alkyl interactions involving LYS A:56 and LYS A:78 and a π–anion interaction with ASP A:34. The interacting residues largely overlapped with those observed for gnetin C and quercetin, indicating engagement of the same cavity rather than alternative-site binding.</w:t>
      </w:r>
    </w:p>
    <w:p w14:paraId="687EE9FF" w14:textId="77777777" w:rsidR="007D055B" w:rsidRPr="006A7376" w:rsidRDefault="007D055B" w:rsidP="007D055B">
      <w:pPr>
        <w:spacing w:line="360" w:lineRule="auto"/>
        <w:ind w:firstLine="720"/>
        <w:jc w:val="both"/>
        <w:rPr>
          <w:rFonts w:ascii="Times New Roman" w:hAnsi="Times New Roman" w:cs="Times New Roman"/>
          <w:sz w:val="20"/>
          <w:szCs w:val="20"/>
        </w:rPr>
      </w:pPr>
      <w:r w:rsidRPr="006A7376">
        <w:rPr>
          <w:rFonts w:ascii="Times New Roman" w:hAnsi="Times New Roman" w:cs="Times New Roman"/>
          <w:sz w:val="20"/>
          <w:szCs w:val="20"/>
        </w:rPr>
        <w:t>Across all three ligands, LYS A:56, LYS A:78, ASP A:34, and ASP A:79 emerged as recurrent contact residues. Preservation of binding location and residue overlap supports comparative analysis of CTLA-4 interaction patterns among polyphenolic scaffolds.</w:t>
      </w:r>
    </w:p>
    <w:p w14:paraId="67E3CB5A" w14:textId="77777777" w:rsidR="007D055B" w:rsidRPr="006A7376" w:rsidRDefault="007D055B" w:rsidP="007D055B">
      <w:pPr>
        <w:spacing w:line="360" w:lineRule="auto"/>
        <w:jc w:val="both"/>
        <w:rPr>
          <w:rFonts w:ascii="Times New Roman" w:hAnsi="Times New Roman" w:cs="Times New Roman"/>
          <w:b/>
          <w:bCs/>
          <w:sz w:val="20"/>
          <w:szCs w:val="20"/>
        </w:rPr>
      </w:pPr>
      <w:r w:rsidRPr="006A7376">
        <w:rPr>
          <w:rFonts w:ascii="Times New Roman" w:hAnsi="Times New Roman" w:cs="Times New Roman"/>
          <w:b/>
          <w:bCs/>
          <w:sz w:val="20"/>
          <w:szCs w:val="20"/>
        </w:rPr>
        <w:t>S2. Docking robustness and validation at the PD-L1 dimer interface</w:t>
      </w:r>
    </w:p>
    <w:p w14:paraId="28FD353B" w14:textId="77777777" w:rsidR="007D055B" w:rsidRPr="006A7376" w:rsidRDefault="007D055B" w:rsidP="007D055B">
      <w:pPr>
        <w:spacing w:line="360" w:lineRule="auto"/>
        <w:ind w:firstLine="720"/>
        <w:jc w:val="both"/>
        <w:rPr>
          <w:rFonts w:ascii="Times New Roman" w:hAnsi="Times New Roman" w:cs="Times New Roman"/>
          <w:sz w:val="20"/>
          <w:szCs w:val="20"/>
        </w:rPr>
      </w:pPr>
      <w:r w:rsidRPr="006A7376">
        <w:rPr>
          <w:rFonts w:ascii="Times New Roman" w:hAnsi="Times New Roman" w:cs="Times New Roman"/>
          <w:sz w:val="20"/>
          <w:szCs w:val="20"/>
        </w:rPr>
        <w:t>Docking simulations against the PD-L1 homodimer were conducted using a focused grid positioned at the inter-protomer interface cavity. All screened ligands converged to the same interface pocket across independent docking runs, consistent with spatial overlap observed in benchmark redocking and docking pose distributions (Figure S1). This convergence supports a shared binding region rather than nonspecific surface association.</w:t>
      </w:r>
    </w:p>
    <w:p w14:paraId="14EFE3BD" w14:textId="77777777" w:rsidR="007D055B" w:rsidRPr="006A7376" w:rsidRDefault="007D055B" w:rsidP="007D055B">
      <w:pPr>
        <w:spacing w:line="360" w:lineRule="auto"/>
        <w:ind w:firstLine="720"/>
        <w:jc w:val="both"/>
        <w:rPr>
          <w:rFonts w:ascii="Times New Roman" w:hAnsi="Times New Roman" w:cs="Times New Roman"/>
          <w:sz w:val="20"/>
          <w:szCs w:val="20"/>
        </w:rPr>
      </w:pPr>
      <w:r w:rsidRPr="006A7376">
        <w:rPr>
          <w:rFonts w:ascii="Times New Roman" w:hAnsi="Times New Roman" w:cs="Times New Roman"/>
          <w:sz w:val="20"/>
          <w:szCs w:val="20"/>
        </w:rPr>
        <w:t xml:space="preserve">To benchmark the docking protocol against an experimental reference, a co-crystallized PD-L1 interface ligand was extracted and redocked using the same grid definition applied to the screened polyphenols. The redocked pose reproduced interface localization observed in the crystal </w:t>
      </w:r>
      <w:r w:rsidRPr="006A7376">
        <w:rPr>
          <w:rFonts w:ascii="Times New Roman" w:hAnsi="Times New Roman" w:cs="Times New Roman"/>
          <w:sz w:val="20"/>
          <w:szCs w:val="20"/>
        </w:rPr>
        <w:lastRenderedPageBreak/>
        <w:t>structure, with heavy-atom RMSD values within the acceptable range for protein–protein interaction interfaces (Figure S4, Table S4).</w:t>
      </w:r>
    </w:p>
    <w:p w14:paraId="52009231" w14:textId="77777777" w:rsidR="007D055B" w:rsidRPr="006A7376" w:rsidRDefault="007D055B" w:rsidP="007D055B">
      <w:pPr>
        <w:spacing w:line="360" w:lineRule="auto"/>
        <w:ind w:firstLine="720"/>
        <w:jc w:val="both"/>
        <w:rPr>
          <w:rFonts w:ascii="Times New Roman" w:hAnsi="Times New Roman" w:cs="Times New Roman"/>
          <w:sz w:val="20"/>
          <w:szCs w:val="20"/>
        </w:rPr>
      </w:pPr>
      <w:r w:rsidRPr="006A7376">
        <w:rPr>
          <w:rFonts w:ascii="Times New Roman" w:hAnsi="Times New Roman" w:cs="Times New Roman"/>
          <w:sz w:val="20"/>
          <w:szCs w:val="20"/>
        </w:rPr>
        <w:t>Docking analyses yielded a reproducible rank order across independent runs. Gnetin C consistently ranked most favorably for the PD-L1 dimer interface pocket, followed by resveratrol and quercetin, while kaempferol, epigallocatechin gallate, and curcumin clustered in lower-ranked positions.</w:t>
      </w:r>
    </w:p>
    <w:p w14:paraId="7AF5350B" w14:textId="77777777" w:rsidR="007D055B" w:rsidRPr="006A7376" w:rsidRDefault="007D055B" w:rsidP="007D055B">
      <w:pPr>
        <w:spacing w:line="360" w:lineRule="auto"/>
        <w:ind w:firstLine="720"/>
        <w:jc w:val="both"/>
        <w:rPr>
          <w:rFonts w:ascii="Times New Roman" w:hAnsi="Times New Roman" w:cs="Times New Roman"/>
          <w:sz w:val="20"/>
          <w:szCs w:val="20"/>
        </w:rPr>
      </w:pPr>
      <w:r w:rsidRPr="006A7376">
        <w:rPr>
          <w:rFonts w:ascii="Times New Roman" w:hAnsi="Times New Roman" w:cs="Times New Roman"/>
          <w:sz w:val="20"/>
          <w:szCs w:val="20"/>
        </w:rPr>
        <w:t>To assess docking robustness, representative ligands were re-docked using five independent random seeds while maintaining identical grid coordinates and docking parameters. Resveratrol and quercetin exhibited high stability across seeds, with standard deviations of 0.02 and 0.13 kcal/mol, respectively. Gnetin C showed moderately higher variability attributable to a single lower-energy pose.</w:t>
      </w:r>
    </w:p>
    <w:p w14:paraId="2C00DFA2" w14:textId="77777777" w:rsidR="007D055B" w:rsidRPr="006A7376" w:rsidRDefault="007D055B" w:rsidP="007D055B">
      <w:pPr>
        <w:spacing w:line="360" w:lineRule="auto"/>
        <w:ind w:firstLine="720"/>
        <w:jc w:val="both"/>
        <w:rPr>
          <w:rFonts w:ascii="Times New Roman" w:hAnsi="Times New Roman" w:cs="Times New Roman"/>
          <w:sz w:val="20"/>
          <w:szCs w:val="20"/>
        </w:rPr>
      </w:pPr>
      <w:r w:rsidRPr="006A7376">
        <w:rPr>
          <w:rFonts w:ascii="Times New Roman" w:hAnsi="Times New Roman" w:cs="Times New Roman"/>
          <w:sz w:val="20"/>
          <w:szCs w:val="20"/>
        </w:rPr>
        <w:t>To contextualize docking scores obtained for polyphenolic scaffolds, the benchmark PD-L1 interface ligand was redocked using the same scoring protocol. The benchmark ligand reproduced its crystallographic interface localization and exhibited docking scores within the same numerical range as gnetin C (Table 6), supporting use of a comparable docking scale.</w:t>
      </w:r>
    </w:p>
    <w:p w14:paraId="38900E69" w14:textId="77777777" w:rsidR="007D055B" w:rsidRPr="006A7376" w:rsidRDefault="007D055B" w:rsidP="007D055B">
      <w:pPr>
        <w:spacing w:line="360" w:lineRule="auto"/>
        <w:ind w:firstLine="720"/>
        <w:jc w:val="both"/>
        <w:rPr>
          <w:rFonts w:ascii="Times New Roman" w:hAnsi="Times New Roman" w:cs="Times New Roman"/>
          <w:sz w:val="20"/>
          <w:szCs w:val="20"/>
        </w:rPr>
      </w:pPr>
      <w:r w:rsidRPr="006A7376">
        <w:rPr>
          <w:rFonts w:ascii="Times New Roman" w:hAnsi="Times New Roman" w:cs="Times New Roman"/>
          <w:sz w:val="20"/>
          <w:szCs w:val="20"/>
        </w:rPr>
        <w:t>All binding affinity values reported in Table 5 and Supplementary Table S3 were generated from the same PD-L1 dimer docking batch using identical grid parameters and exhaustiveness settings. Differences between mode-1 and mean binding energies reflect pose dispersion across generated docking modes rather than inconsistencies between docking runs.</w:t>
      </w:r>
    </w:p>
    <w:p w14:paraId="0985B3B4" w14:textId="77777777" w:rsidR="007D055B" w:rsidRPr="006A7376" w:rsidRDefault="007D055B" w:rsidP="007D055B">
      <w:pPr>
        <w:spacing w:line="360" w:lineRule="auto"/>
        <w:ind w:firstLine="720"/>
        <w:jc w:val="both"/>
        <w:rPr>
          <w:rFonts w:ascii="Times New Roman" w:hAnsi="Times New Roman" w:cs="Times New Roman"/>
          <w:sz w:val="20"/>
          <w:szCs w:val="20"/>
        </w:rPr>
      </w:pPr>
      <w:r w:rsidRPr="006A7376">
        <w:rPr>
          <w:rFonts w:ascii="Times New Roman" w:hAnsi="Times New Roman" w:cs="Times New Roman"/>
          <w:sz w:val="20"/>
          <w:szCs w:val="20"/>
        </w:rPr>
        <w:t>Decoy-based enrichment analysis further supported docking robustness by demonstrating non-random score separation between active ligands and matched decoys (Figure S2). Accordingly, docking-derived rankings are reported solely to describe interface-level ligand accommodation and reproducibility rather than biological activity or immune checkpoint inhibition.</w:t>
      </w:r>
    </w:p>
    <w:p w14:paraId="694BC6E5" w14:textId="77777777" w:rsidR="007D055B" w:rsidRPr="006A7376" w:rsidRDefault="007D055B" w:rsidP="007D055B">
      <w:pPr>
        <w:spacing w:line="360" w:lineRule="auto"/>
        <w:jc w:val="both"/>
        <w:rPr>
          <w:rFonts w:ascii="Times New Roman" w:hAnsi="Times New Roman" w:cs="Times New Roman"/>
          <w:b/>
          <w:bCs/>
          <w:sz w:val="20"/>
          <w:szCs w:val="20"/>
        </w:rPr>
      </w:pPr>
      <w:r w:rsidRPr="006A7376">
        <w:rPr>
          <w:rFonts w:ascii="Times New Roman" w:hAnsi="Times New Roman" w:cs="Times New Roman"/>
          <w:b/>
          <w:bCs/>
          <w:sz w:val="20"/>
          <w:szCs w:val="20"/>
        </w:rPr>
        <w:t>S3. Interaction profiling of PD-L1 dimer–ligand complexes</w:t>
      </w:r>
    </w:p>
    <w:p w14:paraId="1B1A3C79" w14:textId="77777777" w:rsidR="007D055B" w:rsidRPr="006A7376" w:rsidRDefault="007D055B" w:rsidP="007D055B">
      <w:pPr>
        <w:spacing w:line="360" w:lineRule="auto"/>
        <w:ind w:firstLine="720"/>
        <w:jc w:val="both"/>
        <w:rPr>
          <w:rFonts w:ascii="Times New Roman" w:hAnsi="Times New Roman" w:cs="Times New Roman"/>
          <w:sz w:val="20"/>
          <w:szCs w:val="20"/>
        </w:rPr>
      </w:pPr>
      <w:r w:rsidRPr="006A7376">
        <w:rPr>
          <w:rFonts w:ascii="Times New Roman" w:hAnsi="Times New Roman" w:cs="Times New Roman"/>
          <w:sz w:val="20"/>
          <w:szCs w:val="20"/>
        </w:rPr>
        <w:t>Interaction profiling was performed on docking poses whose placement was validated through benchmark redocking and decoy enrichment analyses (Figures S1 and S2). All three representative ligands occupied a conserved interaction hotspot at the PD-L1 dimer interface, engaging residues contributed by both protomers.</w:t>
      </w:r>
    </w:p>
    <w:p w14:paraId="588EBC68" w14:textId="77777777" w:rsidR="007D055B" w:rsidRPr="006A7376" w:rsidRDefault="007D055B" w:rsidP="007D055B">
      <w:pPr>
        <w:spacing w:line="360" w:lineRule="auto"/>
        <w:ind w:firstLine="720"/>
        <w:jc w:val="both"/>
        <w:rPr>
          <w:rFonts w:ascii="Times New Roman" w:hAnsi="Times New Roman" w:cs="Times New Roman"/>
          <w:sz w:val="20"/>
          <w:szCs w:val="20"/>
        </w:rPr>
      </w:pPr>
      <w:r w:rsidRPr="006A7376">
        <w:rPr>
          <w:rFonts w:ascii="Times New Roman" w:hAnsi="Times New Roman" w:cs="Times New Roman"/>
          <w:sz w:val="20"/>
          <w:szCs w:val="20"/>
        </w:rPr>
        <w:t>Key residues recurrently involved across complexes included Tyr56, Asp122, Ala121, and Met115. Gnetin C formed a dense interaction network spanning both PD-L1 chains, with electrostatic interactions involving Asp122, π–cation contacts with Lys124 and Arg125, π–π stacking with Tyr56, and hydrophobic contacts with Ala121 and Met115.</w:t>
      </w:r>
    </w:p>
    <w:p w14:paraId="76DEC270" w14:textId="77777777" w:rsidR="007D055B" w:rsidRPr="006A7376" w:rsidRDefault="007D055B" w:rsidP="007D055B">
      <w:pPr>
        <w:spacing w:line="360" w:lineRule="auto"/>
        <w:ind w:firstLine="720"/>
        <w:jc w:val="both"/>
        <w:rPr>
          <w:rFonts w:ascii="Times New Roman" w:hAnsi="Times New Roman" w:cs="Times New Roman"/>
          <w:sz w:val="20"/>
          <w:szCs w:val="20"/>
        </w:rPr>
      </w:pPr>
      <w:r w:rsidRPr="006A7376">
        <w:rPr>
          <w:rFonts w:ascii="Times New Roman" w:hAnsi="Times New Roman" w:cs="Times New Roman"/>
          <w:sz w:val="20"/>
          <w:szCs w:val="20"/>
        </w:rPr>
        <w:t xml:space="preserve">Quercetin exhibited a more compact interaction profile dominated by aromatic stacking with Tyr56 and polar contacts with Asp122 and Tyr123, supported by hydrophobic interactions with </w:t>
      </w:r>
      <w:r w:rsidRPr="006A7376">
        <w:rPr>
          <w:rFonts w:ascii="Times New Roman" w:hAnsi="Times New Roman" w:cs="Times New Roman"/>
          <w:sz w:val="20"/>
          <w:szCs w:val="20"/>
        </w:rPr>
        <w:lastRenderedPageBreak/>
        <w:t>Ala121 and Met115. Despite fewer electrostatic interactions, quercetin adopted a centrally positioned orientation within the interface cavity.</w:t>
      </w:r>
    </w:p>
    <w:p w14:paraId="5AD628AA" w14:textId="77777777" w:rsidR="007D055B" w:rsidRPr="006A7376" w:rsidRDefault="007D055B" w:rsidP="007D055B">
      <w:pPr>
        <w:spacing w:line="360" w:lineRule="auto"/>
        <w:ind w:firstLine="720"/>
        <w:jc w:val="both"/>
        <w:rPr>
          <w:rFonts w:ascii="Times New Roman" w:hAnsi="Times New Roman" w:cs="Times New Roman"/>
          <w:sz w:val="20"/>
          <w:szCs w:val="20"/>
        </w:rPr>
      </w:pPr>
      <w:r w:rsidRPr="006A7376">
        <w:rPr>
          <w:rFonts w:ascii="Times New Roman" w:hAnsi="Times New Roman" w:cs="Times New Roman"/>
          <w:sz w:val="20"/>
          <w:szCs w:val="20"/>
        </w:rPr>
        <w:t>Resveratrol engaged fewer stabilizing interactions within the same interface pocket, relying primarily on π–π stacking with Tyr56 and hydrophobic contacts with Ala121 and Met115. The presence of unfavorable donor–donor contacts near Tyr123 contributed to its reduced docking affinity relative to gnetin C and quercetin.</w:t>
      </w:r>
    </w:p>
    <w:p w14:paraId="64E2E3D6" w14:textId="77777777" w:rsidR="007D055B" w:rsidRPr="006A7376" w:rsidRDefault="007D055B" w:rsidP="007D055B">
      <w:pPr>
        <w:spacing w:line="360" w:lineRule="auto"/>
        <w:ind w:firstLine="720"/>
        <w:jc w:val="both"/>
        <w:rPr>
          <w:rFonts w:ascii="Times New Roman" w:hAnsi="Times New Roman" w:cs="Times New Roman"/>
          <w:sz w:val="20"/>
          <w:szCs w:val="20"/>
        </w:rPr>
      </w:pPr>
      <w:r w:rsidRPr="006A7376">
        <w:rPr>
          <w:rFonts w:ascii="Times New Roman" w:hAnsi="Times New Roman" w:cs="Times New Roman"/>
          <w:sz w:val="20"/>
          <w:szCs w:val="20"/>
        </w:rPr>
        <w:t>Across all complexes, recurrence of identical interface residues confirmed a shared binding mechanism at the PD-L1 dimer interface. Consistency between redocked benchmark ligands and screened polyphenols further supports the structural relevance of the selected PD-L1 interface cavity.</w:t>
      </w:r>
    </w:p>
    <w:p w14:paraId="6F4B8007" w14:textId="77777777" w:rsidR="007D055B" w:rsidRPr="006A7376" w:rsidRDefault="007D055B" w:rsidP="007D055B">
      <w:pPr>
        <w:spacing w:line="360" w:lineRule="auto"/>
        <w:jc w:val="both"/>
        <w:rPr>
          <w:rFonts w:ascii="Times New Roman" w:hAnsi="Times New Roman" w:cs="Times New Roman"/>
          <w:b/>
          <w:bCs/>
          <w:sz w:val="20"/>
          <w:szCs w:val="20"/>
        </w:rPr>
      </w:pPr>
      <w:r w:rsidRPr="006A7376">
        <w:rPr>
          <w:rFonts w:ascii="Times New Roman" w:hAnsi="Times New Roman" w:cs="Times New Roman"/>
          <w:b/>
          <w:bCs/>
          <w:sz w:val="20"/>
          <w:szCs w:val="20"/>
        </w:rPr>
        <w:t>S4. Protein–protein interaction network characteristics</w:t>
      </w:r>
    </w:p>
    <w:p w14:paraId="3E7B6CFA" w14:textId="77777777" w:rsidR="007D055B" w:rsidRPr="006A7376" w:rsidRDefault="007D055B" w:rsidP="007D055B">
      <w:pPr>
        <w:spacing w:line="360" w:lineRule="auto"/>
        <w:jc w:val="both"/>
        <w:rPr>
          <w:rFonts w:ascii="Times New Roman" w:hAnsi="Times New Roman" w:cs="Times New Roman"/>
          <w:b/>
          <w:bCs/>
          <w:sz w:val="20"/>
          <w:szCs w:val="20"/>
        </w:rPr>
      </w:pPr>
      <w:r w:rsidRPr="006A7376">
        <w:rPr>
          <w:rFonts w:ascii="Times New Roman" w:hAnsi="Times New Roman" w:cs="Times New Roman"/>
          <w:b/>
          <w:bCs/>
          <w:sz w:val="20"/>
          <w:szCs w:val="20"/>
        </w:rPr>
        <w:t>S4.1 CTLA-4–centered network</w:t>
      </w:r>
    </w:p>
    <w:p w14:paraId="201083F8" w14:textId="77777777" w:rsidR="007D055B" w:rsidRPr="006A7376" w:rsidRDefault="007D055B" w:rsidP="007D055B">
      <w:pPr>
        <w:spacing w:line="360" w:lineRule="auto"/>
        <w:ind w:firstLine="720"/>
        <w:jc w:val="both"/>
        <w:rPr>
          <w:rFonts w:ascii="Times New Roman" w:hAnsi="Times New Roman" w:cs="Times New Roman"/>
          <w:sz w:val="20"/>
          <w:szCs w:val="20"/>
        </w:rPr>
      </w:pPr>
      <w:r w:rsidRPr="006A7376">
        <w:rPr>
          <w:rFonts w:ascii="Times New Roman" w:hAnsi="Times New Roman" w:cs="Times New Roman"/>
          <w:sz w:val="20"/>
          <w:szCs w:val="20"/>
        </w:rPr>
        <w:t>The CTLA-4–centered protein–protein interaction network comprised 11 nodes connected by 19 edges, exceeding the expected 10 edges for a random network of similar size. The average node degree was 3.45, and the average local clustering coefficient was 0.848. The PPI enrichment p-value was 0.00939, indicating statistically significant interaction enrichment.</w:t>
      </w:r>
    </w:p>
    <w:p w14:paraId="34A39012" w14:textId="77777777" w:rsidR="007D055B" w:rsidRPr="006A7376" w:rsidRDefault="007D055B" w:rsidP="007D055B">
      <w:pPr>
        <w:spacing w:line="360" w:lineRule="auto"/>
        <w:ind w:firstLine="720"/>
        <w:jc w:val="both"/>
        <w:rPr>
          <w:rFonts w:ascii="Times New Roman" w:hAnsi="Times New Roman" w:cs="Times New Roman"/>
          <w:sz w:val="20"/>
          <w:szCs w:val="20"/>
        </w:rPr>
      </w:pPr>
      <w:r w:rsidRPr="006A7376">
        <w:rPr>
          <w:rFonts w:ascii="Times New Roman" w:hAnsi="Times New Roman" w:cs="Times New Roman"/>
          <w:sz w:val="20"/>
          <w:szCs w:val="20"/>
        </w:rPr>
        <w:t>CTLA-4 occupied the central hub position within the network. Several immunoglobulin heavy variable (IGHV) genes, including IGHV3-16 and IGHV3-43D, formed a tightly connected subcluster linked to CTLA-4. Additional interacting nodes included CD80, CD86, ICOS, and PTPN6, producing a star-like topology centered on the immune checkpoint protein.</w:t>
      </w:r>
    </w:p>
    <w:p w14:paraId="01DAC741" w14:textId="77777777" w:rsidR="007D055B" w:rsidRPr="006A7376" w:rsidRDefault="007D055B" w:rsidP="007D055B">
      <w:pPr>
        <w:spacing w:line="360" w:lineRule="auto"/>
        <w:jc w:val="both"/>
        <w:rPr>
          <w:rFonts w:ascii="Times New Roman" w:hAnsi="Times New Roman" w:cs="Times New Roman"/>
          <w:b/>
          <w:bCs/>
          <w:sz w:val="20"/>
          <w:szCs w:val="20"/>
        </w:rPr>
      </w:pPr>
      <w:r w:rsidRPr="006A7376">
        <w:rPr>
          <w:rFonts w:ascii="Times New Roman" w:hAnsi="Times New Roman" w:cs="Times New Roman"/>
          <w:b/>
          <w:bCs/>
          <w:sz w:val="20"/>
          <w:szCs w:val="20"/>
        </w:rPr>
        <w:t>S4.2 PD-L1–centered network</w:t>
      </w:r>
    </w:p>
    <w:p w14:paraId="411AAB61" w14:textId="77777777" w:rsidR="007D055B" w:rsidRPr="006A7376" w:rsidRDefault="007D055B" w:rsidP="007D055B">
      <w:pPr>
        <w:spacing w:line="360" w:lineRule="auto"/>
        <w:ind w:firstLine="720"/>
        <w:jc w:val="both"/>
        <w:rPr>
          <w:rFonts w:ascii="Times New Roman" w:hAnsi="Times New Roman" w:cs="Times New Roman"/>
          <w:sz w:val="20"/>
          <w:szCs w:val="20"/>
        </w:rPr>
      </w:pPr>
      <w:r w:rsidRPr="006A7376">
        <w:rPr>
          <w:rFonts w:ascii="Times New Roman" w:hAnsi="Times New Roman" w:cs="Times New Roman"/>
          <w:sz w:val="20"/>
          <w:szCs w:val="20"/>
        </w:rPr>
        <w:t>The PD-L1–centered network comprised 11 nodes and 21 edges, compared with an expected 11 edges, yielding a PPI enrichment p-value of 0.00357. The average node degree was 3.82, and the average local clustering coefficient was 0.853, reflecting dense network connectivity.</w:t>
      </w:r>
    </w:p>
    <w:p w14:paraId="372D8CDF" w14:textId="77777777" w:rsidR="007D055B" w:rsidRPr="006A7376" w:rsidRDefault="007D055B" w:rsidP="007D055B">
      <w:pPr>
        <w:spacing w:line="360" w:lineRule="auto"/>
        <w:ind w:firstLine="720"/>
        <w:jc w:val="both"/>
        <w:rPr>
          <w:rFonts w:ascii="Times New Roman" w:hAnsi="Times New Roman" w:cs="Times New Roman"/>
          <w:sz w:val="20"/>
          <w:szCs w:val="20"/>
        </w:rPr>
      </w:pPr>
      <w:r w:rsidRPr="006A7376">
        <w:rPr>
          <w:rFonts w:ascii="Times New Roman" w:hAnsi="Times New Roman" w:cs="Times New Roman"/>
          <w:sz w:val="20"/>
          <w:szCs w:val="20"/>
        </w:rPr>
        <w:t>CD274 (PD-L1) emerged as the dominant hub, with direct interactions involving PDCD1, PDCD1LG2, CD80, STAT3, and PTPN11. A distinct subnetwork comprising COG1, COG3, and COG5 was also connected to the central node. Relative to the CTLA-4 network, the PD-L1 network exhibited higher edge density and a broader distribution of interactions beyond immediate immune checkpoint partners.</w:t>
      </w:r>
    </w:p>
    <w:p w14:paraId="69820F51" w14:textId="77777777" w:rsidR="007D055B" w:rsidRPr="006A7376" w:rsidRDefault="007D055B" w:rsidP="007D055B">
      <w:pPr>
        <w:spacing w:line="360" w:lineRule="auto"/>
        <w:jc w:val="both"/>
        <w:rPr>
          <w:rFonts w:ascii="Times New Roman" w:hAnsi="Times New Roman" w:cs="Times New Roman"/>
          <w:b/>
          <w:bCs/>
          <w:sz w:val="20"/>
          <w:szCs w:val="20"/>
        </w:rPr>
      </w:pPr>
      <w:r w:rsidRPr="006A7376">
        <w:rPr>
          <w:rFonts w:ascii="Times New Roman" w:hAnsi="Times New Roman" w:cs="Times New Roman"/>
          <w:b/>
          <w:bCs/>
          <w:sz w:val="20"/>
          <w:szCs w:val="20"/>
        </w:rPr>
        <w:t>S4.3 Network topology overview</w:t>
      </w:r>
    </w:p>
    <w:p w14:paraId="3D927B21" w14:textId="77777777" w:rsidR="007D055B" w:rsidRPr="006A7376" w:rsidRDefault="007D055B" w:rsidP="007D055B">
      <w:pPr>
        <w:spacing w:line="360" w:lineRule="auto"/>
        <w:ind w:firstLine="720"/>
        <w:jc w:val="both"/>
        <w:rPr>
          <w:rFonts w:ascii="Times New Roman" w:hAnsi="Times New Roman" w:cs="Times New Roman"/>
          <w:sz w:val="20"/>
          <w:szCs w:val="20"/>
        </w:rPr>
      </w:pPr>
      <w:r w:rsidRPr="006A7376">
        <w:rPr>
          <w:rFonts w:ascii="Times New Roman" w:hAnsi="Times New Roman" w:cs="Times New Roman"/>
          <w:sz w:val="20"/>
          <w:szCs w:val="20"/>
        </w:rPr>
        <w:t>Both CTLA-4– and PD-L1–centered networks demonstrated statistically significant enrichment of protein–protein interactions. In each network, the immune checkpoint protein functioned as the dominant hub, with secondary clustering among immune-related signaling and immunoglobulin-associated proteins. These network characteristics provide a structured framework for functional enrichment analyses presented in the main manuscript.</w:t>
      </w:r>
    </w:p>
    <w:p w14:paraId="378A7FA0" w14:textId="77777777" w:rsidR="007D055B" w:rsidRPr="006A7376" w:rsidRDefault="007D055B" w:rsidP="007D055B">
      <w:pPr>
        <w:spacing w:line="360" w:lineRule="auto"/>
        <w:jc w:val="both"/>
        <w:rPr>
          <w:rFonts w:ascii="Times New Roman" w:hAnsi="Times New Roman" w:cs="Times New Roman"/>
          <w:b/>
          <w:bCs/>
          <w:sz w:val="20"/>
          <w:szCs w:val="20"/>
        </w:rPr>
      </w:pPr>
      <w:r w:rsidRPr="006A7376">
        <w:rPr>
          <w:rFonts w:ascii="Times New Roman" w:hAnsi="Times New Roman" w:cs="Times New Roman"/>
          <w:b/>
          <w:bCs/>
          <w:sz w:val="20"/>
          <w:szCs w:val="20"/>
        </w:rPr>
        <w:lastRenderedPageBreak/>
        <w:t>Supplementary Table</w:t>
      </w:r>
    </w:p>
    <w:tbl>
      <w:tblPr>
        <w:tblStyle w:val="TableGrid"/>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643"/>
        <w:gridCol w:w="2643"/>
        <w:gridCol w:w="2644"/>
      </w:tblGrid>
      <w:tr w:rsidR="007D055B" w:rsidRPr="006A7376" w14:paraId="7C83B963" w14:textId="77777777" w:rsidTr="005501B9">
        <w:tc>
          <w:tcPr>
            <w:tcW w:w="2643" w:type="dxa"/>
          </w:tcPr>
          <w:p w14:paraId="574EE069"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b/>
                <w:bCs/>
                <w:sz w:val="20"/>
                <w:szCs w:val="20"/>
              </w:rPr>
              <w:t>Ligand</w:t>
            </w:r>
          </w:p>
        </w:tc>
        <w:tc>
          <w:tcPr>
            <w:tcW w:w="2643" w:type="dxa"/>
          </w:tcPr>
          <w:p w14:paraId="0803FA55"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b/>
                <w:bCs/>
                <w:sz w:val="20"/>
                <w:szCs w:val="20"/>
              </w:rPr>
              <w:t>Mean docking score (kcal/mol)</w:t>
            </w:r>
          </w:p>
        </w:tc>
        <w:tc>
          <w:tcPr>
            <w:tcW w:w="2644" w:type="dxa"/>
          </w:tcPr>
          <w:p w14:paraId="1BA74EB8"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b/>
                <w:bCs/>
                <w:sz w:val="20"/>
                <w:szCs w:val="20"/>
              </w:rPr>
              <w:t>SD</w:t>
            </w:r>
          </w:p>
        </w:tc>
      </w:tr>
      <w:tr w:rsidR="007D055B" w:rsidRPr="006A7376" w14:paraId="073F2A99" w14:textId="77777777" w:rsidTr="005501B9">
        <w:tc>
          <w:tcPr>
            <w:tcW w:w="2643" w:type="dxa"/>
          </w:tcPr>
          <w:p w14:paraId="646C1548" w14:textId="77777777" w:rsidR="007D055B" w:rsidRPr="006A7376" w:rsidRDefault="007D055B" w:rsidP="005501B9">
            <w:pPr>
              <w:spacing w:line="360" w:lineRule="auto"/>
              <w:rPr>
                <w:rFonts w:ascii="Times New Roman" w:hAnsi="Times New Roman" w:cs="Times New Roman"/>
                <w:sz w:val="20"/>
                <w:szCs w:val="20"/>
              </w:rPr>
            </w:pPr>
            <w:r w:rsidRPr="006A7376">
              <w:rPr>
                <w:rFonts w:ascii="Times New Roman" w:hAnsi="Times New Roman" w:cs="Times New Roman"/>
                <w:sz w:val="20"/>
                <w:szCs w:val="20"/>
              </w:rPr>
              <w:t>Gnetin C</w:t>
            </w:r>
          </w:p>
        </w:tc>
        <w:tc>
          <w:tcPr>
            <w:tcW w:w="2643" w:type="dxa"/>
          </w:tcPr>
          <w:p w14:paraId="217950FC" w14:textId="77777777" w:rsidR="007D055B" w:rsidRPr="006A7376" w:rsidRDefault="007D055B" w:rsidP="005501B9">
            <w:pPr>
              <w:spacing w:line="360" w:lineRule="auto"/>
              <w:rPr>
                <w:rFonts w:ascii="Times New Roman" w:hAnsi="Times New Roman" w:cs="Times New Roman"/>
                <w:sz w:val="20"/>
                <w:szCs w:val="20"/>
              </w:rPr>
            </w:pPr>
            <w:r w:rsidRPr="006A7376">
              <w:rPr>
                <w:rFonts w:ascii="Times New Roman" w:hAnsi="Times New Roman" w:cs="Times New Roman"/>
                <w:sz w:val="20"/>
                <w:szCs w:val="20"/>
              </w:rPr>
              <w:t>−9.45</w:t>
            </w:r>
          </w:p>
        </w:tc>
        <w:tc>
          <w:tcPr>
            <w:tcW w:w="2644" w:type="dxa"/>
          </w:tcPr>
          <w:p w14:paraId="4624A79E" w14:textId="77777777" w:rsidR="007D055B" w:rsidRPr="006A7376" w:rsidRDefault="007D055B" w:rsidP="005501B9">
            <w:pPr>
              <w:spacing w:line="360" w:lineRule="auto"/>
              <w:rPr>
                <w:rFonts w:ascii="Times New Roman" w:hAnsi="Times New Roman" w:cs="Times New Roman"/>
                <w:sz w:val="20"/>
                <w:szCs w:val="20"/>
              </w:rPr>
            </w:pPr>
            <w:r w:rsidRPr="006A7376">
              <w:rPr>
                <w:rFonts w:ascii="Times New Roman" w:hAnsi="Times New Roman" w:cs="Times New Roman"/>
                <w:sz w:val="20"/>
                <w:szCs w:val="20"/>
              </w:rPr>
              <w:t>0.56</w:t>
            </w:r>
          </w:p>
        </w:tc>
      </w:tr>
      <w:tr w:rsidR="007D055B" w:rsidRPr="006A7376" w14:paraId="722D0E02" w14:textId="77777777" w:rsidTr="005501B9">
        <w:tc>
          <w:tcPr>
            <w:tcW w:w="2643" w:type="dxa"/>
          </w:tcPr>
          <w:p w14:paraId="1D51ED07" w14:textId="77777777" w:rsidR="007D055B" w:rsidRPr="006A7376" w:rsidRDefault="007D055B" w:rsidP="005501B9">
            <w:pPr>
              <w:spacing w:line="360" w:lineRule="auto"/>
              <w:rPr>
                <w:rFonts w:ascii="Times New Roman" w:hAnsi="Times New Roman" w:cs="Times New Roman"/>
                <w:sz w:val="20"/>
                <w:szCs w:val="20"/>
              </w:rPr>
            </w:pPr>
            <w:r w:rsidRPr="006A7376">
              <w:rPr>
                <w:rFonts w:ascii="Times New Roman" w:hAnsi="Times New Roman" w:cs="Times New Roman"/>
                <w:sz w:val="20"/>
                <w:szCs w:val="20"/>
              </w:rPr>
              <w:t>Quercetin</w:t>
            </w:r>
          </w:p>
        </w:tc>
        <w:tc>
          <w:tcPr>
            <w:tcW w:w="2643" w:type="dxa"/>
          </w:tcPr>
          <w:p w14:paraId="6AFED6EB" w14:textId="77777777" w:rsidR="007D055B" w:rsidRPr="006A7376" w:rsidRDefault="007D055B" w:rsidP="005501B9">
            <w:pPr>
              <w:spacing w:line="360" w:lineRule="auto"/>
              <w:rPr>
                <w:rFonts w:ascii="Times New Roman" w:hAnsi="Times New Roman" w:cs="Times New Roman"/>
                <w:sz w:val="20"/>
                <w:szCs w:val="20"/>
              </w:rPr>
            </w:pPr>
            <w:r w:rsidRPr="006A7376">
              <w:rPr>
                <w:rFonts w:ascii="Times New Roman" w:hAnsi="Times New Roman" w:cs="Times New Roman"/>
                <w:sz w:val="20"/>
                <w:szCs w:val="20"/>
              </w:rPr>
              <w:t>−7.77</w:t>
            </w:r>
          </w:p>
        </w:tc>
        <w:tc>
          <w:tcPr>
            <w:tcW w:w="2644" w:type="dxa"/>
          </w:tcPr>
          <w:p w14:paraId="4D87EA1C" w14:textId="77777777" w:rsidR="007D055B" w:rsidRPr="006A7376" w:rsidRDefault="007D055B" w:rsidP="005501B9">
            <w:pPr>
              <w:spacing w:line="360" w:lineRule="auto"/>
              <w:rPr>
                <w:rFonts w:ascii="Times New Roman" w:hAnsi="Times New Roman" w:cs="Times New Roman"/>
                <w:sz w:val="20"/>
                <w:szCs w:val="20"/>
              </w:rPr>
            </w:pPr>
            <w:r w:rsidRPr="006A7376">
              <w:rPr>
                <w:rFonts w:ascii="Times New Roman" w:hAnsi="Times New Roman" w:cs="Times New Roman"/>
                <w:sz w:val="20"/>
                <w:szCs w:val="20"/>
              </w:rPr>
              <w:t>0.13</w:t>
            </w:r>
          </w:p>
        </w:tc>
      </w:tr>
      <w:tr w:rsidR="007D055B" w:rsidRPr="006A7376" w14:paraId="5E2CC7ED" w14:textId="77777777" w:rsidTr="005501B9">
        <w:tc>
          <w:tcPr>
            <w:tcW w:w="2643" w:type="dxa"/>
          </w:tcPr>
          <w:p w14:paraId="457F5AC3" w14:textId="77777777" w:rsidR="007D055B" w:rsidRPr="006A7376" w:rsidRDefault="007D055B" w:rsidP="005501B9">
            <w:pPr>
              <w:spacing w:line="360" w:lineRule="auto"/>
              <w:rPr>
                <w:rFonts w:ascii="Times New Roman" w:hAnsi="Times New Roman" w:cs="Times New Roman"/>
                <w:sz w:val="20"/>
                <w:szCs w:val="20"/>
              </w:rPr>
            </w:pPr>
            <w:r w:rsidRPr="006A7376">
              <w:rPr>
                <w:rFonts w:ascii="Times New Roman" w:hAnsi="Times New Roman" w:cs="Times New Roman"/>
                <w:sz w:val="20"/>
                <w:szCs w:val="20"/>
              </w:rPr>
              <w:t>Resveratrol</w:t>
            </w:r>
          </w:p>
        </w:tc>
        <w:tc>
          <w:tcPr>
            <w:tcW w:w="2643" w:type="dxa"/>
          </w:tcPr>
          <w:p w14:paraId="41C9C461" w14:textId="77777777" w:rsidR="007D055B" w:rsidRPr="006A7376" w:rsidRDefault="007D055B" w:rsidP="005501B9">
            <w:pPr>
              <w:spacing w:line="360" w:lineRule="auto"/>
              <w:rPr>
                <w:rFonts w:ascii="Times New Roman" w:hAnsi="Times New Roman" w:cs="Times New Roman"/>
                <w:sz w:val="20"/>
                <w:szCs w:val="20"/>
              </w:rPr>
            </w:pPr>
            <w:r w:rsidRPr="006A7376">
              <w:rPr>
                <w:rFonts w:ascii="Times New Roman" w:hAnsi="Times New Roman" w:cs="Times New Roman"/>
                <w:sz w:val="20"/>
                <w:szCs w:val="20"/>
              </w:rPr>
              <w:t>−8.48</w:t>
            </w:r>
          </w:p>
        </w:tc>
        <w:tc>
          <w:tcPr>
            <w:tcW w:w="2644" w:type="dxa"/>
          </w:tcPr>
          <w:p w14:paraId="747F9966" w14:textId="77777777" w:rsidR="007D055B" w:rsidRPr="006A7376" w:rsidRDefault="007D055B" w:rsidP="005501B9">
            <w:pPr>
              <w:spacing w:line="360" w:lineRule="auto"/>
              <w:rPr>
                <w:rFonts w:ascii="Times New Roman" w:hAnsi="Times New Roman" w:cs="Times New Roman"/>
                <w:sz w:val="20"/>
                <w:szCs w:val="20"/>
              </w:rPr>
            </w:pPr>
            <w:r w:rsidRPr="006A7376">
              <w:rPr>
                <w:rFonts w:ascii="Times New Roman" w:hAnsi="Times New Roman" w:cs="Times New Roman"/>
                <w:sz w:val="20"/>
                <w:szCs w:val="20"/>
              </w:rPr>
              <w:t>0.02</w:t>
            </w:r>
          </w:p>
        </w:tc>
      </w:tr>
    </w:tbl>
    <w:p w14:paraId="76FEC242" w14:textId="77777777" w:rsidR="007D055B" w:rsidRPr="006A7376" w:rsidRDefault="007D055B" w:rsidP="007D055B">
      <w:pPr>
        <w:spacing w:line="360" w:lineRule="auto"/>
        <w:jc w:val="center"/>
        <w:rPr>
          <w:rFonts w:ascii="Times New Roman" w:hAnsi="Times New Roman" w:cs="Times New Roman"/>
          <w:sz w:val="20"/>
          <w:szCs w:val="20"/>
        </w:rPr>
      </w:pPr>
      <w:r w:rsidRPr="006A7376">
        <w:rPr>
          <w:rFonts w:ascii="Times New Roman" w:hAnsi="Times New Roman" w:cs="Times New Roman"/>
          <w:b/>
          <w:bCs/>
          <w:sz w:val="20"/>
          <w:szCs w:val="20"/>
        </w:rPr>
        <w:t>Table S1.</w:t>
      </w:r>
      <w:r w:rsidRPr="006A7376">
        <w:rPr>
          <w:rFonts w:ascii="Times New Roman" w:hAnsi="Times New Roman" w:cs="Times New Roman"/>
          <w:sz w:val="20"/>
          <w:szCs w:val="20"/>
        </w:rPr>
        <w:t xml:space="preserve"> Multi-seed docking stability at the PD-L1 dimer interface.</w:t>
      </w:r>
    </w:p>
    <w:tbl>
      <w:tblPr>
        <w:tblStyle w:val="TableGrid"/>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86"/>
        <w:gridCol w:w="1586"/>
        <w:gridCol w:w="1586"/>
        <w:gridCol w:w="1586"/>
        <w:gridCol w:w="1586"/>
      </w:tblGrid>
      <w:tr w:rsidR="007D055B" w:rsidRPr="006A7376" w14:paraId="3A0D1BC3" w14:textId="77777777" w:rsidTr="005501B9">
        <w:tc>
          <w:tcPr>
            <w:tcW w:w="1586" w:type="dxa"/>
            <w:vAlign w:val="center"/>
          </w:tcPr>
          <w:p w14:paraId="266F6526"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b/>
                <w:bCs/>
                <w:sz w:val="20"/>
                <w:szCs w:val="20"/>
              </w:rPr>
              <w:t>Ligand</w:t>
            </w:r>
          </w:p>
        </w:tc>
        <w:tc>
          <w:tcPr>
            <w:tcW w:w="1586" w:type="dxa"/>
            <w:vAlign w:val="center"/>
          </w:tcPr>
          <w:p w14:paraId="1A88305C"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b/>
                <w:bCs/>
                <w:sz w:val="20"/>
                <w:szCs w:val="20"/>
              </w:rPr>
              <w:t>Docking context</w:t>
            </w:r>
          </w:p>
        </w:tc>
        <w:tc>
          <w:tcPr>
            <w:tcW w:w="1586" w:type="dxa"/>
            <w:vAlign w:val="center"/>
          </w:tcPr>
          <w:p w14:paraId="75B3ECD2"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b/>
                <w:bCs/>
                <w:sz w:val="20"/>
                <w:szCs w:val="20"/>
              </w:rPr>
              <w:t>Mode-1 docking score (kcal/mol)</w:t>
            </w:r>
          </w:p>
        </w:tc>
        <w:tc>
          <w:tcPr>
            <w:tcW w:w="1586" w:type="dxa"/>
            <w:vAlign w:val="center"/>
          </w:tcPr>
          <w:p w14:paraId="1291255C"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b/>
                <w:bCs/>
                <w:sz w:val="20"/>
                <w:szCs w:val="20"/>
              </w:rPr>
              <w:t>Redocking RMSD (Å)</w:t>
            </w:r>
          </w:p>
        </w:tc>
        <w:tc>
          <w:tcPr>
            <w:tcW w:w="1586" w:type="dxa"/>
            <w:vAlign w:val="center"/>
          </w:tcPr>
          <w:p w14:paraId="6552F1A4"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b/>
                <w:bCs/>
                <w:sz w:val="20"/>
                <w:szCs w:val="20"/>
              </w:rPr>
              <w:t>Interpretation</w:t>
            </w:r>
          </w:p>
        </w:tc>
      </w:tr>
      <w:tr w:rsidR="007D055B" w:rsidRPr="006A7376" w14:paraId="3337716E" w14:textId="77777777" w:rsidTr="005501B9">
        <w:tc>
          <w:tcPr>
            <w:tcW w:w="1586" w:type="dxa"/>
            <w:vAlign w:val="center"/>
          </w:tcPr>
          <w:p w14:paraId="23EED2FF"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sz w:val="20"/>
                <w:szCs w:val="20"/>
              </w:rPr>
              <w:t>Benchmark PD-L1 ligand</w:t>
            </w:r>
          </w:p>
        </w:tc>
        <w:tc>
          <w:tcPr>
            <w:tcW w:w="1586" w:type="dxa"/>
            <w:vAlign w:val="center"/>
          </w:tcPr>
          <w:p w14:paraId="1C213B3C"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sz w:val="20"/>
                <w:szCs w:val="20"/>
              </w:rPr>
              <w:t>PD-L1 dimer</w:t>
            </w:r>
          </w:p>
        </w:tc>
        <w:tc>
          <w:tcPr>
            <w:tcW w:w="1586" w:type="dxa"/>
            <w:vAlign w:val="center"/>
          </w:tcPr>
          <w:p w14:paraId="41EA21EC"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sz w:val="20"/>
                <w:szCs w:val="20"/>
              </w:rPr>
              <w:t>−8.7</w:t>
            </w:r>
          </w:p>
        </w:tc>
        <w:tc>
          <w:tcPr>
            <w:tcW w:w="1586" w:type="dxa"/>
            <w:vAlign w:val="center"/>
          </w:tcPr>
          <w:p w14:paraId="4E242C41"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sz w:val="20"/>
                <w:szCs w:val="20"/>
              </w:rPr>
              <w:t>2.28 ± 0.11</w:t>
            </w:r>
          </w:p>
        </w:tc>
        <w:tc>
          <w:tcPr>
            <w:tcW w:w="1586" w:type="dxa"/>
            <w:vAlign w:val="center"/>
          </w:tcPr>
          <w:p w14:paraId="5CC2AB6E"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sz w:val="20"/>
                <w:szCs w:val="20"/>
              </w:rPr>
              <w:t>Experimental reference</w:t>
            </w:r>
          </w:p>
        </w:tc>
      </w:tr>
      <w:tr w:rsidR="007D055B" w:rsidRPr="006A7376" w14:paraId="2304F90F" w14:textId="77777777" w:rsidTr="005501B9">
        <w:tc>
          <w:tcPr>
            <w:tcW w:w="1586" w:type="dxa"/>
            <w:vAlign w:val="center"/>
          </w:tcPr>
          <w:p w14:paraId="710753F6"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sz w:val="20"/>
                <w:szCs w:val="20"/>
              </w:rPr>
              <w:t>Gnetin C</w:t>
            </w:r>
          </w:p>
        </w:tc>
        <w:tc>
          <w:tcPr>
            <w:tcW w:w="1586" w:type="dxa"/>
            <w:vAlign w:val="center"/>
          </w:tcPr>
          <w:p w14:paraId="412CFDC0"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sz w:val="20"/>
                <w:szCs w:val="20"/>
              </w:rPr>
              <w:t>PD-L1 dimer</w:t>
            </w:r>
          </w:p>
        </w:tc>
        <w:tc>
          <w:tcPr>
            <w:tcW w:w="1586" w:type="dxa"/>
            <w:vAlign w:val="center"/>
          </w:tcPr>
          <w:p w14:paraId="760F927A"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sz w:val="20"/>
                <w:szCs w:val="20"/>
              </w:rPr>
              <w:t>−8.4</w:t>
            </w:r>
          </w:p>
        </w:tc>
        <w:tc>
          <w:tcPr>
            <w:tcW w:w="1586" w:type="dxa"/>
            <w:vAlign w:val="center"/>
          </w:tcPr>
          <w:p w14:paraId="4E734975"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sz w:val="20"/>
                <w:szCs w:val="20"/>
              </w:rPr>
              <w:t>Not applicable</w:t>
            </w:r>
          </w:p>
        </w:tc>
        <w:tc>
          <w:tcPr>
            <w:tcW w:w="1586" w:type="dxa"/>
            <w:vAlign w:val="center"/>
          </w:tcPr>
          <w:p w14:paraId="37D5E027"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sz w:val="20"/>
                <w:szCs w:val="20"/>
              </w:rPr>
              <w:t>Comparable docking scale</w:t>
            </w:r>
          </w:p>
        </w:tc>
      </w:tr>
      <w:tr w:rsidR="007D055B" w:rsidRPr="006A7376" w14:paraId="0EFF7703" w14:textId="77777777" w:rsidTr="005501B9">
        <w:tc>
          <w:tcPr>
            <w:tcW w:w="1586" w:type="dxa"/>
            <w:vAlign w:val="center"/>
          </w:tcPr>
          <w:p w14:paraId="10D37378"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sz w:val="20"/>
                <w:szCs w:val="20"/>
              </w:rPr>
              <w:t>Quercetin</w:t>
            </w:r>
          </w:p>
        </w:tc>
        <w:tc>
          <w:tcPr>
            <w:tcW w:w="1586" w:type="dxa"/>
            <w:vAlign w:val="center"/>
          </w:tcPr>
          <w:p w14:paraId="1B016CDB"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sz w:val="20"/>
                <w:szCs w:val="20"/>
              </w:rPr>
              <w:t>PD-L1 dimer</w:t>
            </w:r>
          </w:p>
        </w:tc>
        <w:tc>
          <w:tcPr>
            <w:tcW w:w="1586" w:type="dxa"/>
            <w:vAlign w:val="center"/>
          </w:tcPr>
          <w:p w14:paraId="20B9D21F"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sz w:val="20"/>
                <w:szCs w:val="20"/>
              </w:rPr>
              <w:t>−7.2</w:t>
            </w:r>
          </w:p>
        </w:tc>
        <w:tc>
          <w:tcPr>
            <w:tcW w:w="1586" w:type="dxa"/>
            <w:vAlign w:val="center"/>
          </w:tcPr>
          <w:p w14:paraId="13BEAA75"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sz w:val="20"/>
                <w:szCs w:val="20"/>
              </w:rPr>
              <w:t>Not applicable</w:t>
            </w:r>
          </w:p>
        </w:tc>
        <w:tc>
          <w:tcPr>
            <w:tcW w:w="1586" w:type="dxa"/>
            <w:vAlign w:val="center"/>
          </w:tcPr>
          <w:p w14:paraId="149E1104"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sz w:val="20"/>
                <w:szCs w:val="20"/>
              </w:rPr>
              <w:t>Lower interface compatibility</w:t>
            </w:r>
          </w:p>
        </w:tc>
      </w:tr>
    </w:tbl>
    <w:p w14:paraId="7985562C" w14:textId="77777777" w:rsidR="007D055B" w:rsidRPr="006A7376" w:rsidRDefault="007D055B" w:rsidP="007D055B">
      <w:pPr>
        <w:spacing w:line="360" w:lineRule="auto"/>
        <w:jc w:val="center"/>
        <w:rPr>
          <w:rFonts w:ascii="Times New Roman" w:hAnsi="Times New Roman" w:cs="Times New Roman"/>
          <w:sz w:val="20"/>
          <w:szCs w:val="20"/>
        </w:rPr>
      </w:pPr>
    </w:p>
    <w:p w14:paraId="0B47DD02" w14:textId="77777777" w:rsidR="007D055B" w:rsidRPr="006A7376" w:rsidRDefault="007D055B" w:rsidP="007D055B">
      <w:pPr>
        <w:spacing w:line="360" w:lineRule="auto"/>
        <w:jc w:val="center"/>
        <w:rPr>
          <w:rFonts w:ascii="Times New Roman" w:hAnsi="Times New Roman" w:cs="Times New Roman"/>
          <w:sz w:val="20"/>
          <w:szCs w:val="20"/>
        </w:rPr>
      </w:pPr>
      <w:r w:rsidRPr="006A7376">
        <w:rPr>
          <w:rFonts w:ascii="Times New Roman" w:hAnsi="Times New Roman" w:cs="Times New Roman"/>
          <w:b/>
          <w:bCs/>
          <w:sz w:val="20"/>
          <w:szCs w:val="20"/>
        </w:rPr>
        <w:t>Table S2.</w:t>
      </w:r>
      <w:r w:rsidRPr="006A7376">
        <w:rPr>
          <w:rFonts w:ascii="Times New Roman" w:hAnsi="Times New Roman" w:cs="Times New Roman"/>
          <w:sz w:val="20"/>
          <w:szCs w:val="20"/>
        </w:rPr>
        <w:t xml:space="preserve"> Comparative docking performance of benchmark PD-L1 interface ligand and representative polyphenolic scaffolds</w:t>
      </w:r>
    </w:p>
    <w:tbl>
      <w:tblPr>
        <w:tblStyle w:val="TableGrid"/>
        <w:tblW w:w="0" w:type="auto"/>
        <w:tblBorders>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132"/>
        <w:gridCol w:w="1133"/>
        <w:gridCol w:w="1133"/>
        <w:gridCol w:w="1133"/>
        <w:gridCol w:w="1133"/>
        <w:gridCol w:w="1133"/>
        <w:gridCol w:w="1133"/>
      </w:tblGrid>
      <w:tr w:rsidR="007D055B" w:rsidRPr="006A7376" w14:paraId="4BDBD71C" w14:textId="77777777" w:rsidTr="005501B9">
        <w:tc>
          <w:tcPr>
            <w:tcW w:w="1132" w:type="dxa"/>
          </w:tcPr>
          <w:p w14:paraId="5EF6557D"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b/>
                <w:bCs/>
                <w:sz w:val="20"/>
                <w:szCs w:val="20"/>
              </w:rPr>
              <w:t>Target</w:t>
            </w:r>
          </w:p>
        </w:tc>
        <w:tc>
          <w:tcPr>
            <w:tcW w:w="1133" w:type="dxa"/>
          </w:tcPr>
          <w:p w14:paraId="2B3A8C5B"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b/>
                <w:bCs/>
                <w:sz w:val="20"/>
                <w:szCs w:val="20"/>
              </w:rPr>
              <w:t>Ligand</w:t>
            </w:r>
          </w:p>
        </w:tc>
        <w:tc>
          <w:tcPr>
            <w:tcW w:w="1133" w:type="dxa"/>
          </w:tcPr>
          <w:p w14:paraId="002740C6"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b/>
                <w:bCs/>
                <w:sz w:val="20"/>
                <w:szCs w:val="20"/>
              </w:rPr>
              <w:t>Number of docking poses</w:t>
            </w:r>
          </w:p>
        </w:tc>
        <w:tc>
          <w:tcPr>
            <w:tcW w:w="1133" w:type="dxa"/>
          </w:tcPr>
          <w:p w14:paraId="7CECAADE"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b/>
                <w:bCs/>
                <w:sz w:val="20"/>
                <w:szCs w:val="20"/>
              </w:rPr>
              <w:t>Best binding energy (kcal/mol)</w:t>
            </w:r>
          </w:p>
        </w:tc>
        <w:tc>
          <w:tcPr>
            <w:tcW w:w="1133" w:type="dxa"/>
          </w:tcPr>
          <w:p w14:paraId="1E63F6AC"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b/>
                <w:bCs/>
                <w:sz w:val="20"/>
                <w:szCs w:val="20"/>
              </w:rPr>
              <w:t>Mean binding energy (kcal/mol)</w:t>
            </w:r>
          </w:p>
        </w:tc>
        <w:tc>
          <w:tcPr>
            <w:tcW w:w="1133" w:type="dxa"/>
          </w:tcPr>
          <w:p w14:paraId="7BFAD542"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b/>
                <w:bCs/>
                <w:sz w:val="20"/>
                <w:szCs w:val="20"/>
              </w:rPr>
              <w:t>Dominant binding region</w:t>
            </w:r>
          </w:p>
        </w:tc>
        <w:tc>
          <w:tcPr>
            <w:tcW w:w="1133" w:type="dxa"/>
          </w:tcPr>
          <w:p w14:paraId="60D44EB1"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b/>
                <w:bCs/>
                <w:sz w:val="20"/>
                <w:szCs w:val="20"/>
              </w:rPr>
              <w:t>Notes</w:t>
            </w:r>
          </w:p>
        </w:tc>
      </w:tr>
      <w:tr w:rsidR="007D055B" w:rsidRPr="006A7376" w14:paraId="1661F864" w14:textId="77777777" w:rsidTr="005501B9">
        <w:tc>
          <w:tcPr>
            <w:tcW w:w="1132" w:type="dxa"/>
          </w:tcPr>
          <w:p w14:paraId="4BD81BD9"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CTLA-4</w:t>
            </w:r>
          </w:p>
        </w:tc>
        <w:tc>
          <w:tcPr>
            <w:tcW w:w="1133" w:type="dxa"/>
          </w:tcPr>
          <w:p w14:paraId="3CB12308"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Gnetin C</w:t>
            </w:r>
          </w:p>
        </w:tc>
        <w:tc>
          <w:tcPr>
            <w:tcW w:w="1133" w:type="dxa"/>
          </w:tcPr>
          <w:p w14:paraId="7299C385"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9</w:t>
            </w:r>
          </w:p>
        </w:tc>
        <w:tc>
          <w:tcPr>
            <w:tcW w:w="1133" w:type="dxa"/>
          </w:tcPr>
          <w:p w14:paraId="0FEEA873"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−8.0</w:t>
            </w:r>
          </w:p>
        </w:tc>
        <w:tc>
          <w:tcPr>
            <w:tcW w:w="1133" w:type="dxa"/>
          </w:tcPr>
          <w:p w14:paraId="51C1033E"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−7.7</w:t>
            </w:r>
          </w:p>
        </w:tc>
        <w:tc>
          <w:tcPr>
            <w:tcW w:w="1133" w:type="dxa"/>
          </w:tcPr>
          <w:p w14:paraId="74A63597"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Primary binding pocket</w:t>
            </w:r>
          </w:p>
        </w:tc>
        <w:tc>
          <w:tcPr>
            <w:tcW w:w="1133" w:type="dxa"/>
          </w:tcPr>
          <w:p w14:paraId="2762DA6B"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Highly reproducible pose across independent docking runs</w:t>
            </w:r>
          </w:p>
        </w:tc>
      </w:tr>
      <w:tr w:rsidR="007D055B" w:rsidRPr="006A7376" w14:paraId="148FC7D5" w14:textId="77777777" w:rsidTr="005501B9">
        <w:tc>
          <w:tcPr>
            <w:tcW w:w="1132" w:type="dxa"/>
          </w:tcPr>
          <w:p w14:paraId="4782CCAD"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CTLA-4</w:t>
            </w:r>
          </w:p>
        </w:tc>
        <w:tc>
          <w:tcPr>
            <w:tcW w:w="1133" w:type="dxa"/>
          </w:tcPr>
          <w:p w14:paraId="7FF2D319"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Curcumin</w:t>
            </w:r>
          </w:p>
        </w:tc>
        <w:tc>
          <w:tcPr>
            <w:tcW w:w="1133" w:type="dxa"/>
          </w:tcPr>
          <w:p w14:paraId="21996683"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9</w:t>
            </w:r>
          </w:p>
        </w:tc>
        <w:tc>
          <w:tcPr>
            <w:tcW w:w="1133" w:type="dxa"/>
          </w:tcPr>
          <w:p w14:paraId="14FE6FF5"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−6.8</w:t>
            </w:r>
          </w:p>
        </w:tc>
        <w:tc>
          <w:tcPr>
            <w:tcW w:w="1133" w:type="dxa"/>
          </w:tcPr>
          <w:p w14:paraId="0019BE9C"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−6.6</w:t>
            </w:r>
          </w:p>
        </w:tc>
        <w:tc>
          <w:tcPr>
            <w:tcW w:w="1133" w:type="dxa"/>
          </w:tcPr>
          <w:p w14:paraId="76B2076A"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Primary binding pocket</w:t>
            </w:r>
          </w:p>
        </w:tc>
        <w:tc>
          <w:tcPr>
            <w:tcW w:w="1133" w:type="dxa"/>
          </w:tcPr>
          <w:p w14:paraId="26D355D0"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Moderate binding consistency</w:t>
            </w:r>
          </w:p>
        </w:tc>
      </w:tr>
      <w:tr w:rsidR="007D055B" w:rsidRPr="006A7376" w14:paraId="4E189898" w14:textId="77777777" w:rsidTr="005501B9">
        <w:tc>
          <w:tcPr>
            <w:tcW w:w="1132" w:type="dxa"/>
          </w:tcPr>
          <w:p w14:paraId="6AF203DA"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lastRenderedPageBreak/>
              <w:t>CTLA-4</w:t>
            </w:r>
          </w:p>
        </w:tc>
        <w:tc>
          <w:tcPr>
            <w:tcW w:w="1133" w:type="dxa"/>
          </w:tcPr>
          <w:p w14:paraId="618ABB5A"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EGCG</w:t>
            </w:r>
          </w:p>
        </w:tc>
        <w:tc>
          <w:tcPr>
            <w:tcW w:w="1133" w:type="dxa"/>
          </w:tcPr>
          <w:p w14:paraId="224260F6"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9</w:t>
            </w:r>
          </w:p>
        </w:tc>
        <w:tc>
          <w:tcPr>
            <w:tcW w:w="1133" w:type="dxa"/>
          </w:tcPr>
          <w:p w14:paraId="678E7B1B"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−6.7</w:t>
            </w:r>
          </w:p>
        </w:tc>
        <w:tc>
          <w:tcPr>
            <w:tcW w:w="1133" w:type="dxa"/>
          </w:tcPr>
          <w:p w14:paraId="6015AE6C"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−6.5</w:t>
            </w:r>
          </w:p>
        </w:tc>
        <w:tc>
          <w:tcPr>
            <w:tcW w:w="1133" w:type="dxa"/>
          </w:tcPr>
          <w:p w14:paraId="3AD1497D"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Primary binding pocket</w:t>
            </w:r>
          </w:p>
        </w:tc>
        <w:tc>
          <w:tcPr>
            <w:tcW w:w="1133" w:type="dxa"/>
          </w:tcPr>
          <w:p w14:paraId="09FD1B9A"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Moderate pose convergence</w:t>
            </w:r>
          </w:p>
        </w:tc>
      </w:tr>
      <w:tr w:rsidR="007D055B" w:rsidRPr="006A7376" w14:paraId="6C7E868E" w14:textId="77777777" w:rsidTr="005501B9">
        <w:tc>
          <w:tcPr>
            <w:tcW w:w="1132" w:type="dxa"/>
          </w:tcPr>
          <w:p w14:paraId="20A2DB28"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CTLA-4</w:t>
            </w:r>
          </w:p>
        </w:tc>
        <w:tc>
          <w:tcPr>
            <w:tcW w:w="1133" w:type="dxa"/>
          </w:tcPr>
          <w:p w14:paraId="22BE6281"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Resveratrol</w:t>
            </w:r>
          </w:p>
        </w:tc>
        <w:tc>
          <w:tcPr>
            <w:tcW w:w="1133" w:type="dxa"/>
          </w:tcPr>
          <w:p w14:paraId="7CD5A196"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9</w:t>
            </w:r>
          </w:p>
        </w:tc>
        <w:tc>
          <w:tcPr>
            <w:tcW w:w="1133" w:type="dxa"/>
          </w:tcPr>
          <w:p w14:paraId="2AA4F692"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−6.3</w:t>
            </w:r>
          </w:p>
        </w:tc>
        <w:tc>
          <w:tcPr>
            <w:tcW w:w="1133" w:type="dxa"/>
          </w:tcPr>
          <w:p w14:paraId="15941B47"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−6.2</w:t>
            </w:r>
          </w:p>
        </w:tc>
        <w:tc>
          <w:tcPr>
            <w:tcW w:w="1133" w:type="dxa"/>
          </w:tcPr>
          <w:p w14:paraId="6DE73D45"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Primary binding pocket</w:t>
            </w:r>
          </w:p>
        </w:tc>
        <w:tc>
          <w:tcPr>
            <w:tcW w:w="1133" w:type="dxa"/>
          </w:tcPr>
          <w:p w14:paraId="5B266F09"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Reproducible top-ranked pose</w:t>
            </w:r>
          </w:p>
        </w:tc>
      </w:tr>
      <w:tr w:rsidR="007D055B" w:rsidRPr="006A7376" w14:paraId="00AE1EFA" w14:textId="77777777" w:rsidTr="005501B9">
        <w:tc>
          <w:tcPr>
            <w:tcW w:w="1132" w:type="dxa"/>
          </w:tcPr>
          <w:p w14:paraId="4CFCF111"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CTLA-4</w:t>
            </w:r>
          </w:p>
        </w:tc>
        <w:tc>
          <w:tcPr>
            <w:tcW w:w="1133" w:type="dxa"/>
          </w:tcPr>
          <w:p w14:paraId="1EB90034"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Quercetin</w:t>
            </w:r>
          </w:p>
        </w:tc>
        <w:tc>
          <w:tcPr>
            <w:tcW w:w="1133" w:type="dxa"/>
          </w:tcPr>
          <w:p w14:paraId="3A499B5D"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9</w:t>
            </w:r>
          </w:p>
        </w:tc>
        <w:tc>
          <w:tcPr>
            <w:tcW w:w="1133" w:type="dxa"/>
          </w:tcPr>
          <w:p w14:paraId="34DA1BC6"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−6.1</w:t>
            </w:r>
          </w:p>
        </w:tc>
        <w:tc>
          <w:tcPr>
            <w:tcW w:w="1133" w:type="dxa"/>
          </w:tcPr>
          <w:p w14:paraId="2E683E5E"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−6.0</w:t>
            </w:r>
          </w:p>
        </w:tc>
        <w:tc>
          <w:tcPr>
            <w:tcW w:w="1133" w:type="dxa"/>
          </w:tcPr>
          <w:p w14:paraId="702D61E7"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Primary binding pocket</w:t>
            </w:r>
          </w:p>
        </w:tc>
        <w:tc>
          <w:tcPr>
            <w:tcW w:w="1133" w:type="dxa"/>
          </w:tcPr>
          <w:p w14:paraId="1811DF3E"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Reproducible pose, lowest affinity</w:t>
            </w:r>
          </w:p>
        </w:tc>
      </w:tr>
      <w:tr w:rsidR="007D055B" w:rsidRPr="006A7376" w14:paraId="7C792715" w14:textId="77777777" w:rsidTr="005501B9">
        <w:tc>
          <w:tcPr>
            <w:tcW w:w="1132" w:type="dxa"/>
          </w:tcPr>
          <w:p w14:paraId="32E6FAF1"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CTLA-4</w:t>
            </w:r>
          </w:p>
        </w:tc>
        <w:tc>
          <w:tcPr>
            <w:tcW w:w="1133" w:type="dxa"/>
          </w:tcPr>
          <w:p w14:paraId="6235CA23"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Kaempferol</w:t>
            </w:r>
          </w:p>
        </w:tc>
        <w:tc>
          <w:tcPr>
            <w:tcW w:w="1133" w:type="dxa"/>
          </w:tcPr>
          <w:p w14:paraId="44989D35"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9</w:t>
            </w:r>
          </w:p>
        </w:tc>
        <w:tc>
          <w:tcPr>
            <w:tcW w:w="1133" w:type="dxa"/>
          </w:tcPr>
          <w:p w14:paraId="2DD3DF69"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−6.1</w:t>
            </w:r>
          </w:p>
        </w:tc>
        <w:tc>
          <w:tcPr>
            <w:tcW w:w="1133" w:type="dxa"/>
          </w:tcPr>
          <w:p w14:paraId="342E7ADD"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−6.0</w:t>
            </w:r>
          </w:p>
        </w:tc>
        <w:tc>
          <w:tcPr>
            <w:tcW w:w="1133" w:type="dxa"/>
          </w:tcPr>
          <w:p w14:paraId="762C4134"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Primary binding pocket</w:t>
            </w:r>
          </w:p>
        </w:tc>
        <w:tc>
          <w:tcPr>
            <w:tcW w:w="1133" w:type="dxa"/>
          </w:tcPr>
          <w:p w14:paraId="1ACE6EB0"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Limited interaction density</w:t>
            </w:r>
          </w:p>
        </w:tc>
      </w:tr>
      <w:tr w:rsidR="007D055B" w:rsidRPr="006A7376" w14:paraId="17D2187D" w14:textId="77777777" w:rsidTr="005501B9">
        <w:tc>
          <w:tcPr>
            <w:tcW w:w="1132" w:type="dxa"/>
          </w:tcPr>
          <w:p w14:paraId="4EDD45F7"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PD-L1 dimer</w:t>
            </w:r>
          </w:p>
        </w:tc>
        <w:tc>
          <w:tcPr>
            <w:tcW w:w="1133" w:type="dxa"/>
          </w:tcPr>
          <w:p w14:paraId="19D1FFF5"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Gnetin C</w:t>
            </w:r>
          </w:p>
        </w:tc>
        <w:tc>
          <w:tcPr>
            <w:tcW w:w="1133" w:type="dxa"/>
          </w:tcPr>
          <w:p w14:paraId="28550AB6"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9</w:t>
            </w:r>
          </w:p>
        </w:tc>
        <w:tc>
          <w:tcPr>
            <w:tcW w:w="1133" w:type="dxa"/>
          </w:tcPr>
          <w:p w14:paraId="61889E24"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−8.4</w:t>
            </w:r>
          </w:p>
        </w:tc>
        <w:tc>
          <w:tcPr>
            <w:tcW w:w="1133" w:type="dxa"/>
          </w:tcPr>
          <w:p w14:paraId="5127A37E"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−8.1</w:t>
            </w:r>
          </w:p>
        </w:tc>
        <w:tc>
          <w:tcPr>
            <w:tcW w:w="1133" w:type="dxa"/>
          </w:tcPr>
          <w:p w14:paraId="78B7FF7F"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Dimer interface pocket</w:t>
            </w:r>
          </w:p>
        </w:tc>
        <w:tc>
          <w:tcPr>
            <w:tcW w:w="1133" w:type="dxa"/>
          </w:tcPr>
          <w:p w14:paraId="45D1AC77"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Interface-spanning top-ranked pose</w:t>
            </w:r>
          </w:p>
        </w:tc>
      </w:tr>
      <w:tr w:rsidR="007D055B" w:rsidRPr="006A7376" w14:paraId="1338AFCB" w14:textId="77777777" w:rsidTr="005501B9">
        <w:tc>
          <w:tcPr>
            <w:tcW w:w="1132" w:type="dxa"/>
          </w:tcPr>
          <w:p w14:paraId="72024348"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PD-L1 dimer</w:t>
            </w:r>
          </w:p>
        </w:tc>
        <w:tc>
          <w:tcPr>
            <w:tcW w:w="1133" w:type="dxa"/>
          </w:tcPr>
          <w:p w14:paraId="5BDC131F"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Resveratrol</w:t>
            </w:r>
          </w:p>
        </w:tc>
        <w:tc>
          <w:tcPr>
            <w:tcW w:w="1133" w:type="dxa"/>
          </w:tcPr>
          <w:p w14:paraId="24D670BE"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9</w:t>
            </w:r>
          </w:p>
        </w:tc>
        <w:tc>
          <w:tcPr>
            <w:tcW w:w="1133" w:type="dxa"/>
          </w:tcPr>
          <w:p w14:paraId="51AFF2C1"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−7.5</w:t>
            </w:r>
          </w:p>
        </w:tc>
        <w:tc>
          <w:tcPr>
            <w:tcW w:w="1133" w:type="dxa"/>
          </w:tcPr>
          <w:p w14:paraId="6600A5C3"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−7.2</w:t>
            </w:r>
          </w:p>
        </w:tc>
        <w:tc>
          <w:tcPr>
            <w:tcW w:w="1133" w:type="dxa"/>
          </w:tcPr>
          <w:p w14:paraId="41E406E7"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Dimer interface pocket</w:t>
            </w:r>
          </w:p>
        </w:tc>
        <w:tc>
          <w:tcPr>
            <w:tcW w:w="1133" w:type="dxa"/>
          </w:tcPr>
          <w:p w14:paraId="63E99652"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Improved ranking relative to monomer docking</w:t>
            </w:r>
          </w:p>
        </w:tc>
      </w:tr>
      <w:tr w:rsidR="007D055B" w:rsidRPr="006A7376" w14:paraId="6FBA81CB" w14:textId="77777777" w:rsidTr="005501B9">
        <w:tc>
          <w:tcPr>
            <w:tcW w:w="1132" w:type="dxa"/>
          </w:tcPr>
          <w:p w14:paraId="00BCB6B9"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PD-L1 dimer</w:t>
            </w:r>
          </w:p>
        </w:tc>
        <w:tc>
          <w:tcPr>
            <w:tcW w:w="1133" w:type="dxa"/>
          </w:tcPr>
          <w:p w14:paraId="62BA7E9E"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Quercetin</w:t>
            </w:r>
          </w:p>
        </w:tc>
        <w:tc>
          <w:tcPr>
            <w:tcW w:w="1133" w:type="dxa"/>
          </w:tcPr>
          <w:p w14:paraId="27986212"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9</w:t>
            </w:r>
          </w:p>
        </w:tc>
        <w:tc>
          <w:tcPr>
            <w:tcW w:w="1133" w:type="dxa"/>
          </w:tcPr>
          <w:p w14:paraId="1BF71659"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−7.2</w:t>
            </w:r>
          </w:p>
        </w:tc>
        <w:tc>
          <w:tcPr>
            <w:tcW w:w="1133" w:type="dxa"/>
          </w:tcPr>
          <w:p w14:paraId="71210495"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−6.9</w:t>
            </w:r>
          </w:p>
        </w:tc>
        <w:tc>
          <w:tcPr>
            <w:tcW w:w="1133" w:type="dxa"/>
          </w:tcPr>
          <w:p w14:paraId="1AB9C76F"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Dimer interface pocket</w:t>
            </w:r>
          </w:p>
        </w:tc>
        <w:tc>
          <w:tcPr>
            <w:tcW w:w="1133" w:type="dxa"/>
          </w:tcPr>
          <w:p w14:paraId="6424B82D"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Consistent interface occupancy</w:t>
            </w:r>
          </w:p>
        </w:tc>
      </w:tr>
      <w:tr w:rsidR="007D055B" w:rsidRPr="006A7376" w14:paraId="1B923F5A" w14:textId="77777777" w:rsidTr="005501B9">
        <w:tc>
          <w:tcPr>
            <w:tcW w:w="1132" w:type="dxa"/>
          </w:tcPr>
          <w:p w14:paraId="611234B7"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PD-L1 dimer</w:t>
            </w:r>
          </w:p>
        </w:tc>
        <w:tc>
          <w:tcPr>
            <w:tcW w:w="1133" w:type="dxa"/>
          </w:tcPr>
          <w:p w14:paraId="127D46F2"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Curcumin</w:t>
            </w:r>
          </w:p>
        </w:tc>
        <w:tc>
          <w:tcPr>
            <w:tcW w:w="1133" w:type="dxa"/>
          </w:tcPr>
          <w:p w14:paraId="6B176C0E"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9</w:t>
            </w:r>
          </w:p>
        </w:tc>
        <w:tc>
          <w:tcPr>
            <w:tcW w:w="1133" w:type="dxa"/>
          </w:tcPr>
          <w:p w14:paraId="7C99537D"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−6.8</w:t>
            </w:r>
          </w:p>
        </w:tc>
        <w:tc>
          <w:tcPr>
            <w:tcW w:w="1133" w:type="dxa"/>
          </w:tcPr>
          <w:p w14:paraId="2124CCBC"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−6.6</w:t>
            </w:r>
          </w:p>
        </w:tc>
        <w:tc>
          <w:tcPr>
            <w:tcW w:w="1133" w:type="dxa"/>
          </w:tcPr>
          <w:p w14:paraId="1BCF188C"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Surface-adjacent region</w:t>
            </w:r>
          </w:p>
        </w:tc>
        <w:tc>
          <w:tcPr>
            <w:tcW w:w="1133" w:type="dxa"/>
          </w:tcPr>
          <w:p w14:paraId="72ED7AF0"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Reduced interface retention</w:t>
            </w:r>
          </w:p>
        </w:tc>
      </w:tr>
      <w:tr w:rsidR="007D055B" w:rsidRPr="006A7376" w14:paraId="63CB87B2" w14:textId="77777777" w:rsidTr="005501B9">
        <w:tc>
          <w:tcPr>
            <w:tcW w:w="1132" w:type="dxa"/>
          </w:tcPr>
          <w:p w14:paraId="54952467"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PD-L1 dimer</w:t>
            </w:r>
          </w:p>
        </w:tc>
        <w:tc>
          <w:tcPr>
            <w:tcW w:w="1133" w:type="dxa"/>
          </w:tcPr>
          <w:p w14:paraId="78A272E8"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EGCG</w:t>
            </w:r>
          </w:p>
        </w:tc>
        <w:tc>
          <w:tcPr>
            <w:tcW w:w="1133" w:type="dxa"/>
          </w:tcPr>
          <w:p w14:paraId="0B1F3947"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9</w:t>
            </w:r>
          </w:p>
        </w:tc>
        <w:tc>
          <w:tcPr>
            <w:tcW w:w="1133" w:type="dxa"/>
          </w:tcPr>
          <w:p w14:paraId="47E50A2C"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−6.6</w:t>
            </w:r>
          </w:p>
        </w:tc>
        <w:tc>
          <w:tcPr>
            <w:tcW w:w="1133" w:type="dxa"/>
          </w:tcPr>
          <w:p w14:paraId="38C4085C"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−6.4</w:t>
            </w:r>
          </w:p>
        </w:tc>
        <w:tc>
          <w:tcPr>
            <w:tcW w:w="1133" w:type="dxa"/>
          </w:tcPr>
          <w:p w14:paraId="53818B1C"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Surface-adjacent region</w:t>
            </w:r>
          </w:p>
        </w:tc>
        <w:tc>
          <w:tcPr>
            <w:tcW w:w="1133" w:type="dxa"/>
          </w:tcPr>
          <w:p w14:paraId="2BC29B46"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Variable docking poses</w:t>
            </w:r>
          </w:p>
        </w:tc>
      </w:tr>
      <w:tr w:rsidR="007D055B" w:rsidRPr="006A7376" w14:paraId="5A5A302D" w14:textId="77777777" w:rsidTr="005501B9">
        <w:tc>
          <w:tcPr>
            <w:tcW w:w="1132" w:type="dxa"/>
          </w:tcPr>
          <w:p w14:paraId="1221AB82"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PD-L1 dimer</w:t>
            </w:r>
          </w:p>
        </w:tc>
        <w:tc>
          <w:tcPr>
            <w:tcW w:w="1133" w:type="dxa"/>
          </w:tcPr>
          <w:p w14:paraId="30BD46A9"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Kaempferol</w:t>
            </w:r>
          </w:p>
        </w:tc>
        <w:tc>
          <w:tcPr>
            <w:tcW w:w="1133" w:type="dxa"/>
          </w:tcPr>
          <w:p w14:paraId="684C9038"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9</w:t>
            </w:r>
          </w:p>
        </w:tc>
        <w:tc>
          <w:tcPr>
            <w:tcW w:w="1133" w:type="dxa"/>
          </w:tcPr>
          <w:p w14:paraId="5C45917A"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−6.4</w:t>
            </w:r>
          </w:p>
        </w:tc>
        <w:tc>
          <w:tcPr>
            <w:tcW w:w="1133" w:type="dxa"/>
          </w:tcPr>
          <w:p w14:paraId="73EAED0E"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−6.2</w:t>
            </w:r>
          </w:p>
        </w:tc>
        <w:tc>
          <w:tcPr>
            <w:tcW w:w="1133" w:type="dxa"/>
          </w:tcPr>
          <w:p w14:paraId="169515F8"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Surface-adjacent region</w:t>
            </w:r>
          </w:p>
        </w:tc>
        <w:tc>
          <w:tcPr>
            <w:tcW w:w="1133" w:type="dxa"/>
          </w:tcPr>
          <w:p w14:paraId="70788383"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 xml:space="preserve">Highest pose variability across </w:t>
            </w:r>
            <w:r w:rsidRPr="006A7376">
              <w:rPr>
                <w:rFonts w:ascii="Times New Roman" w:hAnsi="Times New Roman" w:cs="Times New Roman"/>
                <w:sz w:val="20"/>
                <w:szCs w:val="20"/>
              </w:rPr>
              <w:lastRenderedPageBreak/>
              <w:t>generated modes</w:t>
            </w:r>
          </w:p>
        </w:tc>
      </w:tr>
    </w:tbl>
    <w:p w14:paraId="50F7044A" w14:textId="77777777" w:rsidR="007D055B" w:rsidRPr="006A7376" w:rsidRDefault="007D055B" w:rsidP="007D055B">
      <w:pPr>
        <w:spacing w:line="360" w:lineRule="auto"/>
        <w:jc w:val="center"/>
        <w:rPr>
          <w:rFonts w:ascii="Times New Roman" w:hAnsi="Times New Roman" w:cs="Times New Roman"/>
          <w:sz w:val="20"/>
          <w:szCs w:val="20"/>
        </w:rPr>
      </w:pPr>
      <w:r w:rsidRPr="006A7376">
        <w:rPr>
          <w:rFonts w:ascii="Times New Roman" w:hAnsi="Times New Roman" w:cs="Times New Roman"/>
          <w:b/>
          <w:bCs/>
          <w:sz w:val="20"/>
          <w:szCs w:val="20"/>
        </w:rPr>
        <w:lastRenderedPageBreak/>
        <w:t xml:space="preserve">Table S3. </w:t>
      </w:r>
      <w:r w:rsidRPr="006A7376">
        <w:rPr>
          <w:rFonts w:ascii="Times New Roman" w:hAnsi="Times New Roman" w:cs="Times New Roman"/>
          <w:sz w:val="20"/>
          <w:szCs w:val="20"/>
        </w:rPr>
        <w:t>Comprehensive docking results of screened polyphenols against CTLA-4 and PD-L1.</w:t>
      </w:r>
    </w:p>
    <w:tbl>
      <w:tblPr>
        <w:tblStyle w:val="TableGrid"/>
        <w:tblW w:w="8010" w:type="dxa"/>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670"/>
        <w:gridCol w:w="2670"/>
        <w:gridCol w:w="2670"/>
      </w:tblGrid>
      <w:tr w:rsidR="007D055B" w:rsidRPr="006A7376" w14:paraId="63A18EB2" w14:textId="77777777" w:rsidTr="005501B9">
        <w:trPr>
          <w:trHeight w:val="690"/>
        </w:trPr>
        <w:tc>
          <w:tcPr>
            <w:tcW w:w="2670" w:type="dxa"/>
            <w:vAlign w:val="center"/>
          </w:tcPr>
          <w:p w14:paraId="2F6C71D6"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b/>
                <w:bCs/>
                <w:sz w:val="20"/>
                <w:szCs w:val="20"/>
              </w:rPr>
              <w:t>Docking run</w:t>
            </w:r>
          </w:p>
        </w:tc>
        <w:tc>
          <w:tcPr>
            <w:tcW w:w="2670" w:type="dxa"/>
            <w:vAlign w:val="center"/>
          </w:tcPr>
          <w:p w14:paraId="6E57E83F"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b/>
                <w:bCs/>
                <w:sz w:val="20"/>
                <w:szCs w:val="20"/>
              </w:rPr>
              <w:t>RMSD (Å)</w:t>
            </w:r>
          </w:p>
        </w:tc>
        <w:tc>
          <w:tcPr>
            <w:tcW w:w="2670" w:type="dxa"/>
            <w:vAlign w:val="center"/>
          </w:tcPr>
          <w:p w14:paraId="3D7599FF"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b/>
                <w:bCs/>
                <w:sz w:val="20"/>
                <w:szCs w:val="20"/>
              </w:rPr>
              <w:t>Interpretation</w:t>
            </w:r>
          </w:p>
        </w:tc>
      </w:tr>
      <w:tr w:rsidR="007D055B" w:rsidRPr="006A7376" w14:paraId="7E20BD1F" w14:textId="77777777" w:rsidTr="005501B9">
        <w:trPr>
          <w:trHeight w:val="690"/>
        </w:trPr>
        <w:tc>
          <w:tcPr>
            <w:tcW w:w="2670" w:type="dxa"/>
            <w:vAlign w:val="center"/>
          </w:tcPr>
          <w:p w14:paraId="47EC324F"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Seed 202601</w:t>
            </w:r>
          </w:p>
        </w:tc>
        <w:tc>
          <w:tcPr>
            <w:tcW w:w="2670" w:type="dxa"/>
            <w:vAlign w:val="center"/>
          </w:tcPr>
          <w:p w14:paraId="4B52CCE7"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2.200</w:t>
            </w:r>
          </w:p>
        </w:tc>
        <w:tc>
          <w:tcPr>
            <w:tcW w:w="2670" w:type="dxa"/>
            <w:vAlign w:val="center"/>
          </w:tcPr>
          <w:p w14:paraId="428B8958"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Acceptable pose recovery</w:t>
            </w:r>
          </w:p>
        </w:tc>
      </w:tr>
      <w:tr w:rsidR="007D055B" w:rsidRPr="006A7376" w14:paraId="35F8B765" w14:textId="77777777" w:rsidTr="005501B9">
        <w:trPr>
          <w:trHeight w:val="690"/>
        </w:trPr>
        <w:tc>
          <w:tcPr>
            <w:tcW w:w="2670" w:type="dxa"/>
            <w:vAlign w:val="center"/>
          </w:tcPr>
          <w:p w14:paraId="49044B64"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Seed 202602</w:t>
            </w:r>
          </w:p>
        </w:tc>
        <w:tc>
          <w:tcPr>
            <w:tcW w:w="2670" w:type="dxa"/>
            <w:vAlign w:val="center"/>
          </w:tcPr>
          <w:p w14:paraId="44CD225B"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2.357</w:t>
            </w:r>
          </w:p>
        </w:tc>
        <w:tc>
          <w:tcPr>
            <w:tcW w:w="2670" w:type="dxa"/>
            <w:vAlign w:val="center"/>
          </w:tcPr>
          <w:p w14:paraId="0CABCD89"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Acceptable pose recovery</w:t>
            </w:r>
          </w:p>
        </w:tc>
      </w:tr>
      <w:tr w:rsidR="007D055B" w:rsidRPr="006A7376" w14:paraId="66A824A1" w14:textId="77777777" w:rsidTr="005501B9">
        <w:trPr>
          <w:trHeight w:val="690"/>
        </w:trPr>
        <w:tc>
          <w:tcPr>
            <w:tcW w:w="2670" w:type="dxa"/>
            <w:vAlign w:val="center"/>
          </w:tcPr>
          <w:p w14:paraId="21A06121"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sz w:val="20"/>
                <w:szCs w:val="20"/>
              </w:rPr>
              <w:t>Mean ± SD</w:t>
            </w:r>
          </w:p>
        </w:tc>
        <w:tc>
          <w:tcPr>
            <w:tcW w:w="2670" w:type="dxa"/>
            <w:vAlign w:val="center"/>
          </w:tcPr>
          <w:p w14:paraId="20BAF4C0"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sz w:val="20"/>
                <w:szCs w:val="20"/>
              </w:rPr>
              <w:t>2.28 ± 0.11</w:t>
            </w:r>
          </w:p>
        </w:tc>
        <w:tc>
          <w:tcPr>
            <w:tcW w:w="2670" w:type="dxa"/>
            <w:vAlign w:val="center"/>
          </w:tcPr>
          <w:p w14:paraId="3F4C2159"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sz w:val="20"/>
                <w:szCs w:val="20"/>
              </w:rPr>
              <w:t>Within PPI docking tolerance</w:t>
            </w:r>
          </w:p>
        </w:tc>
      </w:tr>
    </w:tbl>
    <w:p w14:paraId="5B921166" w14:textId="77777777" w:rsidR="007D055B" w:rsidRPr="006A7376" w:rsidRDefault="007D055B" w:rsidP="007D055B">
      <w:pPr>
        <w:spacing w:line="360" w:lineRule="auto"/>
        <w:jc w:val="center"/>
        <w:rPr>
          <w:rFonts w:ascii="Times New Roman" w:hAnsi="Times New Roman" w:cs="Times New Roman"/>
          <w:sz w:val="20"/>
          <w:szCs w:val="20"/>
        </w:rPr>
      </w:pPr>
      <w:r w:rsidRPr="006A7376">
        <w:rPr>
          <w:rFonts w:ascii="Times New Roman" w:hAnsi="Times New Roman" w:cs="Times New Roman"/>
          <w:b/>
          <w:bCs/>
          <w:sz w:val="20"/>
          <w:szCs w:val="20"/>
        </w:rPr>
        <w:t xml:space="preserve">Table S4. </w:t>
      </w:r>
      <w:r w:rsidRPr="006A7376">
        <w:rPr>
          <w:rFonts w:ascii="Times New Roman" w:hAnsi="Times New Roman" w:cs="Times New Roman"/>
          <w:sz w:val="20"/>
          <w:szCs w:val="20"/>
        </w:rPr>
        <w:t>Heavy-atom RMSD between crystallographic and redocked PD-L1 interface ligand poses. RMSD values within 2–3 Å were considered acceptable for shallow protein–protein interaction interfaces.</w:t>
      </w:r>
    </w:p>
    <w:tbl>
      <w:tblPr>
        <w:tblStyle w:val="TableGrid"/>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86"/>
        <w:gridCol w:w="1586"/>
        <w:gridCol w:w="1586"/>
        <w:gridCol w:w="1586"/>
        <w:gridCol w:w="1586"/>
      </w:tblGrid>
      <w:tr w:rsidR="007D055B" w:rsidRPr="006A7376" w14:paraId="60B18BC6" w14:textId="77777777" w:rsidTr="005501B9">
        <w:tc>
          <w:tcPr>
            <w:tcW w:w="1586" w:type="dxa"/>
            <w:vAlign w:val="center"/>
          </w:tcPr>
          <w:p w14:paraId="0DB258E3"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b/>
                <w:bCs/>
                <w:sz w:val="20"/>
                <w:szCs w:val="20"/>
              </w:rPr>
              <w:t>Top fraction</w:t>
            </w:r>
          </w:p>
        </w:tc>
        <w:tc>
          <w:tcPr>
            <w:tcW w:w="1586" w:type="dxa"/>
            <w:vAlign w:val="center"/>
          </w:tcPr>
          <w:p w14:paraId="0E08C659"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b/>
                <w:bCs/>
                <w:sz w:val="20"/>
                <w:szCs w:val="20"/>
              </w:rPr>
              <w:t>Top N</w:t>
            </w:r>
          </w:p>
        </w:tc>
        <w:tc>
          <w:tcPr>
            <w:tcW w:w="1586" w:type="dxa"/>
            <w:vAlign w:val="center"/>
          </w:tcPr>
          <w:p w14:paraId="01ADFB8F"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b/>
                <w:bCs/>
                <w:sz w:val="20"/>
                <w:szCs w:val="20"/>
              </w:rPr>
              <w:t>Actives retrieved</w:t>
            </w:r>
          </w:p>
        </w:tc>
        <w:tc>
          <w:tcPr>
            <w:tcW w:w="1586" w:type="dxa"/>
            <w:vAlign w:val="center"/>
          </w:tcPr>
          <w:p w14:paraId="0A984B69"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b/>
                <w:bCs/>
                <w:sz w:val="20"/>
                <w:szCs w:val="20"/>
              </w:rPr>
              <w:t>Hit rate</w:t>
            </w:r>
          </w:p>
        </w:tc>
        <w:tc>
          <w:tcPr>
            <w:tcW w:w="1586" w:type="dxa"/>
            <w:vAlign w:val="center"/>
          </w:tcPr>
          <w:p w14:paraId="0F919FF1"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b/>
                <w:bCs/>
                <w:sz w:val="20"/>
                <w:szCs w:val="20"/>
              </w:rPr>
              <w:t>Enrichment factor</w:t>
            </w:r>
          </w:p>
        </w:tc>
      </w:tr>
      <w:tr w:rsidR="007D055B" w:rsidRPr="006A7376" w14:paraId="4969A1DC" w14:textId="77777777" w:rsidTr="005501B9">
        <w:tc>
          <w:tcPr>
            <w:tcW w:w="1586" w:type="dxa"/>
            <w:vAlign w:val="center"/>
          </w:tcPr>
          <w:p w14:paraId="164C1478"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sz w:val="20"/>
                <w:szCs w:val="20"/>
              </w:rPr>
              <w:t>1%</w:t>
            </w:r>
          </w:p>
        </w:tc>
        <w:tc>
          <w:tcPr>
            <w:tcW w:w="1586" w:type="dxa"/>
            <w:vAlign w:val="center"/>
          </w:tcPr>
          <w:p w14:paraId="7FBA002E"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sz w:val="20"/>
                <w:szCs w:val="20"/>
              </w:rPr>
              <w:t>2</w:t>
            </w:r>
          </w:p>
        </w:tc>
        <w:tc>
          <w:tcPr>
            <w:tcW w:w="1586" w:type="dxa"/>
            <w:vAlign w:val="center"/>
          </w:tcPr>
          <w:p w14:paraId="1DA5D495"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sz w:val="20"/>
                <w:szCs w:val="20"/>
              </w:rPr>
              <w:t>0</w:t>
            </w:r>
          </w:p>
        </w:tc>
        <w:tc>
          <w:tcPr>
            <w:tcW w:w="1586" w:type="dxa"/>
            <w:vAlign w:val="center"/>
          </w:tcPr>
          <w:p w14:paraId="7DD912F2"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sz w:val="20"/>
                <w:szCs w:val="20"/>
              </w:rPr>
              <w:t>0.00</w:t>
            </w:r>
          </w:p>
        </w:tc>
        <w:tc>
          <w:tcPr>
            <w:tcW w:w="1586" w:type="dxa"/>
            <w:vAlign w:val="center"/>
          </w:tcPr>
          <w:p w14:paraId="0BB8BE4F"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sz w:val="20"/>
                <w:szCs w:val="20"/>
              </w:rPr>
              <w:t>0.0</w:t>
            </w:r>
          </w:p>
        </w:tc>
      </w:tr>
      <w:tr w:rsidR="007D055B" w:rsidRPr="006A7376" w14:paraId="5A15215E" w14:textId="77777777" w:rsidTr="005501B9">
        <w:tc>
          <w:tcPr>
            <w:tcW w:w="1586" w:type="dxa"/>
            <w:vAlign w:val="center"/>
          </w:tcPr>
          <w:p w14:paraId="7473417F"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sz w:val="20"/>
                <w:szCs w:val="20"/>
              </w:rPr>
              <w:t>5%</w:t>
            </w:r>
          </w:p>
        </w:tc>
        <w:tc>
          <w:tcPr>
            <w:tcW w:w="1586" w:type="dxa"/>
            <w:vAlign w:val="center"/>
          </w:tcPr>
          <w:p w14:paraId="04A49768"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sz w:val="20"/>
                <w:szCs w:val="20"/>
              </w:rPr>
              <w:t>8</w:t>
            </w:r>
          </w:p>
        </w:tc>
        <w:tc>
          <w:tcPr>
            <w:tcW w:w="1586" w:type="dxa"/>
            <w:vAlign w:val="center"/>
          </w:tcPr>
          <w:p w14:paraId="39512468"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sz w:val="20"/>
                <w:szCs w:val="20"/>
              </w:rPr>
              <w:t>1</w:t>
            </w:r>
          </w:p>
        </w:tc>
        <w:tc>
          <w:tcPr>
            <w:tcW w:w="1586" w:type="dxa"/>
            <w:vAlign w:val="center"/>
          </w:tcPr>
          <w:p w14:paraId="78EE8963"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sz w:val="20"/>
                <w:szCs w:val="20"/>
              </w:rPr>
              <w:t>0.125</w:t>
            </w:r>
          </w:p>
        </w:tc>
        <w:tc>
          <w:tcPr>
            <w:tcW w:w="1586" w:type="dxa"/>
            <w:vAlign w:val="center"/>
          </w:tcPr>
          <w:p w14:paraId="72199279"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sz w:val="20"/>
                <w:szCs w:val="20"/>
              </w:rPr>
              <w:t>6.38</w:t>
            </w:r>
          </w:p>
        </w:tc>
      </w:tr>
      <w:tr w:rsidR="007D055B" w:rsidRPr="006A7376" w14:paraId="5C657565" w14:textId="77777777" w:rsidTr="005501B9">
        <w:tc>
          <w:tcPr>
            <w:tcW w:w="1586" w:type="dxa"/>
            <w:vAlign w:val="center"/>
          </w:tcPr>
          <w:p w14:paraId="77AE0543"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sz w:val="20"/>
                <w:szCs w:val="20"/>
              </w:rPr>
              <w:t>10%</w:t>
            </w:r>
          </w:p>
        </w:tc>
        <w:tc>
          <w:tcPr>
            <w:tcW w:w="1586" w:type="dxa"/>
            <w:vAlign w:val="center"/>
          </w:tcPr>
          <w:p w14:paraId="6A0CCDAE"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sz w:val="20"/>
                <w:szCs w:val="20"/>
              </w:rPr>
              <w:t>16</w:t>
            </w:r>
          </w:p>
        </w:tc>
        <w:tc>
          <w:tcPr>
            <w:tcW w:w="1586" w:type="dxa"/>
            <w:vAlign w:val="center"/>
          </w:tcPr>
          <w:p w14:paraId="083B6D3F"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sz w:val="20"/>
                <w:szCs w:val="20"/>
              </w:rPr>
              <w:t>1</w:t>
            </w:r>
          </w:p>
        </w:tc>
        <w:tc>
          <w:tcPr>
            <w:tcW w:w="1586" w:type="dxa"/>
            <w:vAlign w:val="center"/>
          </w:tcPr>
          <w:p w14:paraId="6ADAC5FA"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sz w:val="20"/>
                <w:szCs w:val="20"/>
              </w:rPr>
              <w:t>0.0625</w:t>
            </w:r>
          </w:p>
        </w:tc>
        <w:tc>
          <w:tcPr>
            <w:tcW w:w="1586" w:type="dxa"/>
            <w:vAlign w:val="center"/>
          </w:tcPr>
          <w:p w14:paraId="65E9FB95"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sz w:val="20"/>
                <w:szCs w:val="20"/>
              </w:rPr>
              <w:t>3.19</w:t>
            </w:r>
          </w:p>
        </w:tc>
      </w:tr>
    </w:tbl>
    <w:p w14:paraId="3B557D9B" w14:textId="77777777" w:rsidR="007D055B" w:rsidRPr="006A7376" w:rsidRDefault="007D055B" w:rsidP="007D055B">
      <w:pPr>
        <w:spacing w:line="360" w:lineRule="auto"/>
        <w:jc w:val="center"/>
        <w:rPr>
          <w:rFonts w:ascii="Times New Roman" w:hAnsi="Times New Roman" w:cs="Times New Roman"/>
          <w:sz w:val="20"/>
          <w:szCs w:val="20"/>
        </w:rPr>
      </w:pPr>
      <w:r w:rsidRPr="006A7376">
        <w:rPr>
          <w:rFonts w:ascii="Times New Roman" w:hAnsi="Times New Roman" w:cs="Times New Roman"/>
          <w:b/>
          <w:bCs/>
          <w:sz w:val="20"/>
          <w:szCs w:val="20"/>
        </w:rPr>
        <w:t xml:space="preserve">Table S5. </w:t>
      </w:r>
      <w:r w:rsidRPr="006A7376">
        <w:rPr>
          <w:rFonts w:ascii="Times New Roman" w:hAnsi="Times New Roman" w:cs="Times New Roman"/>
          <w:sz w:val="20"/>
          <w:szCs w:val="20"/>
        </w:rPr>
        <w:t>Enrichment statistics for active ligands relative to decoys across ranked docking scores.</w:t>
      </w:r>
    </w:p>
    <w:tbl>
      <w:tblPr>
        <w:tblStyle w:val="TableGrid"/>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643"/>
        <w:gridCol w:w="2643"/>
        <w:gridCol w:w="2644"/>
      </w:tblGrid>
      <w:tr w:rsidR="007D055B" w:rsidRPr="006A7376" w14:paraId="32425A19" w14:textId="77777777" w:rsidTr="005501B9">
        <w:trPr>
          <w:trHeight w:val="345"/>
        </w:trPr>
        <w:tc>
          <w:tcPr>
            <w:tcW w:w="2643" w:type="dxa"/>
            <w:vAlign w:val="center"/>
          </w:tcPr>
          <w:p w14:paraId="59C07BF3"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b/>
                <w:bCs/>
                <w:sz w:val="20"/>
                <w:szCs w:val="20"/>
              </w:rPr>
              <w:t>Ligand</w:t>
            </w:r>
          </w:p>
        </w:tc>
        <w:tc>
          <w:tcPr>
            <w:tcW w:w="2643" w:type="dxa"/>
            <w:vAlign w:val="center"/>
          </w:tcPr>
          <w:p w14:paraId="485FEE8C"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b/>
                <w:bCs/>
                <w:sz w:val="20"/>
                <w:szCs w:val="20"/>
              </w:rPr>
              <w:t>Target</w:t>
            </w:r>
          </w:p>
        </w:tc>
        <w:tc>
          <w:tcPr>
            <w:tcW w:w="2644" w:type="dxa"/>
            <w:vAlign w:val="center"/>
          </w:tcPr>
          <w:p w14:paraId="234F3F76"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b/>
                <w:bCs/>
                <w:sz w:val="20"/>
                <w:szCs w:val="20"/>
              </w:rPr>
              <w:t>Run1 vs Run2 RMSD (Å)</w:t>
            </w:r>
          </w:p>
        </w:tc>
      </w:tr>
      <w:tr w:rsidR="007D055B" w:rsidRPr="006A7376" w14:paraId="155E5CD5" w14:textId="77777777" w:rsidTr="005501B9">
        <w:trPr>
          <w:trHeight w:val="345"/>
        </w:trPr>
        <w:tc>
          <w:tcPr>
            <w:tcW w:w="2643" w:type="dxa"/>
            <w:vAlign w:val="center"/>
          </w:tcPr>
          <w:p w14:paraId="36874ED1"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Gnetin C</w:t>
            </w:r>
          </w:p>
        </w:tc>
        <w:tc>
          <w:tcPr>
            <w:tcW w:w="2643" w:type="dxa"/>
            <w:vAlign w:val="center"/>
          </w:tcPr>
          <w:p w14:paraId="7FE78AAD"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PD-L1</w:t>
            </w:r>
          </w:p>
        </w:tc>
        <w:tc>
          <w:tcPr>
            <w:tcW w:w="2644" w:type="dxa"/>
            <w:vAlign w:val="center"/>
          </w:tcPr>
          <w:p w14:paraId="70C01E7C"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2.20</w:t>
            </w:r>
          </w:p>
        </w:tc>
      </w:tr>
      <w:tr w:rsidR="007D055B" w:rsidRPr="006A7376" w14:paraId="1E446E57" w14:textId="77777777" w:rsidTr="005501B9">
        <w:trPr>
          <w:trHeight w:val="345"/>
        </w:trPr>
        <w:tc>
          <w:tcPr>
            <w:tcW w:w="2643" w:type="dxa"/>
            <w:vAlign w:val="center"/>
          </w:tcPr>
          <w:p w14:paraId="601C0C80"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Gnetin C</w:t>
            </w:r>
          </w:p>
        </w:tc>
        <w:tc>
          <w:tcPr>
            <w:tcW w:w="2643" w:type="dxa"/>
            <w:vAlign w:val="center"/>
          </w:tcPr>
          <w:p w14:paraId="2F188263"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PD-L1</w:t>
            </w:r>
          </w:p>
        </w:tc>
        <w:tc>
          <w:tcPr>
            <w:tcW w:w="2644" w:type="dxa"/>
            <w:vAlign w:val="center"/>
          </w:tcPr>
          <w:p w14:paraId="5A4EDB6B" w14:textId="77777777" w:rsidR="007D055B" w:rsidRPr="006A7376" w:rsidRDefault="007D055B" w:rsidP="005501B9">
            <w:pPr>
              <w:spacing w:line="360" w:lineRule="auto"/>
              <w:jc w:val="center"/>
              <w:rPr>
                <w:rFonts w:ascii="Times New Roman" w:hAnsi="Times New Roman" w:cs="Times New Roman"/>
                <w:b/>
                <w:bCs/>
                <w:sz w:val="20"/>
                <w:szCs w:val="20"/>
              </w:rPr>
            </w:pPr>
            <w:r w:rsidRPr="006A7376">
              <w:rPr>
                <w:rFonts w:ascii="Times New Roman" w:hAnsi="Times New Roman" w:cs="Times New Roman"/>
                <w:sz w:val="20"/>
                <w:szCs w:val="20"/>
              </w:rPr>
              <w:t>2.36</w:t>
            </w:r>
          </w:p>
        </w:tc>
      </w:tr>
    </w:tbl>
    <w:p w14:paraId="4249CA9C" w14:textId="77777777" w:rsidR="007D055B" w:rsidRPr="006A7376" w:rsidRDefault="007D055B" w:rsidP="007D055B">
      <w:pPr>
        <w:spacing w:line="360" w:lineRule="auto"/>
        <w:jc w:val="center"/>
        <w:rPr>
          <w:rFonts w:ascii="Times New Roman" w:hAnsi="Times New Roman" w:cs="Times New Roman"/>
          <w:b/>
          <w:bCs/>
          <w:sz w:val="20"/>
          <w:szCs w:val="20"/>
        </w:rPr>
      </w:pPr>
      <w:r w:rsidRPr="006A7376">
        <w:rPr>
          <w:rFonts w:ascii="Times New Roman" w:hAnsi="Times New Roman" w:cs="Times New Roman"/>
          <w:b/>
          <w:bCs/>
          <w:sz w:val="20"/>
          <w:szCs w:val="20"/>
        </w:rPr>
        <w:t xml:space="preserve">Table S6. </w:t>
      </w:r>
      <w:r w:rsidRPr="006A7376">
        <w:rPr>
          <w:rFonts w:ascii="Times New Roman" w:hAnsi="Times New Roman" w:cs="Times New Roman"/>
          <w:sz w:val="20"/>
          <w:szCs w:val="20"/>
        </w:rPr>
        <w:t>Cross-run heavy-atom RMSD between top-ranked docking poses, demonstrating reproducible ligand placement across independent docking runs.</w:t>
      </w:r>
    </w:p>
    <w:tbl>
      <w:tblPr>
        <w:tblStyle w:val="TableGrid"/>
        <w:tblW w:w="7940" w:type="dxa"/>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3970"/>
        <w:gridCol w:w="3970"/>
      </w:tblGrid>
      <w:tr w:rsidR="007D055B" w:rsidRPr="006A7376" w14:paraId="576F82AE" w14:textId="77777777" w:rsidTr="005501B9">
        <w:trPr>
          <w:trHeight w:val="230"/>
        </w:trPr>
        <w:tc>
          <w:tcPr>
            <w:tcW w:w="3970" w:type="dxa"/>
            <w:vAlign w:val="center"/>
          </w:tcPr>
          <w:p w14:paraId="23EE95B2" w14:textId="77777777" w:rsidR="007D055B" w:rsidRPr="006A7376" w:rsidRDefault="007D055B" w:rsidP="005501B9">
            <w:pPr>
              <w:jc w:val="center"/>
              <w:rPr>
                <w:rFonts w:ascii="Times New Roman" w:eastAsia="Times New Roman" w:hAnsi="Times New Roman" w:cs="Times New Roman"/>
                <w:kern w:val="0"/>
                <w:sz w:val="20"/>
                <w:szCs w:val="20"/>
                <w:lang w:bidi="ar-SA"/>
                <w14:ligatures w14:val="none"/>
              </w:rPr>
            </w:pPr>
            <w:r w:rsidRPr="006A7376">
              <w:rPr>
                <w:rFonts w:ascii="Times New Roman" w:eastAsia="Times New Roman" w:hAnsi="Times New Roman" w:cs="Times New Roman"/>
                <w:b/>
                <w:bCs/>
                <w:kern w:val="0"/>
                <w:sz w:val="20"/>
                <w:szCs w:val="20"/>
                <w:lang w:bidi="ar-SA"/>
                <w14:ligatures w14:val="none"/>
              </w:rPr>
              <w:t>Parameter</w:t>
            </w:r>
          </w:p>
        </w:tc>
        <w:tc>
          <w:tcPr>
            <w:tcW w:w="3970" w:type="dxa"/>
            <w:vAlign w:val="center"/>
          </w:tcPr>
          <w:p w14:paraId="12F18B09" w14:textId="77777777" w:rsidR="007D055B" w:rsidRPr="006A7376" w:rsidRDefault="007D055B" w:rsidP="005501B9">
            <w:pPr>
              <w:jc w:val="center"/>
              <w:rPr>
                <w:rFonts w:ascii="Times New Roman" w:eastAsia="Times New Roman" w:hAnsi="Times New Roman" w:cs="Times New Roman"/>
                <w:kern w:val="0"/>
                <w:sz w:val="20"/>
                <w:szCs w:val="20"/>
                <w:lang w:bidi="ar-SA"/>
                <w14:ligatures w14:val="none"/>
              </w:rPr>
            </w:pPr>
            <w:r w:rsidRPr="006A7376">
              <w:rPr>
                <w:rFonts w:ascii="Times New Roman" w:eastAsia="Times New Roman" w:hAnsi="Times New Roman" w:cs="Times New Roman"/>
                <w:b/>
                <w:bCs/>
                <w:kern w:val="0"/>
                <w:sz w:val="20"/>
                <w:szCs w:val="20"/>
                <w:lang w:bidi="ar-SA"/>
                <w14:ligatures w14:val="none"/>
              </w:rPr>
              <w:t>Value</w:t>
            </w:r>
          </w:p>
        </w:tc>
      </w:tr>
      <w:tr w:rsidR="007D055B" w:rsidRPr="006A7376" w14:paraId="43E345CC" w14:textId="77777777" w:rsidTr="005501B9">
        <w:trPr>
          <w:trHeight w:val="230"/>
        </w:trPr>
        <w:tc>
          <w:tcPr>
            <w:tcW w:w="3970" w:type="dxa"/>
            <w:vAlign w:val="center"/>
          </w:tcPr>
          <w:p w14:paraId="6BF51FB4" w14:textId="77777777" w:rsidR="007D055B" w:rsidRPr="006A7376" w:rsidRDefault="007D055B" w:rsidP="005501B9">
            <w:pPr>
              <w:rPr>
                <w:rFonts w:ascii="Times New Roman" w:eastAsia="Times New Roman" w:hAnsi="Times New Roman" w:cs="Times New Roman"/>
                <w:kern w:val="0"/>
                <w:sz w:val="20"/>
                <w:szCs w:val="20"/>
                <w:lang w:bidi="ar-SA"/>
                <w14:ligatures w14:val="none"/>
              </w:rPr>
            </w:pPr>
            <w:r w:rsidRPr="006A7376">
              <w:rPr>
                <w:rFonts w:ascii="Times New Roman" w:eastAsia="Times New Roman" w:hAnsi="Times New Roman" w:cs="Times New Roman"/>
                <w:kern w:val="0"/>
                <w:sz w:val="20"/>
                <w:szCs w:val="20"/>
                <w:lang w:bidi="ar-SA"/>
                <w14:ligatures w14:val="none"/>
              </w:rPr>
              <w:t>Mean inter-protomer contacts</w:t>
            </w:r>
          </w:p>
        </w:tc>
        <w:tc>
          <w:tcPr>
            <w:tcW w:w="3970" w:type="dxa"/>
            <w:vAlign w:val="center"/>
          </w:tcPr>
          <w:p w14:paraId="35CE3C12" w14:textId="77777777" w:rsidR="007D055B" w:rsidRPr="006A7376" w:rsidRDefault="007D055B" w:rsidP="005501B9">
            <w:pPr>
              <w:rPr>
                <w:rFonts w:ascii="Times New Roman" w:eastAsia="Times New Roman" w:hAnsi="Times New Roman" w:cs="Times New Roman"/>
                <w:kern w:val="0"/>
                <w:sz w:val="20"/>
                <w:szCs w:val="20"/>
                <w:lang w:bidi="ar-SA"/>
                <w14:ligatures w14:val="none"/>
              </w:rPr>
            </w:pPr>
            <w:r w:rsidRPr="006A7376">
              <w:rPr>
                <w:rFonts w:ascii="Times New Roman" w:eastAsia="Times New Roman" w:hAnsi="Times New Roman" w:cs="Times New Roman"/>
                <w:kern w:val="0"/>
                <w:sz w:val="20"/>
                <w:szCs w:val="20"/>
                <w:lang w:bidi="ar-SA"/>
                <w14:ligatures w14:val="none"/>
              </w:rPr>
              <w:t>62.7</w:t>
            </w:r>
          </w:p>
        </w:tc>
      </w:tr>
      <w:tr w:rsidR="007D055B" w:rsidRPr="006A7376" w14:paraId="78AF0B35" w14:textId="77777777" w:rsidTr="005501B9">
        <w:trPr>
          <w:trHeight w:val="230"/>
        </w:trPr>
        <w:tc>
          <w:tcPr>
            <w:tcW w:w="3970" w:type="dxa"/>
            <w:vAlign w:val="center"/>
          </w:tcPr>
          <w:p w14:paraId="00F972FD" w14:textId="77777777" w:rsidR="007D055B" w:rsidRPr="006A7376" w:rsidRDefault="007D055B" w:rsidP="005501B9">
            <w:pPr>
              <w:rPr>
                <w:rFonts w:ascii="Times New Roman" w:eastAsia="Times New Roman" w:hAnsi="Times New Roman" w:cs="Times New Roman"/>
                <w:kern w:val="0"/>
                <w:sz w:val="20"/>
                <w:szCs w:val="20"/>
                <w:lang w:bidi="ar-SA"/>
                <w14:ligatures w14:val="none"/>
              </w:rPr>
            </w:pPr>
            <w:r w:rsidRPr="006A7376">
              <w:rPr>
                <w:rFonts w:ascii="Times New Roman" w:eastAsia="Times New Roman" w:hAnsi="Times New Roman" w:cs="Times New Roman"/>
                <w:kern w:val="0"/>
                <w:sz w:val="20"/>
                <w:szCs w:val="20"/>
                <w:lang w:bidi="ar-SA"/>
                <w14:ligatures w14:val="none"/>
              </w:rPr>
              <w:t>Minimum distance (nm)</w:t>
            </w:r>
          </w:p>
        </w:tc>
        <w:tc>
          <w:tcPr>
            <w:tcW w:w="3970" w:type="dxa"/>
            <w:vAlign w:val="center"/>
          </w:tcPr>
          <w:p w14:paraId="7CBCF925" w14:textId="77777777" w:rsidR="007D055B" w:rsidRPr="006A7376" w:rsidRDefault="007D055B" w:rsidP="005501B9">
            <w:pPr>
              <w:rPr>
                <w:rFonts w:ascii="Times New Roman" w:eastAsia="Times New Roman" w:hAnsi="Times New Roman" w:cs="Times New Roman"/>
                <w:kern w:val="0"/>
                <w:sz w:val="20"/>
                <w:szCs w:val="20"/>
                <w:lang w:bidi="ar-SA"/>
                <w14:ligatures w14:val="none"/>
              </w:rPr>
            </w:pPr>
            <w:r w:rsidRPr="006A7376">
              <w:rPr>
                <w:rFonts w:ascii="Times New Roman" w:eastAsia="Times New Roman" w:hAnsi="Times New Roman" w:cs="Times New Roman"/>
                <w:kern w:val="0"/>
                <w:sz w:val="20"/>
                <w:szCs w:val="20"/>
                <w:lang w:bidi="ar-SA"/>
                <w14:ligatures w14:val="none"/>
              </w:rPr>
              <w:t>0.173 ± 0.012</w:t>
            </w:r>
          </w:p>
        </w:tc>
      </w:tr>
      <w:tr w:rsidR="007D055B" w:rsidRPr="006A7376" w14:paraId="557EE685" w14:textId="77777777" w:rsidTr="005501B9">
        <w:trPr>
          <w:trHeight w:val="230"/>
        </w:trPr>
        <w:tc>
          <w:tcPr>
            <w:tcW w:w="3970" w:type="dxa"/>
            <w:vAlign w:val="center"/>
          </w:tcPr>
          <w:p w14:paraId="6E4DE4EA" w14:textId="77777777" w:rsidR="007D055B" w:rsidRPr="006A7376" w:rsidRDefault="007D055B" w:rsidP="005501B9">
            <w:pPr>
              <w:rPr>
                <w:rFonts w:ascii="Times New Roman" w:eastAsia="Times New Roman" w:hAnsi="Times New Roman" w:cs="Times New Roman"/>
                <w:kern w:val="0"/>
                <w:sz w:val="20"/>
                <w:szCs w:val="20"/>
                <w:lang w:bidi="ar-SA"/>
                <w14:ligatures w14:val="none"/>
              </w:rPr>
            </w:pPr>
            <w:r w:rsidRPr="006A7376">
              <w:rPr>
                <w:rFonts w:ascii="Times New Roman" w:eastAsia="Times New Roman" w:hAnsi="Times New Roman" w:cs="Times New Roman"/>
                <w:kern w:val="0"/>
                <w:sz w:val="20"/>
                <w:szCs w:val="20"/>
                <w:lang w:bidi="ar-SA"/>
                <w14:ligatures w14:val="none"/>
              </w:rPr>
              <w:t>Mean hydrogen bonds</w:t>
            </w:r>
          </w:p>
        </w:tc>
        <w:tc>
          <w:tcPr>
            <w:tcW w:w="3970" w:type="dxa"/>
            <w:vAlign w:val="center"/>
          </w:tcPr>
          <w:p w14:paraId="3D53DE2B" w14:textId="77777777" w:rsidR="007D055B" w:rsidRPr="006A7376" w:rsidRDefault="007D055B" w:rsidP="005501B9">
            <w:pPr>
              <w:rPr>
                <w:rFonts w:ascii="Times New Roman" w:eastAsia="Times New Roman" w:hAnsi="Times New Roman" w:cs="Times New Roman"/>
                <w:kern w:val="0"/>
                <w:sz w:val="20"/>
                <w:szCs w:val="20"/>
                <w:lang w:bidi="ar-SA"/>
                <w14:ligatures w14:val="none"/>
              </w:rPr>
            </w:pPr>
            <w:r w:rsidRPr="006A7376">
              <w:rPr>
                <w:rFonts w:ascii="Times New Roman" w:eastAsia="Times New Roman" w:hAnsi="Times New Roman" w:cs="Times New Roman"/>
                <w:kern w:val="0"/>
                <w:sz w:val="20"/>
                <w:szCs w:val="20"/>
                <w:lang w:bidi="ar-SA"/>
                <w14:ligatures w14:val="none"/>
              </w:rPr>
              <w:t>3.0</w:t>
            </w:r>
          </w:p>
        </w:tc>
      </w:tr>
    </w:tbl>
    <w:p w14:paraId="005E606D" w14:textId="77777777" w:rsidR="007D055B" w:rsidRPr="006A7376" w:rsidRDefault="007D055B" w:rsidP="007D055B">
      <w:pPr>
        <w:spacing w:line="360" w:lineRule="auto"/>
        <w:jc w:val="center"/>
        <w:rPr>
          <w:rFonts w:ascii="Times New Roman" w:hAnsi="Times New Roman" w:cs="Times New Roman"/>
          <w:sz w:val="20"/>
          <w:szCs w:val="20"/>
        </w:rPr>
      </w:pPr>
      <w:r w:rsidRPr="006A7376">
        <w:rPr>
          <w:rFonts w:ascii="Times New Roman" w:hAnsi="Times New Roman" w:cs="Times New Roman"/>
          <w:b/>
          <w:bCs/>
          <w:sz w:val="20"/>
          <w:szCs w:val="20"/>
        </w:rPr>
        <w:t xml:space="preserve">Table S7. </w:t>
      </w:r>
      <w:r w:rsidRPr="006A7376">
        <w:rPr>
          <w:rFonts w:ascii="Times New Roman" w:hAnsi="Times New Roman" w:cs="Times New Roman"/>
          <w:sz w:val="20"/>
          <w:szCs w:val="20"/>
        </w:rPr>
        <w:t>Summary of PD-L1 dimer molecular dynamics metrics</w:t>
      </w:r>
    </w:p>
    <w:tbl>
      <w:tblPr>
        <w:tblStyle w:val="TableGrid"/>
        <w:tblW w:w="7940" w:type="dxa"/>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585"/>
        <w:gridCol w:w="1605"/>
        <w:gridCol w:w="1583"/>
        <w:gridCol w:w="1583"/>
        <w:gridCol w:w="1584"/>
      </w:tblGrid>
      <w:tr w:rsidR="007D055B" w:rsidRPr="006A7376" w14:paraId="5528EE3E" w14:textId="77777777" w:rsidTr="005501B9">
        <w:tc>
          <w:tcPr>
            <w:tcW w:w="1585" w:type="dxa"/>
            <w:vAlign w:val="center"/>
          </w:tcPr>
          <w:p w14:paraId="3FA5DC7C"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b/>
                <w:bCs/>
                <w:sz w:val="20"/>
                <w:szCs w:val="20"/>
              </w:rPr>
              <w:t>Ligand</w:t>
            </w:r>
          </w:p>
        </w:tc>
        <w:tc>
          <w:tcPr>
            <w:tcW w:w="1605" w:type="dxa"/>
            <w:vAlign w:val="center"/>
          </w:tcPr>
          <w:p w14:paraId="5908654D"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b/>
                <w:bCs/>
                <w:sz w:val="20"/>
                <w:szCs w:val="20"/>
              </w:rPr>
              <w:t>Target protein</w:t>
            </w:r>
          </w:p>
        </w:tc>
        <w:tc>
          <w:tcPr>
            <w:tcW w:w="1583" w:type="dxa"/>
            <w:vAlign w:val="center"/>
          </w:tcPr>
          <w:p w14:paraId="3223248C"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b/>
                <w:bCs/>
                <w:sz w:val="20"/>
                <w:szCs w:val="20"/>
              </w:rPr>
              <w:t>Gene symbol</w:t>
            </w:r>
          </w:p>
        </w:tc>
        <w:tc>
          <w:tcPr>
            <w:tcW w:w="1583" w:type="dxa"/>
            <w:vAlign w:val="center"/>
          </w:tcPr>
          <w:p w14:paraId="093DE614"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b/>
                <w:bCs/>
                <w:sz w:val="20"/>
                <w:szCs w:val="20"/>
              </w:rPr>
              <w:t>Target class</w:t>
            </w:r>
          </w:p>
        </w:tc>
        <w:tc>
          <w:tcPr>
            <w:tcW w:w="1584" w:type="dxa"/>
            <w:vAlign w:val="center"/>
          </w:tcPr>
          <w:p w14:paraId="26B0513A"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b/>
                <w:bCs/>
                <w:sz w:val="20"/>
                <w:szCs w:val="20"/>
              </w:rPr>
              <w:t>Probability</w:t>
            </w:r>
          </w:p>
        </w:tc>
      </w:tr>
      <w:tr w:rsidR="007D055B" w:rsidRPr="006A7376" w14:paraId="38D8BA13" w14:textId="77777777" w:rsidTr="005501B9">
        <w:tc>
          <w:tcPr>
            <w:tcW w:w="1585" w:type="dxa"/>
            <w:vAlign w:val="center"/>
          </w:tcPr>
          <w:p w14:paraId="1E48A800"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Gnetin C</w:t>
            </w:r>
          </w:p>
        </w:tc>
        <w:tc>
          <w:tcPr>
            <w:tcW w:w="1605" w:type="dxa"/>
            <w:vAlign w:val="center"/>
          </w:tcPr>
          <w:p w14:paraId="6461DBEB"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Estrogen receptor alpha</w:t>
            </w:r>
          </w:p>
        </w:tc>
        <w:tc>
          <w:tcPr>
            <w:tcW w:w="1583" w:type="dxa"/>
            <w:vAlign w:val="center"/>
          </w:tcPr>
          <w:p w14:paraId="193EB0FF"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ESR1</w:t>
            </w:r>
          </w:p>
        </w:tc>
        <w:tc>
          <w:tcPr>
            <w:tcW w:w="1583" w:type="dxa"/>
            <w:vAlign w:val="center"/>
          </w:tcPr>
          <w:p w14:paraId="1518EC53"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Nuclear receptor</w:t>
            </w:r>
          </w:p>
        </w:tc>
        <w:tc>
          <w:tcPr>
            <w:tcW w:w="1584" w:type="dxa"/>
            <w:vAlign w:val="center"/>
          </w:tcPr>
          <w:p w14:paraId="782EDCC7"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0.65</w:t>
            </w:r>
          </w:p>
        </w:tc>
      </w:tr>
      <w:tr w:rsidR="007D055B" w:rsidRPr="006A7376" w14:paraId="2895E9AF" w14:textId="77777777" w:rsidTr="005501B9">
        <w:tc>
          <w:tcPr>
            <w:tcW w:w="1585" w:type="dxa"/>
            <w:vAlign w:val="center"/>
          </w:tcPr>
          <w:p w14:paraId="6D674770"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Gnetin C</w:t>
            </w:r>
          </w:p>
        </w:tc>
        <w:tc>
          <w:tcPr>
            <w:tcW w:w="1605" w:type="dxa"/>
            <w:vAlign w:val="center"/>
          </w:tcPr>
          <w:p w14:paraId="2E2C7A0A"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Estrogen receptor beta</w:t>
            </w:r>
          </w:p>
        </w:tc>
        <w:tc>
          <w:tcPr>
            <w:tcW w:w="1583" w:type="dxa"/>
            <w:vAlign w:val="center"/>
          </w:tcPr>
          <w:p w14:paraId="7B52B044"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ESR2</w:t>
            </w:r>
          </w:p>
        </w:tc>
        <w:tc>
          <w:tcPr>
            <w:tcW w:w="1583" w:type="dxa"/>
            <w:vAlign w:val="center"/>
          </w:tcPr>
          <w:p w14:paraId="2E410A5A"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Nuclear receptor</w:t>
            </w:r>
          </w:p>
        </w:tc>
        <w:tc>
          <w:tcPr>
            <w:tcW w:w="1584" w:type="dxa"/>
            <w:vAlign w:val="center"/>
          </w:tcPr>
          <w:p w14:paraId="1036FD09"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0.63</w:t>
            </w:r>
          </w:p>
        </w:tc>
      </w:tr>
      <w:tr w:rsidR="007D055B" w:rsidRPr="006A7376" w14:paraId="72515F1A" w14:textId="77777777" w:rsidTr="005501B9">
        <w:tc>
          <w:tcPr>
            <w:tcW w:w="1585" w:type="dxa"/>
            <w:vAlign w:val="center"/>
          </w:tcPr>
          <w:p w14:paraId="1A32A6E2"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Gnetin C</w:t>
            </w:r>
          </w:p>
        </w:tc>
        <w:tc>
          <w:tcPr>
            <w:tcW w:w="1605" w:type="dxa"/>
            <w:vAlign w:val="center"/>
          </w:tcPr>
          <w:p w14:paraId="2438EA72"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Cyclooxygenase-2</w:t>
            </w:r>
          </w:p>
        </w:tc>
        <w:tc>
          <w:tcPr>
            <w:tcW w:w="1583" w:type="dxa"/>
            <w:vAlign w:val="center"/>
          </w:tcPr>
          <w:p w14:paraId="3686CFB0"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PTGS2</w:t>
            </w:r>
          </w:p>
        </w:tc>
        <w:tc>
          <w:tcPr>
            <w:tcW w:w="1583" w:type="dxa"/>
            <w:vAlign w:val="center"/>
          </w:tcPr>
          <w:p w14:paraId="6CDA5638"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Enzyme</w:t>
            </w:r>
          </w:p>
        </w:tc>
        <w:tc>
          <w:tcPr>
            <w:tcW w:w="1584" w:type="dxa"/>
            <w:vAlign w:val="center"/>
          </w:tcPr>
          <w:p w14:paraId="0F2AA6E5"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0.56</w:t>
            </w:r>
          </w:p>
        </w:tc>
      </w:tr>
      <w:tr w:rsidR="007D055B" w:rsidRPr="006A7376" w14:paraId="6F3AA495" w14:textId="77777777" w:rsidTr="005501B9">
        <w:tc>
          <w:tcPr>
            <w:tcW w:w="1585" w:type="dxa"/>
            <w:vAlign w:val="center"/>
          </w:tcPr>
          <w:p w14:paraId="36BA6653"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lastRenderedPageBreak/>
              <w:t>Gnetin C</w:t>
            </w:r>
          </w:p>
        </w:tc>
        <w:tc>
          <w:tcPr>
            <w:tcW w:w="1605" w:type="dxa"/>
            <w:vAlign w:val="center"/>
          </w:tcPr>
          <w:p w14:paraId="27F45DFD"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Tyrosine-protein kinase Src</w:t>
            </w:r>
          </w:p>
        </w:tc>
        <w:tc>
          <w:tcPr>
            <w:tcW w:w="1583" w:type="dxa"/>
            <w:vAlign w:val="center"/>
          </w:tcPr>
          <w:p w14:paraId="64C67299"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SRC</w:t>
            </w:r>
          </w:p>
        </w:tc>
        <w:tc>
          <w:tcPr>
            <w:tcW w:w="1583" w:type="dxa"/>
            <w:vAlign w:val="center"/>
          </w:tcPr>
          <w:p w14:paraId="2C27408F"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Kinase</w:t>
            </w:r>
          </w:p>
        </w:tc>
        <w:tc>
          <w:tcPr>
            <w:tcW w:w="1584" w:type="dxa"/>
            <w:vAlign w:val="center"/>
          </w:tcPr>
          <w:p w14:paraId="78E473C7"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0.44</w:t>
            </w:r>
          </w:p>
        </w:tc>
      </w:tr>
      <w:tr w:rsidR="007D055B" w:rsidRPr="006A7376" w14:paraId="0F4466C9" w14:textId="77777777" w:rsidTr="005501B9">
        <w:tc>
          <w:tcPr>
            <w:tcW w:w="1585" w:type="dxa"/>
            <w:vAlign w:val="center"/>
          </w:tcPr>
          <w:p w14:paraId="37C8DBBE"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Gnetin C</w:t>
            </w:r>
          </w:p>
        </w:tc>
        <w:tc>
          <w:tcPr>
            <w:tcW w:w="1605" w:type="dxa"/>
            <w:vAlign w:val="center"/>
          </w:tcPr>
          <w:p w14:paraId="2FA2EC5B"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Nitric oxide synthase, inducible</w:t>
            </w:r>
          </w:p>
        </w:tc>
        <w:tc>
          <w:tcPr>
            <w:tcW w:w="1583" w:type="dxa"/>
            <w:vAlign w:val="center"/>
          </w:tcPr>
          <w:p w14:paraId="18521ADB"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NOS2</w:t>
            </w:r>
          </w:p>
        </w:tc>
        <w:tc>
          <w:tcPr>
            <w:tcW w:w="1583" w:type="dxa"/>
            <w:vAlign w:val="center"/>
          </w:tcPr>
          <w:p w14:paraId="20DCF517"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Enzyme</w:t>
            </w:r>
          </w:p>
        </w:tc>
        <w:tc>
          <w:tcPr>
            <w:tcW w:w="1584" w:type="dxa"/>
            <w:vAlign w:val="center"/>
          </w:tcPr>
          <w:p w14:paraId="57B3294D"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0.41</w:t>
            </w:r>
          </w:p>
        </w:tc>
      </w:tr>
      <w:tr w:rsidR="007D055B" w:rsidRPr="006A7376" w14:paraId="0923627F" w14:textId="77777777" w:rsidTr="005501B9">
        <w:tc>
          <w:tcPr>
            <w:tcW w:w="1585" w:type="dxa"/>
            <w:vAlign w:val="center"/>
          </w:tcPr>
          <w:p w14:paraId="4E27F181"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Gnetin C</w:t>
            </w:r>
          </w:p>
        </w:tc>
        <w:tc>
          <w:tcPr>
            <w:tcW w:w="1605" w:type="dxa"/>
            <w:vAlign w:val="center"/>
          </w:tcPr>
          <w:p w14:paraId="6D68BC73"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Androgen receptor</w:t>
            </w:r>
          </w:p>
        </w:tc>
        <w:tc>
          <w:tcPr>
            <w:tcW w:w="1583" w:type="dxa"/>
            <w:vAlign w:val="center"/>
          </w:tcPr>
          <w:p w14:paraId="661278C4"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AR</w:t>
            </w:r>
          </w:p>
        </w:tc>
        <w:tc>
          <w:tcPr>
            <w:tcW w:w="1583" w:type="dxa"/>
            <w:vAlign w:val="center"/>
          </w:tcPr>
          <w:p w14:paraId="6DAFF41B"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Nuclear receptor</w:t>
            </w:r>
          </w:p>
        </w:tc>
        <w:tc>
          <w:tcPr>
            <w:tcW w:w="1584" w:type="dxa"/>
            <w:vAlign w:val="center"/>
          </w:tcPr>
          <w:p w14:paraId="1234A826"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0.39</w:t>
            </w:r>
          </w:p>
        </w:tc>
      </w:tr>
      <w:tr w:rsidR="007D055B" w:rsidRPr="006A7376" w14:paraId="43CF1E09" w14:textId="77777777" w:rsidTr="005501B9">
        <w:tc>
          <w:tcPr>
            <w:tcW w:w="1585" w:type="dxa"/>
            <w:vAlign w:val="center"/>
          </w:tcPr>
          <w:p w14:paraId="2D864774"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Gnetin C</w:t>
            </w:r>
          </w:p>
        </w:tc>
        <w:tc>
          <w:tcPr>
            <w:tcW w:w="1605" w:type="dxa"/>
            <w:vAlign w:val="center"/>
          </w:tcPr>
          <w:p w14:paraId="136FF227"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MAP kinase ERK2</w:t>
            </w:r>
          </w:p>
        </w:tc>
        <w:tc>
          <w:tcPr>
            <w:tcW w:w="1583" w:type="dxa"/>
            <w:vAlign w:val="center"/>
          </w:tcPr>
          <w:p w14:paraId="48A980CF"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MAPK1</w:t>
            </w:r>
          </w:p>
        </w:tc>
        <w:tc>
          <w:tcPr>
            <w:tcW w:w="1583" w:type="dxa"/>
            <w:vAlign w:val="center"/>
          </w:tcPr>
          <w:p w14:paraId="29BF5958"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Kinase</w:t>
            </w:r>
          </w:p>
        </w:tc>
        <w:tc>
          <w:tcPr>
            <w:tcW w:w="1584" w:type="dxa"/>
            <w:vAlign w:val="center"/>
          </w:tcPr>
          <w:p w14:paraId="2CD35E23"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0.36</w:t>
            </w:r>
          </w:p>
        </w:tc>
      </w:tr>
      <w:tr w:rsidR="007D055B" w:rsidRPr="006A7376" w14:paraId="2FC81148" w14:textId="77777777" w:rsidTr="005501B9">
        <w:tc>
          <w:tcPr>
            <w:tcW w:w="1585" w:type="dxa"/>
            <w:vAlign w:val="center"/>
          </w:tcPr>
          <w:p w14:paraId="7BC01762"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Gnetin C</w:t>
            </w:r>
          </w:p>
        </w:tc>
        <w:tc>
          <w:tcPr>
            <w:tcW w:w="1605" w:type="dxa"/>
            <w:vAlign w:val="center"/>
          </w:tcPr>
          <w:p w14:paraId="134DFBD2"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Estrogen-related receptor gamma</w:t>
            </w:r>
          </w:p>
        </w:tc>
        <w:tc>
          <w:tcPr>
            <w:tcW w:w="1583" w:type="dxa"/>
            <w:vAlign w:val="center"/>
          </w:tcPr>
          <w:p w14:paraId="31C26C73"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ESRRG</w:t>
            </w:r>
          </w:p>
        </w:tc>
        <w:tc>
          <w:tcPr>
            <w:tcW w:w="1583" w:type="dxa"/>
            <w:vAlign w:val="center"/>
          </w:tcPr>
          <w:p w14:paraId="0AC7445C"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Nuclear receptor</w:t>
            </w:r>
          </w:p>
        </w:tc>
        <w:tc>
          <w:tcPr>
            <w:tcW w:w="1584" w:type="dxa"/>
            <w:vAlign w:val="center"/>
          </w:tcPr>
          <w:p w14:paraId="199622F7"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0.34</w:t>
            </w:r>
          </w:p>
        </w:tc>
      </w:tr>
      <w:tr w:rsidR="007D055B" w:rsidRPr="006A7376" w14:paraId="0BF58694" w14:textId="77777777" w:rsidTr="005501B9">
        <w:tc>
          <w:tcPr>
            <w:tcW w:w="1585" w:type="dxa"/>
            <w:vAlign w:val="center"/>
          </w:tcPr>
          <w:p w14:paraId="294BCFCC"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Gnetin C</w:t>
            </w:r>
          </w:p>
        </w:tc>
        <w:tc>
          <w:tcPr>
            <w:tcW w:w="1605" w:type="dxa"/>
            <w:vAlign w:val="center"/>
          </w:tcPr>
          <w:p w14:paraId="5C6F9A60"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Proto-oncogene tyrosine-protein kinase Fyn</w:t>
            </w:r>
          </w:p>
        </w:tc>
        <w:tc>
          <w:tcPr>
            <w:tcW w:w="1583" w:type="dxa"/>
            <w:vAlign w:val="center"/>
          </w:tcPr>
          <w:p w14:paraId="408249D7"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FYN</w:t>
            </w:r>
          </w:p>
        </w:tc>
        <w:tc>
          <w:tcPr>
            <w:tcW w:w="1583" w:type="dxa"/>
            <w:vAlign w:val="center"/>
          </w:tcPr>
          <w:p w14:paraId="61578556"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Kinase</w:t>
            </w:r>
          </w:p>
        </w:tc>
        <w:tc>
          <w:tcPr>
            <w:tcW w:w="1584" w:type="dxa"/>
            <w:vAlign w:val="center"/>
          </w:tcPr>
          <w:p w14:paraId="75A311F9"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0.31</w:t>
            </w:r>
          </w:p>
        </w:tc>
      </w:tr>
      <w:tr w:rsidR="007D055B" w:rsidRPr="006A7376" w14:paraId="092475F2" w14:textId="77777777" w:rsidTr="005501B9">
        <w:tc>
          <w:tcPr>
            <w:tcW w:w="1585" w:type="dxa"/>
            <w:vAlign w:val="center"/>
          </w:tcPr>
          <w:p w14:paraId="65389ED3"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Gnetin C</w:t>
            </w:r>
          </w:p>
        </w:tc>
        <w:tc>
          <w:tcPr>
            <w:tcW w:w="1605" w:type="dxa"/>
            <w:vAlign w:val="center"/>
          </w:tcPr>
          <w:p w14:paraId="4831F44C"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PI3-kinase catalytic subunit alpha</w:t>
            </w:r>
          </w:p>
        </w:tc>
        <w:tc>
          <w:tcPr>
            <w:tcW w:w="1583" w:type="dxa"/>
            <w:vAlign w:val="center"/>
          </w:tcPr>
          <w:p w14:paraId="3F75D3D0"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PIK3CA</w:t>
            </w:r>
          </w:p>
        </w:tc>
        <w:tc>
          <w:tcPr>
            <w:tcW w:w="1583" w:type="dxa"/>
            <w:vAlign w:val="center"/>
          </w:tcPr>
          <w:p w14:paraId="264BA1FD"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Kinase</w:t>
            </w:r>
          </w:p>
        </w:tc>
        <w:tc>
          <w:tcPr>
            <w:tcW w:w="1584" w:type="dxa"/>
            <w:vAlign w:val="center"/>
          </w:tcPr>
          <w:p w14:paraId="3E922F11"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0.29</w:t>
            </w:r>
          </w:p>
        </w:tc>
      </w:tr>
      <w:tr w:rsidR="007D055B" w:rsidRPr="006A7376" w14:paraId="0B77534F" w14:textId="77777777" w:rsidTr="005501B9">
        <w:tc>
          <w:tcPr>
            <w:tcW w:w="1585" w:type="dxa"/>
            <w:vAlign w:val="center"/>
          </w:tcPr>
          <w:p w14:paraId="56CD856D"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Quercetin</w:t>
            </w:r>
          </w:p>
        </w:tc>
        <w:tc>
          <w:tcPr>
            <w:tcW w:w="1605" w:type="dxa"/>
            <w:vAlign w:val="center"/>
          </w:tcPr>
          <w:p w14:paraId="25848F80"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Cyclooxygenase-2</w:t>
            </w:r>
          </w:p>
        </w:tc>
        <w:tc>
          <w:tcPr>
            <w:tcW w:w="1583" w:type="dxa"/>
            <w:vAlign w:val="center"/>
          </w:tcPr>
          <w:p w14:paraId="6981E05D"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PTGS2</w:t>
            </w:r>
          </w:p>
        </w:tc>
        <w:tc>
          <w:tcPr>
            <w:tcW w:w="1583" w:type="dxa"/>
            <w:vAlign w:val="center"/>
          </w:tcPr>
          <w:p w14:paraId="368938D6"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Enzyme</w:t>
            </w:r>
          </w:p>
        </w:tc>
        <w:tc>
          <w:tcPr>
            <w:tcW w:w="1584" w:type="dxa"/>
            <w:vAlign w:val="center"/>
          </w:tcPr>
          <w:p w14:paraId="4956368B"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0.68</w:t>
            </w:r>
          </w:p>
        </w:tc>
      </w:tr>
      <w:tr w:rsidR="007D055B" w:rsidRPr="006A7376" w14:paraId="264FCB6A" w14:textId="77777777" w:rsidTr="005501B9">
        <w:tc>
          <w:tcPr>
            <w:tcW w:w="1585" w:type="dxa"/>
            <w:vAlign w:val="center"/>
          </w:tcPr>
          <w:p w14:paraId="7BC3A4E2"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Quercetin</w:t>
            </w:r>
          </w:p>
        </w:tc>
        <w:tc>
          <w:tcPr>
            <w:tcW w:w="1605" w:type="dxa"/>
            <w:vAlign w:val="center"/>
          </w:tcPr>
          <w:p w14:paraId="1B99723B"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Estrogen receptor alpha</w:t>
            </w:r>
          </w:p>
        </w:tc>
        <w:tc>
          <w:tcPr>
            <w:tcW w:w="1583" w:type="dxa"/>
            <w:vAlign w:val="center"/>
          </w:tcPr>
          <w:p w14:paraId="68C00C49"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ESR1</w:t>
            </w:r>
          </w:p>
        </w:tc>
        <w:tc>
          <w:tcPr>
            <w:tcW w:w="1583" w:type="dxa"/>
            <w:vAlign w:val="center"/>
          </w:tcPr>
          <w:p w14:paraId="2AA437F8"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Nuclear receptor</w:t>
            </w:r>
          </w:p>
        </w:tc>
        <w:tc>
          <w:tcPr>
            <w:tcW w:w="1584" w:type="dxa"/>
            <w:vAlign w:val="center"/>
          </w:tcPr>
          <w:p w14:paraId="7903EAB3"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0.61</w:t>
            </w:r>
          </w:p>
        </w:tc>
      </w:tr>
      <w:tr w:rsidR="007D055B" w:rsidRPr="006A7376" w14:paraId="16E776DA" w14:textId="77777777" w:rsidTr="005501B9">
        <w:tc>
          <w:tcPr>
            <w:tcW w:w="1585" w:type="dxa"/>
            <w:vAlign w:val="center"/>
          </w:tcPr>
          <w:p w14:paraId="5E3B7B0C"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Quercetin</w:t>
            </w:r>
          </w:p>
        </w:tc>
        <w:tc>
          <w:tcPr>
            <w:tcW w:w="1605" w:type="dxa"/>
            <w:vAlign w:val="center"/>
          </w:tcPr>
          <w:p w14:paraId="2AEC5786"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Estrogen receptor beta</w:t>
            </w:r>
          </w:p>
        </w:tc>
        <w:tc>
          <w:tcPr>
            <w:tcW w:w="1583" w:type="dxa"/>
            <w:vAlign w:val="center"/>
          </w:tcPr>
          <w:p w14:paraId="47E67331"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ESR2</w:t>
            </w:r>
          </w:p>
        </w:tc>
        <w:tc>
          <w:tcPr>
            <w:tcW w:w="1583" w:type="dxa"/>
            <w:vAlign w:val="center"/>
          </w:tcPr>
          <w:p w14:paraId="6EDDEB86"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Nuclear receptor</w:t>
            </w:r>
          </w:p>
        </w:tc>
        <w:tc>
          <w:tcPr>
            <w:tcW w:w="1584" w:type="dxa"/>
            <w:vAlign w:val="center"/>
          </w:tcPr>
          <w:p w14:paraId="52A173E2"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0.59</w:t>
            </w:r>
          </w:p>
        </w:tc>
      </w:tr>
      <w:tr w:rsidR="007D055B" w:rsidRPr="006A7376" w14:paraId="12062D1A" w14:textId="77777777" w:rsidTr="005501B9">
        <w:tc>
          <w:tcPr>
            <w:tcW w:w="1585" w:type="dxa"/>
            <w:vAlign w:val="center"/>
          </w:tcPr>
          <w:p w14:paraId="48C74331"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Quercetin</w:t>
            </w:r>
          </w:p>
        </w:tc>
        <w:tc>
          <w:tcPr>
            <w:tcW w:w="1605" w:type="dxa"/>
            <w:vAlign w:val="center"/>
          </w:tcPr>
          <w:p w14:paraId="1F6978E8"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Tyrosine-protein kinase Src</w:t>
            </w:r>
          </w:p>
        </w:tc>
        <w:tc>
          <w:tcPr>
            <w:tcW w:w="1583" w:type="dxa"/>
            <w:vAlign w:val="center"/>
          </w:tcPr>
          <w:p w14:paraId="2C502869"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SRC</w:t>
            </w:r>
          </w:p>
        </w:tc>
        <w:tc>
          <w:tcPr>
            <w:tcW w:w="1583" w:type="dxa"/>
            <w:vAlign w:val="center"/>
          </w:tcPr>
          <w:p w14:paraId="1A2B0C9A"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Kinase</w:t>
            </w:r>
          </w:p>
        </w:tc>
        <w:tc>
          <w:tcPr>
            <w:tcW w:w="1584" w:type="dxa"/>
            <w:vAlign w:val="center"/>
          </w:tcPr>
          <w:p w14:paraId="008F3C3A"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0.47</w:t>
            </w:r>
          </w:p>
        </w:tc>
      </w:tr>
      <w:tr w:rsidR="007D055B" w:rsidRPr="006A7376" w14:paraId="1A5221EB" w14:textId="77777777" w:rsidTr="005501B9">
        <w:tc>
          <w:tcPr>
            <w:tcW w:w="1585" w:type="dxa"/>
            <w:vAlign w:val="center"/>
          </w:tcPr>
          <w:p w14:paraId="11FD027C"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Quercetin</w:t>
            </w:r>
          </w:p>
        </w:tc>
        <w:tc>
          <w:tcPr>
            <w:tcW w:w="1605" w:type="dxa"/>
            <w:vAlign w:val="center"/>
          </w:tcPr>
          <w:p w14:paraId="32550B54"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MAP kinase ERK2</w:t>
            </w:r>
          </w:p>
        </w:tc>
        <w:tc>
          <w:tcPr>
            <w:tcW w:w="1583" w:type="dxa"/>
            <w:vAlign w:val="center"/>
          </w:tcPr>
          <w:p w14:paraId="03A06129"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MAPK1</w:t>
            </w:r>
          </w:p>
        </w:tc>
        <w:tc>
          <w:tcPr>
            <w:tcW w:w="1583" w:type="dxa"/>
            <w:vAlign w:val="center"/>
          </w:tcPr>
          <w:p w14:paraId="3ABC103D"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Kinase</w:t>
            </w:r>
          </w:p>
        </w:tc>
        <w:tc>
          <w:tcPr>
            <w:tcW w:w="1584" w:type="dxa"/>
            <w:vAlign w:val="center"/>
          </w:tcPr>
          <w:p w14:paraId="5BC7C80A"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0.45</w:t>
            </w:r>
          </w:p>
        </w:tc>
      </w:tr>
      <w:tr w:rsidR="007D055B" w:rsidRPr="006A7376" w14:paraId="3CFD7FF1" w14:textId="77777777" w:rsidTr="005501B9">
        <w:tc>
          <w:tcPr>
            <w:tcW w:w="1585" w:type="dxa"/>
            <w:vAlign w:val="center"/>
          </w:tcPr>
          <w:p w14:paraId="5BEBF8A1"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Quercetin</w:t>
            </w:r>
          </w:p>
        </w:tc>
        <w:tc>
          <w:tcPr>
            <w:tcW w:w="1605" w:type="dxa"/>
            <w:vAlign w:val="center"/>
          </w:tcPr>
          <w:p w14:paraId="06AE248A"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Androgen receptor</w:t>
            </w:r>
          </w:p>
        </w:tc>
        <w:tc>
          <w:tcPr>
            <w:tcW w:w="1583" w:type="dxa"/>
            <w:vAlign w:val="center"/>
          </w:tcPr>
          <w:p w14:paraId="61BC72C2"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AR</w:t>
            </w:r>
          </w:p>
        </w:tc>
        <w:tc>
          <w:tcPr>
            <w:tcW w:w="1583" w:type="dxa"/>
            <w:vAlign w:val="center"/>
          </w:tcPr>
          <w:p w14:paraId="158B7843"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Nuclear receptor</w:t>
            </w:r>
          </w:p>
        </w:tc>
        <w:tc>
          <w:tcPr>
            <w:tcW w:w="1584" w:type="dxa"/>
            <w:vAlign w:val="center"/>
          </w:tcPr>
          <w:p w14:paraId="22915884"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0.41</w:t>
            </w:r>
          </w:p>
        </w:tc>
      </w:tr>
      <w:tr w:rsidR="007D055B" w:rsidRPr="006A7376" w14:paraId="7911C785" w14:textId="77777777" w:rsidTr="005501B9">
        <w:tc>
          <w:tcPr>
            <w:tcW w:w="1585" w:type="dxa"/>
            <w:vAlign w:val="center"/>
          </w:tcPr>
          <w:p w14:paraId="64221F09"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Quercetin</w:t>
            </w:r>
          </w:p>
        </w:tc>
        <w:tc>
          <w:tcPr>
            <w:tcW w:w="1605" w:type="dxa"/>
            <w:vAlign w:val="center"/>
          </w:tcPr>
          <w:p w14:paraId="0C0D77FC"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PI3-kinase catalytic subunit alpha</w:t>
            </w:r>
          </w:p>
        </w:tc>
        <w:tc>
          <w:tcPr>
            <w:tcW w:w="1583" w:type="dxa"/>
            <w:vAlign w:val="center"/>
          </w:tcPr>
          <w:p w14:paraId="7BC0BE9B"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PIK3CA</w:t>
            </w:r>
          </w:p>
        </w:tc>
        <w:tc>
          <w:tcPr>
            <w:tcW w:w="1583" w:type="dxa"/>
            <w:vAlign w:val="center"/>
          </w:tcPr>
          <w:p w14:paraId="2C5D4C20"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Kinase</w:t>
            </w:r>
          </w:p>
        </w:tc>
        <w:tc>
          <w:tcPr>
            <w:tcW w:w="1584" w:type="dxa"/>
            <w:vAlign w:val="center"/>
          </w:tcPr>
          <w:p w14:paraId="123E3F5F"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0.38</w:t>
            </w:r>
          </w:p>
        </w:tc>
      </w:tr>
      <w:tr w:rsidR="007D055B" w:rsidRPr="006A7376" w14:paraId="2C60FEE8" w14:textId="77777777" w:rsidTr="005501B9">
        <w:tc>
          <w:tcPr>
            <w:tcW w:w="1585" w:type="dxa"/>
            <w:vAlign w:val="center"/>
          </w:tcPr>
          <w:p w14:paraId="3A20395F"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Quercetin</w:t>
            </w:r>
          </w:p>
        </w:tc>
        <w:tc>
          <w:tcPr>
            <w:tcW w:w="1605" w:type="dxa"/>
            <w:vAlign w:val="center"/>
          </w:tcPr>
          <w:p w14:paraId="0145B553"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Nitric oxide synthase, inducible</w:t>
            </w:r>
          </w:p>
        </w:tc>
        <w:tc>
          <w:tcPr>
            <w:tcW w:w="1583" w:type="dxa"/>
            <w:vAlign w:val="center"/>
          </w:tcPr>
          <w:p w14:paraId="6A49F363"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NOS2</w:t>
            </w:r>
          </w:p>
        </w:tc>
        <w:tc>
          <w:tcPr>
            <w:tcW w:w="1583" w:type="dxa"/>
            <w:vAlign w:val="center"/>
          </w:tcPr>
          <w:p w14:paraId="320B0CAF"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Enzyme</w:t>
            </w:r>
          </w:p>
        </w:tc>
        <w:tc>
          <w:tcPr>
            <w:tcW w:w="1584" w:type="dxa"/>
            <w:vAlign w:val="center"/>
          </w:tcPr>
          <w:p w14:paraId="6CF27435"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0.36</w:t>
            </w:r>
          </w:p>
        </w:tc>
      </w:tr>
      <w:tr w:rsidR="007D055B" w:rsidRPr="006A7376" w14:paraId="0C3331E3" w14:textId="77777777" w:rsidTr="005501B9">
        <w:tc>
          <w:tcPr>
            <w:tcW w:w="1585" w:type="dxa"/>
            <w:vAlign w:val="center"/>
          </w:tcPr>
          <w:p w14:paraId="201FC241"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Quercetin</w:t>
            </w:r>
          </w:p>
        </w:tc>
        <w:tc>
          <w:tcPr>
            <w:tcW w:w="1605" w:type="dxa"/>
            <w:vAlign w:val="center"/>
          </w:tcPr>
          <w:p w14:paraId="7D6C0563"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Protein kinase C alpha</w:t>
            </w:r>
          </w:p>
        </w:tc>
        <w:tc>
          <w:tcPr>
            <w:tcW w:w="1583" w:type="dxa"/>
            <w:vAlign w:val="center"/>
          </w:tcPr>
          <w:p w14:paraId="341795A3"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PRKCA</w:t>
            </w:r>
          </w:p>
        </w:tc>
        <w:tc>
          <w:tcPr>
            <w:tcW w:w="1583" w:type="dxa"/>
            <w:vAlign w:val="center"/>
          </w:tcPr>
          <w:p w14:paraId="07D44CA2"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Kinase</w:t>
            </w:r>
          </w:p>
        </w:tc>
        <w:tc>
          <w:tcPr>
            <w:tcW w:w="1584" w:type="dxa"/>
            <w:vAlign w:val="center"/>
          </w:tcPr>
          <w:p w14:paraId="768CA217"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0.33</w:t>
            </w:r>
          </w:p>
        </w:tc>
      </w:tr>
      <w:tr w:rsidR="007D055B" w:rsidRPr="006A7376" w14:paraId="64DFBE21" w14:textId="77777777" w:rsidTr="005501B9">
        <w:tc>
          <w:tcPr>
            <w:tcW w:w="1585" w:type="dxa"/>
            <w:vAlign w:val="center"/>
          </w:tcPr>
          <w:p w14:paraId="230D89BD"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lastRenderedPageBreak/>
              <w:t>Quercetin</w:t>
            </w:r>
          </w:p>
        </w:tc>
        <w:tc>
          <w:tcPr>
            <w:tcW w:w="1605" w:type="dxa"/>
            <w:vAlign w:val="center"/>
          </w:tcPr>
          <w:p w14:paraId="5969DAF2"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Estrogen-related receptor gamma</w:t>
            </w:r>
          </w:p>
        </w:tc>
        <w:tc>
          <w:tcPr>
            <w:tcW w:w="1583" w:type="dxa"/>
            <w:vAlign w:val="center"/>
          </w:tcPr>
          <w:p w14:paraId="4D015419"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ESRRG</w:t>
            </w:r>
          </w:p>
        </w:tc>
        <w:tc>
          <w:tcPr>
            <w:tcW w:w="1583" w:type="dxa"/>
            <w:vAlign w:val="center"/>
          </w:tcPr>
          <w:p w14:paraId="47042949"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Nuclear receptor</w:t>
            </w:r>
          </w:p>
        </w:tc>
        <w:tc>
          <w:tcPr>
            <w:tcW w:w="1584" w:type="dxa"/>
            <w:vAlign w:val="center"/>
          </w:tcPr>
          <w:p w14:paraId="05B0A612"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0.31</w:t>
            </w:r>
          </w:p>
        </w:tc>
      </w:tr>
      <w:tr w:rsidR="007D055B" w:rsidRPr="006A7376" w14:paraId="65F4317C" w14:textId="77777777" w:rsidTr="005501B9">
        <w:tc>
          <w:tcPr>
            <w:tcW w:w="1585" w:type="dxa"/>
            <w:vAlign w:val="center"/>
          </w:tcPr>
          <w:p w14:paraId="768DDDAA"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Resveratrol</w:t>
            </w:r>
          </w:p>
        </w:tc>
        <w:tc>
          <w:tcPr>
            <w:tcW w:w="1605" w:type="dxa"/>
            <w:vAlign w:val="center"/>
          </w:tcPr>
          <w:p w14:paraId="3B7DAF41"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Estrogen receptor alpha</w:t>
            </w:r>
          </w:p>
        </w:tc>
        <w:tc>
          <w:tcPr>
            <w:tcW w:w="1583" w:type="dxa"/>
            <w:vAlign w:val="center"/>
          </w:tcPr>
          <w:p w14:paraId="5FB92B0D"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ESR1</w:t>
            </w:r>
          </w:p>
        </w:tc>
        <w:tc>
          <w:tcPr>
            <w:tcW w:w="1583" w:type="dxa"/>
            <w:vAlign w:val="center"/>
          </w:tcPr>
          <w:p w14:paraId="5DB574C7"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Nuclear receptor</w:t>
            </w:r>
          </w:p>
        </w:tc>
        <w:tc>
          <w:tcPr>
            <w:tcW w:w="1584" w:type="dxa"/>
            <w:vAlign w:val="center"/>
          </w:tcPr>
          <w:p w14:paraId="154DD515"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0.72</w:t>
            </w:r>
          </w:p>
        </w:tc>
      </w:tr>
      <w:tr w:rsidR="007D055B" w:rsidRPr="006A7376" w14:paraId="79975331" w14:textId="77777777" w:rsidTr="005501B9">
        <w:tc>
          <w:tcPr>
            <w:tcW w:w="1585" w:type="dxa"/>
            <w:vAlign w:val="center"/>
          </w:tcPr>
          <w:p w14:paraId="641B5E5A"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Resveratrol</w:t>
            </w:r>
          </w:p>
        </w:tc>
        <w:tc>
          <w:tcPr>
            <w:tcW w:w="1605" w:type="dxa"/>
            <w:vAlign w:val="center"/>
          </w:tcPr>
          <w:p w14:paraId="08FF89A7"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Estrogen receptor beta</w:t>
            </w:r>
          </w:p>
        </w:tc>
        <w:tc>
          <w:tcPr>
            <w:tcW w:w="1583" w:type="dxa"/>
            <w:vAlign w:val="center"/>
          </w:tcPr>
          <w:p w14:paraId="4E506ECF"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ESR2</w:t>
            </w:r>
          </w:p>
        </w:tc>
        <w:tc>
          <w:tcPr>
            <w:tcW w:w="1583" w:type="dxa"/>
            <w:vAlign w:val="center"/>
          </w:tcPr>
          <w:p w14:paraId="7EB7DC4E"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Nuclear receptor</w:t>
            </w:r>
          </w:p>
        </w:tc>
        <w:tc>
          <w:tcPr>
            <w:tcW w:w="1584" w:type="dxa"/>
            <w:vAlign w:val="center"/>
          </w:tcPr>
          <w:p w14:paraId="6E8B85C2"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0.69</w:t>
            </w:r>
          </w:p>
        </w:tc>
      </w:tr>
      <w:tr w:rsidR="007D055B" w:rsidRPr="006A7376" w14:paraId="07311C89" w14:textId="77777777" w:rsidTr="005501B9">
        <w:tc>
          <w:tcPr>
            <w:tcW w:w="1585" w:type="dxa"/>
            <w:vAlign w:val="center"/>
          </w:tcPr>
          <w:p w14:paraId="3D5F7869"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Resveratrol</w:t>
            </w:r>
          </w:p>
        </w:tc>
        <w:tc>
          <w:tcPr>
            <w:tcW w:w="1605" w:type="dxa"/>
            <w:vAlign w:val="center"/>
          </w:tcPr>
          <w:p w14:paraId="129B267E"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Androgen receptor</w:t>
            </w:r>
          </w:p>
        </w:tc>
        <w:tc>
          <w:tcPr>
            <w:tcW w:w="1583" w:type="dxa"/>
            <w:vAlign w:val="center"/>
          </w:tcPr>
          <w:p w14:paraId="65207B26"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AR</w:t>
            </w:r>
          </w:p>
        </w:tc>
        <w:tc>
          <w:tcPr>
            <w:tcW w:w="1583" w:type="dxa"/>
            <w:vAlign w:val="center"/>
          </w:tcPr>
          <w:p w14:paraId="2A2156AB"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Nuclear receptor</w:t>
            </w:r>
          </w:p>
        </w:tc>
        <w:tc>
          <w:tcPr>
            <w:tcW w:w="1584" w:type="dxa"/>
            <w:vAlign w:val="center"/>
          </w:tcPr>
          <w:p w14:paraId="5C06AD3E"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0.58</w:t>
            </w:r>
          </w:p>
        </w:tc>
      </w:tr>
      <w:tr w:rsidR="007D055B" w:rsidRPr="006A7376" w14:paraId="2AF19304" w14:textId="77777777" w:rsidTr="005501B9">
        <w:tc>
          <w:tcPr>
            <w:tcW w:w="1585" w:type="dxa"/>
            <w:vAlign w:val="center"/>
          </w:tcPr>
          <w:p w14:paraId="022074A9"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Resveratrol</w:t>
            </w:r>
          </w:p>
        </w:tc>
        <w:tc>
          <w:tcPr>
            <w:tcW w:w="1605" w:type="dxa"/>
            <w:vAlign w:val="center"/>
          </w:tcPr>
          <w:p w14:paraId="32283669"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Cyclooxygenase-2</w:t>
            </w:r>
          </w:p>
        </w:tc>
        <w:tc>
          <w:tcPr>
            <w:tcW w:w="1583" w:type="dxa"/>
            <w:vAlign w:val="center"/>
          </w:tcPr>
          <w:p w14:paraId="4BBC2AC5"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PTGS2</w:t>
            </w:r>
          </w:p>
        </w:tc>
        <w:tc>
          <w:tcPr>
            <w:tcW w:w="1583" w:type="dxa"/>
            <w:vAlign w:val="center"/>
          </w:tcPr>
          <w:p w14:paraId="0CC1A322"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Enzyme</w:t>
            </w:r>
          </w:p>
        </w:tc>
        <w:tc>
          <w:tcPr>
            <w:tcW w:w="1584" w:type="dxa"/>
            <w:vAlign w:val="center"/>
          </w:tcPr>
          <w:p w14:paraId="7B9C017A"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0.52</w:t>
            </w:r>
          </w:p>
        </w:tc>
      </w:tr>
      <w:tr w:rsidR="007D055B" w:rsidRPr="006A7376" w14:paraId="3981AC2E" w14:textId="77777777" w:rsidTr="005501B9">
        <w:tc>
          <w:tcPr>
            <w:tcW w:w="1585" w:type="dxa"/>
            <w:vAlign w:val="center"/>
          </w:tcPr>
          <w:p w14:paraId="10A1D74C"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Resveratrol</w:t>
            </w:r>
          </w:p>
        </w:tc>
        <w:tc>
          <w:tcPr>
            <w:tcW w:w="1605" w:type="dxa"/>
            <w:vAlign w:val="center"/>
          </w:tcPr>
          <w:p w14:paraId="2BCD4618"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Sirtuin 1</w:t>
            </w:r>
          </w:p>
        </w:tc>
        <w:tc>
          <w:tcPr>
            <w:tcW w:w="1583" w:type="dxa"/>
            <w:vAlign w:val="center"/>
          </w:tcPr>
          <w:p w14:paraId="7D06C521"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SIRT1</w:t>
            </w:r>
          </w:p>
        </w:tc>
        <w:tc>
          <w:tcPr>
            <w:tcW w:w="1583" w:type="dxa"/>
            <w:vAlign w:val="center"/>
          </w:tcPr>
          <w:p w14:paraId="07C58EF5"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Enzyme</w:t>
            </w:r>
          </w:p>
        </w:tc>
        <w:tc>
          <w:tcPr>
            <w:tcW w:w="1584" w:type="dxa"/>
            <w:vAlign w:val="center"/>
          </w:tcPr>
          <w:p w14:paraId="410A0C2B"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0.49</w:t>
            </w:r>
          </w:p>
        </w:tc>
      </w:tr>
      <w:tr w:rsidR="007D055B" w:rsidRPr="006A7376" w14:paraId="73F58C7F" w14:textId="77777777" w:rsidTr="005501B9">
        <w:tc>
          <w:tcPr>
            <w:tcW w:w="1585" w:type="dxa"/>
            <w:vAlign w:val="center"/>
          </w:tcPr>
          <w:p w14:paraId="3EB74364"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Resveratrol</w:t>
            </w:r>
          </w:p>
        </w:tc>
        <w:tc>
          <w:tcPr>
            <w:tcW w:w="1605" w:type="dxa"/>
            <w:vAlign w:val="center"/>
          </w:tcPr>
          <w:p w14:paraId="17A135A3"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MAP kinase ERK2</w:t>
            </w:r>
          </w:p>
        </w:tc>
        <w:tc>
          <w:tcPr>
            <w:tcW w:w="1583" w:type="dxa"/>
            <w:vAlign w:val="center"/>
          </w:tcPr>
          <w:p w14:paraId="1E936DAE"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MAPK1</w:t>
            </w:r>
          </w:p>
        </w:tc>
        <w:tc>
          <w:tcPr>
            <w:tcW w:w="1583" w:type="dxa"/>
            <w:vAlign w:val="center"/>
          </w:tcPr>
          <w:p w14:paraId="18E38048"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Kinase</w:t>
            </w:r>
          </w:p>
        </w:tc>
        <w:tc>
          <w:tcPr>
            <w:tcW w:w="1584" w:type="dxa"/>
            <w:vAlign w:val="center"/>
          </w:tcPr>
          <w:p w14:paraId="6ABD1C5A"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0.44</w:t>
            </w:r>
          </w:p>
        </w:tc>
      </w:tr>
      <w:tr w:rsidR="007D055B" w:rsidRPr="006A7376" w14:paraId="4AFE9751" w14:textId="77777777" w:rsidTr="005501B9">
        <w:tc>
          <w:tcPr>
            <w:tcW w:w="1585" w:type="dxa"/>
            <w:vAlign w:val="center"/>
          </w:tcPr>
          <w:p w14:paraId="2E1BE23E"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Resveratrol</w:t>
            </w:r>
          </w:p>
        </w:tc>
        <w:tc>
          <w:tcPr>
            <w:tcW w:w="1605" w:type="dxa"/>
            <w:vAlign w:val="center"/>
          </w:tcPr>
          <w:p w14:paraId="7EC332F8"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Tyrosine-protein kinase Src</w:t>
            </w:r>
          </w:p>
        </w:tc>
        <w:tc>
          <w:tcPr>
            <w:tcW w:w="1583" w:type="dxa"/>
            <w:vAlign w:val="center"/>
          </w:tcPr>
          <w:p w14:paraId="21875B1E"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SRC</w:t>
            </w:r>
          </w:p>
        </w:tc>
        <w:tc>
          <w:tcPr>
            <w:tcW w:w="1583" w:type="dxa"/>
            <w:vAlign w:val="center"/>
          </w:tcPr>
          <w:p w14:paraId="60BF4DA9"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Kinase</w:t>
            </w:r>
          </w:p>
        </w:tc>
        <w:tc>
          <w:tcPr>
            <w:tcW w:w="1584" w:type="dxa"/>
            <w:vAlign w:val="center"/>
          </w:tcPr>
          <w:p w14:paraId="26133C57"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0.42</w:t>
            </w:r>
          </w:p>
        </w:tc>
      </w:tr>
      <w:tr w:rsidR="007D055B" w:rsidRPr="006A7376" w14:paraId="1B5F18A5" w14:textId="77777777" w:rsidTr="005501B9">
        <w:tc>
          <w:tcPr>
            <w:tcW w:w="1585" w:type="dxa"/>
            <w:vAlign w:val="center"/>
          </w:tcPr>
          <w:p w14:paraId="23FFE3BB"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Resveratrol</w:t>
            </w:r>
          </w:p>
        </w:tc>
        <w:tc>
          <w:tcPr>
            <w:tcW w:w="1605" w:type="dxa"/>
            <w:vAlign w:val="center"/>
          </w:tcPr>
          <w:p w14:paraId="2AD04697"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PI3-kinase catalytic subunit alpha</w:t>
            </w:r>
          </w:p>
        </w:tc>
        <w:tc>
          <w:tcPr>
            <w:tcW w:w="1583" w:type="dxa"/>
            <w:vAlign w:val="center"/>
          </w:tcPr>
          <w:p w14:paraId="1330D78A"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PIK3CA</w:t>
            </w:r>
          </w:p>
        </w:tc>
        <w:tc>
          <w:tcPr>
            <w:tcW w:w="1583" w:type="dxa"/>
            <w:vAlign w:val="center"/>
          </w:tcPr>
          <w:p w14:paraId="53C983F3"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Kinase</w:t>
            </w:r>
          </w:p>
        </w:tc>
        <w:tc>
          <w:tcPr>
            <w:tcW w:w="1584" w:type="dxa"/>
            <w:vAlign w:val="center"/>
          </w:tcPr>
          <w:p w14:paraId="74D7F1AB"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0.39</w:t>
            </w:r>
          </w:p>
        </w:tc>
      </w:tr>
      <w:tr w:rsidR="007D055B" w:rsidRPr="006A7376" w14:paraId="7317FDA0" w14:textId="77777777" w:rsidTr="005501B9">
        <w:tc>
          <w:tcPr>
            <w:tcW w:w="1585" w:type="dxa"/>
            <w:vAlign w:val="center"/>
          </w:tcPr>
          <w:p w14:paraId="2A413E98"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Resveratrol</w:t>
            </w:r>
          </w:p>
        </w:tc>
        <w:tc>
          <w:tcPr>
            <w:tcW w:w="1605" w:type="dxa"/>
            <w:vAlign w:val="center"/>
          </w:tcPr>
          <w:p w14:paraId="240B2017"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Estrogen-related receptor gamma</w:t>
            </w:r>
          </w:p>
        </w:tc>
        <w:tc>
          <w:tcPr>
            <w:tcW w:w="1583" w:type="dxa"/>
            <w:vAlign w:val="center"/>
          </w:tcPr>
          <w:p w14:paraId="59DAE826"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ESRRG</w:t>
            </w:r>
          </w:p>
        </w:tc>
        <w:tc>
          <w:tcPr>
            <w:tcW w:w="1583" w:type="dxa"/>
            <w:vAlign w:val="center"/>
          </w:tcPr>
          <w:p w14:paraId="3E08D2D2"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Nuclear receptor</w:t>
            </w:r>
          </w:p>
        </w:tc>
        <w:tc>
          <w:tcPr>
            <w:tcW w:w="1584" w:type="dxa"/>
            <w:vAlign w:val="center"/>
          </w:tcPr>
          <w:p w14:paraId="738C9408"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0.37</w:t>
            </w:r>
          </w:p>
        </w:tc>
      </w:tr>
      <w:tr w:rsidR="007D055B" w:rsidRPr="006A7376" w14:paraId="0243E4CF" w14:textId="77777777" w:rsidTr="005501B9">
        <w:tc>
          <w:tcPr>
            <w:tcW w:w="1585" w:type="dxa"/>
            <w:vAlign w:val="center"/>
          </w:tcPr>
          <w:p w14:paraId="7A69D3BD"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Resveratrol</w:t>
            </w:r>
          </w:p>
        </w:tc>
        <w:tc>
          <w:tcPr>
            <w:tcW w:w="1605" w:type="dxa"/>
            <w:vAlign w:val="center"/>
          </w:tcPr>
          <w:p w14:paraId="48ECFA29"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Protein kinase C alpha</w:t>
            </w:r>
          </w:p>
        </w:tc>
        <w:tc>
          <w:tcPr>
            <w:tcW w:w="1583" w:type="dxa"/>
            <w:vAlign w:val="center"/>
          </w:tcPr>
          <w:p w14:paraId="4645E484"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PRKCA</w:t>
            </w:r>
          </w:p>
        </w:tc>
        <w:tc>
          <w:tcPr>
            <w:tcW w:w="1583" w:type="dxa"/>
            <w:vAlign w:val="center"/>
          </w:tcPr>
          <w:p w14:paraId="025C6BD5"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Kinase</w:t>
            </w:r>
          </w:p>
        </w:tc>
        <w:tc>
          <w:tcPr>
            <w:tcW w:w="1584" w:type="dxa"/>
            <w:vAlign w:val="center"/>
          </w:tcPr>
          <w:p w14:paraId="2EA16F9F" w14:textId="77777777" w:rsidR="007D055B" w:rsidRPr="006A7376" w:rsidRDefault="007D055B" w:rsidP="005501B9">
            <w:pPr>
              <w:spacing w:line="360" w:lineRule="auto"/>
              <w:jc w:val="both"/>
              <w:rPr>
                <w:rFonts w:ascii="Times New Roman" w:hAnsi="Times New Roman" w:cs="Times New Roman"/>
                <w:sz w:val="20"/>
                <w:szCs w:val="20"/>
              </w:rPr>
            </w:pPr>
            <w:r w:rsidRPr="006A7376">
              <w:rPr>
                <w:rFonts w:ascii="Times New Roman" w:hAnsi="Times New Roman" w:cs="Times New Roman"/>
                <w:sz w:val="20"/>
                <w:szCs w:val="20"/>
              </w:rPr>
              <w:t>0.35</w:t>
            </w:r>
          </w:p>
        </w:tc>
      </w:tr>
    </w:tbl>
    <w:p w14:paraId="01AD8C9B" w14:textId="77777777" w:rsidR="007D055B" w:rsidRPr="006A7376" w:rsidRDefault="007D055B" w:rsidP="007D055B">
      <w:pPr>
        <w:spacing w:line="360" w:lineRule="auto"/>
        <w:jc w:val="center"/>
        <w:rPr>
          <w:rFonts w:ascii="Times New Roman" w:hAnsi="Times New Roman" w:cs="Times New Roman"/>
          <w:sz w:val="20"/>
          <w:szCs w:val="20"/>
        </w:rPr>
      </w:pPr>
      <w:r w:rsidRPr="006A7376">
        <w:rPr>
          <w:rFonts w:ascii="Times New Roman" w:hAnsi="Times New Roman" w:cs="Times New Roman"/>
          <w:b/>
          <w:bCs/>
          <w:sz w:val="20"/>
          <w:szCs w:val="20"/>
        </w:rPr>
        <w:t xml:space="preserve">Table S8. </w:t>
      </w:r>
      <w:r w:rsidRPr="006A7376">
        <w:rPr>
          <w:rFonts w:ascii="Times New Roman" w:hAnsi="Times New Roman" w:cs="Times New Roman"/>
          <w:sz w:val="20"/>
          <w:szCs w:val="20"/>
        </w:rPr>
        <w:t>Predicted molecular targets of gnetin C, quercetin, and resveratrol derived from SwissTargetPrediction, including probability scores and target classes.</w:t>
      </w:r>
    </w:p>
    <w:tbl>
      <w:tblPr>
        <w:tblStyle w:val="TableGrid"/>
        <w:tblW w:w="0" w:type="auto"/>
        <w:tblBorders>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323"/>
        <w:gridCol w:w="1323"/>
        <w:gridCol w:w="864"/>
        <w:gridCol w:w="1170"/>
        <w:gridCol w:w="1530"/>
        <w:gridCol w:w="1730"/>
      </w:tblGrid>
      <w:tr w:rsidR="007D055B" w:rsidRPr="006A7376" w14:paraId="42F76D0E" w14:textId="77777777" w:rsidTr="005501B9">
        <w:tc>
          <w:tcPr>
            <w:tcW w:w="1323" w:type="dxa"/>
          </w:tcPr>
          <w:p w14:paraId="79F7BAA6"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b/>
                <w:bCs/>
                <w:color w:val="000000"/>
                <w:sz w:val="20"/>
                <w:szCs w:val="20"/>
              </w:rPr>
              <w:t>Database</w:t>
            </w:r>
          </w:p>
        </w:tc>
        <w:tc>
          <w:tcPr>
            <w:tcW w:w="1323" w:type="dxa"/>
          </w:tcPr>
          <w:p w14:paraId="2FC066D1"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b/>
                <w:bCs/>
                <w:color w:val="000000"/>
                <w:sz w:val="20"/>
                <w:szCs w:val="20"/>
              </w:rPr>
              <w:t>Enriched term / pathway</w:t>
            </w:r>
          </w:p>
        </w:tc>
        <w:tc>
          <w:tcPr>
            <w:tcW w:w="864" w:type="dxa"/>
          </w:tcPr>
          <w:p w14:paraId="03351D25"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b/>
                <w:bCs/>
                <w:color w:val="000000"/>
                <w:sz w:val="20"/>
                <w:szCs w:val="20"/>
              </w:rPr>
              <w:t>Gene count</w:t>
            </w:r>
          </w:p>
        </w:tc>
        <w:tc>
          <w:tcPr>
            <w:tcW w:w="1170" w:type="dxa"/>
          </w:tcPr>
          <w:p w14:paraId="27ABD747"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b/>
                <w:bCs/>
                <w:color w:val="000000"/>
                <w:sz w:val="20"/>
                <w:szCs w:val="20"/>
              </w:rPr>
              <w:t>FDR</w:t>
            </w:r>
          </w:p>
        </w:tc>
        <w:tc>
          <w:tcPr>
            <w:tcW w:w="1530" w:type="dxa"/>
          </w:tcPr>
          <w:p w14:paraId="066E998A"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b/>
                <w:bCs/>
                <w:color w:val="000000"/>
                <w:sz w:val="20"/>
                <w:szCs w:val="20"/>
              </w:rPr>
              <w:t>−log10(FDR)</w:t>
            </w:r>
          </w:p>
        </w:tc>
        <w:tc>
          <w:tcPr>
            <w:tcW w:w="1730" w:type="dxa"/>
          </w:tcPr>
          <w:p w14:paraId="5C04E5F9"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b/>
                <w:bCs/>
                <w:color w:val="000000"/>
                <w:sz w:val="20"/>
                <w:szCs w:val="20"/>
              </w:rPr>
              <w:t>Associated genes</w:t>
            </w:r>
          </w:p>
        </w:tc>
      </w:tr>
      <w:tr w:rsidR="007D055B" w:rsidRPr="006A7376" w14:paraId="7CEA356A" w14:textId="77777777" w:rsidTr="005501B9">
        <w:tc>
          <w:tcPr>
            <w:tcW w:w="1323" w:type="dxa"/>
          </w:tcPr>
          <w:p w14:paraId="291F85A2"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GO BP</w:t>
            </w:r>
          </w:p>
        </w:tc>
        <w:tc>
          <w:tcPr>
            <w:tcW w:w="1323" w:type="dxa"/>
          </w:tcPr>
          <w:p w14:paraId="39565FA2"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Regulation of lymphocyte activation</w:t>
            </w:r>
          </w:p>
        </w:tc>
        <w:tc>
          <w:tcPr>
            <w:tcW w:w="864" w:type="dxa"/>
          </w:tcPr>
          <w:p w14:paraId="419FA424"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9</w:t>
            </w:r>
          </w:p>
        </w:tc>
        <w:tc>
          <w:tcPr>
            <w:tcW w:w="1170" w:type="dxa"/>
          </w:tcPr>
          <w:p w14:paraId="2468CE33"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4.52E-09</w:t>
            </w:r>
          </w:p>
        </w:tc>
        <w:tc>
          <w:tcPr>
            <w:tcW w:w="1530" w:type="dxa"/>
          </w:tcPr>
          <w:p w14:paraId="63BB3B30"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8.344861565</w:t>
            </w:r>
          </w:p>
        </w:tc>
        <w:tc>
          <w:tcPr>
            <w:tcW w:w="1730" w:type="dxa"/>
          </w:tcPr>
          <w:p w14:paraId="20DA9747"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CD80,ICOS,CD86,PTPN6,LOC102723407,IGHV3-16,IGHV3-43D,LOC102723996,CTLA4</w:t>
            </w:r>
          </w:p>
        </w:tc>
      </w:tr>
      <w:tr w:rsidR="007D055B" w:rsidRPr="006A7376" w14:paraId="4D0260BA" w14:textId="77777777" w:rsidTr="005501B9">
        <w:tc>
          <w:tcPr>
            <w:tcW w:w="1323" w:type="dxa"/>
          </w:tcPr>
          <w:p w14:paraId="40100D4F"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GO BP</w:t>
            </w:r>
          </w:p>
        </w:tc>
        <w:tc>
          <w:tcPr>
            <w:tcW w:w="1323" w:type="dxa"/>
          </w:tcPr>
          <w:p w14:paraId="42DB5575"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Positive regulation of lymphocyte activation</w:t>
            </w:r>
          </w:p>
        </w:tc>
        <w:tc>
          <w:tcPr>
            <w:tcW w:w="864" w:type="dxa"/>
          </w:tcPr>
          <w:p w14:paraId="736A4776"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8</w:t>
            </w:r>
          </w:p>
        </w:tc>
        <w:tc>
          <w:tcPr>
            <w:tcW w:w="1170" w:type="dxa"/>
          </w:tcPr>
          <w:p w14:paraId="4F447187"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9.82E-09</w:t>
            </w:r>
          </w:p>
        </w:tc>
        <w:tc>
          <w:tcPr>
            <w:tcW w:w="1530" w:type="dxa"/>
          </w:tcPr>
          <w:p w14:paraId="0FC42508"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8.007888512</w:t>
            </w:r>
          </w:p>
        </w:tc>
        <w:tc>
          <w:tcPr>
            <w:tcW w:w="1730" w:type="dxa"/>
          </w:tcPr>
          <w:p w14:paraId="72CD6757"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CD80,ICOS,CD86,PTPN6,LOC102723407,IGHV3-16,IGHV3-</w:t>
            </w:r>
            <w:r w:rsidRPr="006A7376">
              <w:rPr>
                <w:rFonts w:ascii="Times New Roman" w:hAnsi="Times New Roman" w:cs="Times New Roman"/>
                <w:color w:val="000000"/>
                <w:sz w:val="20"/>
                <w:szCs w:val="20"/>
              </w:rPr>
              <w:lastRenderedPageBreak/>
              <w:t>43D,LOC102723996</w:t>
            </w:r>
          </w:p>
        </w:tc>
      </w:tr>
      <w:tr w:rsidR="007D055B" w:rsidRPr="006A7376" w14:paraId="6F9FEAC2" w14:textId="77777777" w:rsidTr="005501B9">
        <w:tc>
          <w:tcPr>
            <w:tcW w:w="1323" w:type="dxa"/>
          </w:tcPr>
          <w:p w14:paraId="6F459D9A"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lastRenderedPageBreak/>
              <w:t>GO BP</w:t>
            </w:r>
          </w:p>
        </w:tc>
        <w:tc>
          <w:tcPr>
            <w:tcW w:w="1323" w:type="dxa"/>
          </w:tcPr>
          <w:p w14:paraId="5CBC1B93"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Immune response</w:t>
            </w:r>
          </w:p>
        </w:tc>
        <w:tc>
          <w:tcPr>
            <w:tcW w:w="864" w:type="dxa"/>
          </w:tcPr>
          <w:p w14:paraId="377AAF58"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10</w:t>
            </w:r>
          </w:p>
        </w:tc>
        <w:tc>
          <w:tcPr>
            <w:tcW w:w="1170" w:type="dxa"/>
          </w:tcPr>
          <w:p w14:paraId="78A58DBE"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4.42E-08</w:t>
            </w:r>
          </w:p>
        </w:tc>
        <w:tc>
          <w:tcPr>
            <w:tcW w:w="1530" w:type="dxa"/>
          </w:tcPr>
          <w:p w14:paraId="023BBCDF"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7.354577731</w:t>
            </w:r>
          </w:p>
        </w:tc>
        <w:tc>
          <w:tcPr>
            <w:tcW w:w="1730" w:type="dxa"/>
          </w:tcPr>
          <w:p w14:paraId="48C95A74"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CD80,ICOS,CD86,LCN2,PTPN6,LOC102723407,IGHV3-16,IGHV3-43D,LOC102723996,CTLA4</w:t>
            </w:r>
          </w:p>
        </w:tc>
      </w:tr>
      <w:tr w:rsidR="007D055B" w:rsidRPr="006A7376" w14:paraId="22A4B204" w14:textId="77777777" w:rsidTr="005501B9">
        <w:tc>
          <w:tcPr>
            <w:tcW w:w="1323" w:type="dxa"/>
          </w:tcPr>
          <w:p w14:paraId="64FE046B"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GO BP</w:t>
            </w:r>
          </w:p>
        </w:tc>
        <w:tc>
          <w:tcPr>
            <w:tcW w:w="1323" w:type="dxa"/>
          </w:tcPr>
          <w:p w14:paraId="7FFC6518"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Positive regulation of immune system process</w:t>
            </w:r>
          </w:p>
        </w:tc>
        <w:tc>
          <w:tcPr>
            <w:tcW w:w="864" w:type="dxa"/>
          </w:tcPr>
          <w:p w14:paraId="10BF3CF6"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9</w:t>
            </w:r>
          </w:p>
        </w:tc>
        <w:tc>
          <w:tcPr>
            <w:tcW w:w="1170" w:type="dxa"/>
          </w:tcPr>
          <w:p w14:paraId="13926AEF"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5.55E-08</w:t>
            </w:r>
          </w:p>
        </w:tc>
        <w:tc>
          <w:tcPr>
            <w:tcW w:w="1530" w:type="dxa"/>
          </w:tcPr>
          <w:p w14:paraId="731D03D3"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7.255707017</w:t>
            </w:r>
          </w:p>
        </w:tc>
        <w:tc>
          <w:tcPr>
            <w:tcW w:w="1730" w:type="dxa"/>
          </w:tcPr>
          <w:p w14:paraId="3B28ADEA"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CD80,ICOS,CD86,PTPN6,LOC102723407,IGHV3-16,IGHV3-43D,LOC102723996,CTLA4</w:t>
            </w:r>
          </w:p>
        </w:tc>
      </w:tr>
      <w:tr w:rsidR="007D055B" w:rsidRPr="006A7376" w14:paraId="6ED17181" w14:textId="77777777" w:rsidTr="005501B9">
        <w:tc>
          <w:tcPr>
            <w:tcW w:w="1323" w:type="dxa"/>
          </w:tcPr>
          <w:p w14:paraId="234E0C49"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GO BP</w:t>
            </w:r>
          </w:p>
        </w:tc>
        <w:tc>
          <w:tcPr>
            <w:tcW w:w="1323" w:type="dxa"/>
          </w:tcPr>
          <w:p w14:paraId="043A1547"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T cell costimulation</w:t>
            </w:r>
          </w:p>
        </w:tc>
        <w:tc>
          <w:tcPr>
            <w:tcW w:w="864" w:type="dxa"/>
          </w:tcPr>
          <w:p w14:paraId="434F0695"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5</w:t>
            </w:r>
          </w:p>
        </w:tc>
        <w:tc>
          <w:tcPr>
            <w:tcW w:w="1170" w:type="dxa"/>
          </w:tcPr>
          <w:p w14:paraId="49BC4809"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5.55E-08</w:t>
            </w:r>
          </w:p>
        </w:tc>
        <w:tc>
          <w:tcPr>
            <w:tcW w:w="1530" w:type="dxa"/>
          </w:tcPr>
          <w:p w14:paraId="57246D2A"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7.255707017</w:t>
            </w:r>
          </w:p>
        </w:tc>
        <w:tc>
          <w:tcPr>
            <w:tcW w:w="1730" w:type="dxa"/>
          </w:tcPr>
          <w:p w14:paraId="2B7CD3AE"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CD80,ICOS,CD86,PTPN6,LOC102723996</w:t>
            </w:r>
          </w:p>
        </w:tc>
      </w:tr>
      <w:tr w:rsidR="007D055B" w:rsidRPr="006A7376" w14:paraId="5D1E0A32" w14:textId="77777777" w:rsidTr="005501B9">
        <w:tc>
          <w:tcPr>
            <w:tcW w:w="1323" w:type="dxa"/>
          </w:tcPr>
          <w:p w14:paraId="73FC6403"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GO BP</w:t>
            </w:r>
          </w:p>
        </w:tc>
        <w:tc>
          <w:tcPr>
            <w:tcW w:w="1323" w:type="dxa"/>
          </w:tcPr>
          <w:p w14:paraId="3495B490"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Positive regulation of immune response</w:t>
            </w:r>
          </w:p>
        </w:tc>
        <w:tc>
          <w:tcPr>
            <w:tcW w:w="864" w:type="dxa"/>
          </w:tcPr>
          <w:p w14:paraId="6E3CBA52"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8</w:t>
            </w:r>
          </w:p>
        </w:tc>
        <w:tc>
          <w:tcPr>
            <w:tcW w:w="1170" w:type="dxa"/>
          </w:tcPr>
          <w:p w14:paraId="2AC4DCF8"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5.55E-08</w:t>
            </w:r>
          </w:p>
        </w:tc>
        <w:tc>
          <w:tcPr>
            <w:tcW w:w="1530" w:type="dxa"/>
          </w:tcPr>
          <w:p w14:paraId="5D5DCF43"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7.255707017</w:t>
            </w:r>
          </w:p>
        </w:tc>
        <w:tc>
          <w:tcPr>
            <w:tcW w:w="1730" w:type="dxa"/>
          </w:tcPr>
          <w:p w14:paraId="72E52DE1"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CD80,CD86,PTPN6,LOC102723407,IGHV3-16,IGHV3-43D,LOC102723996,CTLA4</w:t>
            </w:r>
          </w:p>
        </w:tc>
      </w:tr>
      <w:tr w:rsidR="007D055B" w:rsidRPr="006A7376" w14:paraId="6DB3E540" w14:textId="77777777" w:rsidTr="005501B9">
        <w:tc>
          <w:tcPr>
            <w:tcW w:w="1323" w:type="dxa"/>
          </w:tcPr>
          <w:p w14:paraId="647A0AEF"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GO BP</w:t>
            </w:r>
          </w:p>
        </w:tc>
        <w:tc>
          <w:tcPr>
            <w:tcW w:w="1323" w:type="dxa"/>
          </w:tcPr>
          <w:p w14:paraId="39026CCF"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B cell receptor signaling pathway</w:t>
            </w:r>
          </w:p>
        </w:tc>
        <w:tc>
          <w:tcPr>
            <w:tcW w:w="864" w:type="dxa"/>
          </w:tcPr>
          <w:p w14:paraId="2D150FF3"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5</w:t>
            </w:r>
          </w:p>
        </w:tc>
        <w:tc>
          <w:tcPr>
            <w:tcW w:w="1170" w:type="dxa"/>
          </w:tcPr>
          <w:p w14:paraId="1C11B373"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8.37E-08</w:t>
            </w:r>
          </w:p>
        </w:tc>
        <w:tc>
          <w:tcPr>
            <w:tcW w:w="1530" w:type="dxa"/>
          </w:tcPr>
          <w:p w14:paraId="6E1DF1E8"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7.077274542</w:t>
            </w:r>
          </w:p>
        </w:tc>
        <w:tc>
          <w:tcPr>
            <w:tcW w:w="1730" w:type="dxa"/>
          </w:tcPr>
          <w:p w14:paraId="0DD634CA"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PTPN6,LOC102723407,IGHV3-16,IGHV3-43D,CTLA4</w:t>
            </w:r>
          </w:p>
        </w:tc>
      </w:tr>
      <w:tr w:rsidR="007D055B" w:rsidRPr="006A7376" w14:paraId="6C815CA7" w14:textId="77777777" w:rsidTr="005501B9">
        <w:tc>
          <w:tcPr>
            <w:tcW w:w="1323" w:type="dxa"/>
          </w:tcPr>
          <w:p w14:paraId="296EA71C"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GO BP</w:t>
            </w:r>
          </w:p>
        </w:tc>
        <w:tc>
          <w:tcPr>
            <w:tcW w:w="1323" w:type="dxa"/>
          </w:tcPr>
          <w:p w14:paraId="150DB584"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Antigen receptor-mediated signaling pathway</w:t>
            </w:r>
          </w:p>
        </w:tc>
        <w:tc>
          <w:tcPr>
            <w:tcW w:w="864" w:type="dxa"/>
          </w:tcPr>
          <w:p w14:paraId="49F94259"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6</w:t>
            </w:r>
          </w:p>
        </w:tc>
        <w:tc>
          <w:tcPr>
            <w:tcW w:w="1170" w:type="dxa"/>
          </w:tcPr>
          <w:p w14:paraId="7A732F6A"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8.39E-08</w:t>
            </w:r>
          </w:p>
        </w:tc>
        <w:tc>
          <w:tcPr>
            <w:tcW w:w="1530" w:type="dxa"/>
          </w:tcPr>
          <w:p w14:paraId="2FEEE29B"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7.076238039</w:t>
            </w:r>
          </w:p>
        </w:tc>
        <w:tc>
          <w:tcPr>
            <w:tcW w:w="1730" w:type="dxa"/>
          </w:tcPr>
          <w:p w14:paraId="7A7819C4"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PTPN6,LOC102723407,IGHV3-16,IGHV3-43D,LOC102723996,CTLA4</w:t>
            </w:r>
          </w:p>
        </w:tc>
      </w:tr>
      <w:tr w:rsidR="007D055B" w:rsidRPr="006A7376" w14:paraId="623A14EF" w14:textId="77777777" w:rsidTr="005501B9">
        <w:tc>
          <w:tcPr>
            <w:tcW w:w="1323" w:type="dxa"/>
          </w:tcPr>
          <w:p w14:paraId="39CC549A"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GO BP</w:t>
            </w:r>
          </w:p>
        </w:tc>
        <w:tc>
          <w:tcPr>
            <w:tcW w:w="1323" w:type="dxa"/>
          </w:tcPr>
          <w:p w14:paraId="6ED65B01"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Negative regulation of T cell proliferation</w:t>
            </w:r>
          </w:p>
        </w:tc>
        <w:tc>
          <w:tcPr>
            <w:tcW w:w="864" w:type="dxa"/>
          </w:tcPr>
          <w:p w14:paraId="306E2502"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5</w:t>
            </w:r>
          </w:p>
        </w:tc>
        <w:tc>
          <w:tcPr>
            <w:tcW w:w="1170" w:type="dxa"/>
          </w:tcPr>
          <w:p w14:paraId="0C8E8A15"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4.93E-07</w:t>
            </w:r>
          </w:p>
        </w:tc>
        <w:tc>
          <w:tcPr>
            <w:tcW w:w="1530" w:type="dxa"/>
          </w:tcPr>
          <w:p w14:paraId="5353FEA0"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6.307153081</w:t>
            </w:r>
          </w:p>
        </w:tc>
        <w:tc>
          <w:tcPr>
            <w:tcW w:w="1730" w:type="dxa"/>
          </w:tcPr>
          <w:p w14:paraId="585C2667"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CD80,CD86,PTPN6,LOC102723996,CTLA4</w:t>
            </w:r>
          </w:p>
        </w:tc>
      </w:tr>
      <w:tr w:rsidR="007D055B" w:rsidRPr="006A7376" w14:paraId="73B4BF50" w14:textId="77777777" w:rsidTr="005501B9">
        <w:tc>
          <w:tcPr>
            <w:tcW w:w="1323" w:type="dxa"/>
          </w:tcPr>
          <w:p w14:paraId="6941F4A8"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lastRenderedPageBreak/>
              <w:t>GO BP</w:t>
            </w:r>
          </w:p>
        </w:tc>
        <w:tc>
          <w:tcPr>
            <w:tcW w:w="1323" w:type="dxa"/>
          </w:tcPr>
          <w:p w14:paraId="2253B716"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Regulation of B cell activation</w:t>
            </w:r>
          </w:p>
        </w:tc>
        <w:tc>
          <w:tcPr>
            <w:tcW w:w="864" w:type="dxa"/>
          </w:tcPr>
          <w:p w14:paraId="00A3899C"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5</w:t>
            </w:r>
          </w:p>
        </w:tc>
        <w:tc>
          <w:tcPr>
            <w:tcW w:w="1170" w:type="dxa"/>
          </w:tcPr>
          <w:p w14:paraId="1CE2C525"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5.21E-06</w:t>
            </w:r>
          </w:p>
        </w:tc>
        <w:tc>
          <w:tcPr>
            <w:tcW w:w="1530" w:type="dxa"/>
          </w:tcPr>
          <w:p w14:paraId="42B1DB02"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5.283162277</w:t>
            </w:r>
          </w:p>
        </w:tc>
        <w:tc>
          <w:tcPr>
            <w:tcW w:w="1730" w:type="dxa"/>
          </w:tcPr>
          <w:p w14:paraId="3C2BB468"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PTPN6,LOC102723407,IGHV3-16,IGHV3-43D,CTLA4</w:t>
            </w:r>
          </w:p>
        </w:tc>
      </w:tr>
      <w:tr w:rsidR="007D055B" w:rsidRPr="006A7376" w14:paraId="4854B682" w14:textId="77777777" w:rsidTr="005501B9">
        <w:tc>
          <w:tcPr>
            <w:tcW w:w="1323" w:type="dxa"/>
          </w:tcPr>
          <w:p w14:paraId="781C4F7A"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GO BP</w:t>
            </w:r>
          </w:p>
        </w:tc>
        <w:tc>
          <w:tcPr>
            <w:tcW w:w="1323" w:type="dxa"/>
          </w:tcPr>
          <w:p w14:paraId="7121FF6B"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Response to bacterium</w:t>
            </w:r>
          </w:p>
        </w:tc>
        <w:tc>
          <w:tcPr>
            <w:tcW w:w="864" w:type="dxa"/>
          </w:tcPr>
          <w:p w14:paraId="40508EB4"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7</w:t>
            </w:r>
          </w:p>
        </w:tc>
        <w:tc>
          <w:tcPr>
            <w:tcW w:w="1170" w:type="dxa"/>
          </w:tcPr>
          <w:p w14:paraId="6D7F5958"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8.06E-06</w:t>
            </w:r>
          </w:p>
        </w:tc>
        <w:tc>
          <w:tcPr>
            <w:tcW w:w="1530" w:type="dxa"/>
          </w:tcPr>
          <w:p w14:paraId="49936986"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5.093664958</w:t>
            </w:r>
          </w:p>
        </w:tc>
        <w:tc>
          <w:tcPr>
            <w:tcW w:w="1730" w:type="dxa"/>
          </w:tcPr>
          <w:p w14:paraId="37440A87"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CD80,CD86,LCN2,LOC102723407,IGHV3-16,IGHV3-43D,LOC102723996</w:t>
            </w:r>
          </w:p>
        </w:tc>
      </w:tr>
      <w:tr w:rsidR="007D055B" w:rsidRPr="006A7376" w14:paraId="19048B55" w14:textId="77777777" w:rsidTr="005501B9">
        <w:tc>
          <w:tcPr>
            <w:tcW w:w="1323" w:type="dxa"/>
          </w:tcPr>
          <w:p w14:paraId="74EA6E6B"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GO BP</w:t>
            </w:r>
          </w:p>
        </w:tc>
        <w:tc>
          <w:tcPr>
            <w:tcW w:w="1323" w:type="dxa"/>
          </w:tcPr>
          <w:p w14:paraId="609AECDD"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Adaptive immune response</w:t>
            </w:r>
          </w:p>
        </w:tc>
        <w:tc>
          <w:tcPr>
            <w:tcW w:w="864" w:type="dxa"/>
          </w:tcPr>
          <w:p w14:paraId="327DCD00"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6</w:t>
            </w:r>
          </w:p>
        </w:tc>
        <w:tc>
          <w:tcPr>
            <w:tcW w:w="1170" w:type="dxa"/>
          </w:tcPr>
          <w:p w14:paraId="1F2E565D"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8.65E-06</w:t>
            </w:r>
          </w:p>
        </w:tc>
        <w:tc>
          <w:tcPr>
            <w:tcW w:w="1530" w:type="dxa"/>
          </w:tcPr>
          <w:p w14:paraId="4FB3EDB3"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5.062983893</w:t>
            </w:r>
          </w:p>
        </w:tc>
        <w:tc>
          <w:tcPr>
            <w:tcW w:w="1730" w:type="dxa"/>
          </w:tcPr>
          <w:p w14:paraId="44B2C38B"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CD86,LOC102723407,IGHV3-16,IGHV3-43D,LOC102723996,CTLA4</w:t>
            </w:r>
          </w:p>
        </w:tc>
      </w:tr>
      <w:tr w:rsidR="007D055B" w:rsidRPr="006A7376" w14:paraId="325AB163" w14:textId="77777777" w:rsidTr="005501B9">
        <w:tc>
          <w:tcPr>
            <w:tcW w:w="1323" w:type="dxa"/>
          </w:tcPr>
          <w:p w14:paraId="5E61FB91"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GO BP</w:t>
            </w:r>
          </w:p>
        </w:tc>
        <w:tc>
          <w:tcPr>
            <w:tcW w:w="1323" w:type="dxa"/>
          </w:tcPr>
          <w:p w14:paraId="6FFCD2A6"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Regulation of leukocyte cell-cell adhesion</w:t>
            </w:r>
          </w:p>
        </w:tc>
        <w:tc>
          <w:tcPr>
            <w:tcW w:w="864" w:type="dxa"/>
          </w:tcPr>
          <w:p w14:paraId="512A1680"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6</w:t>
            </w:r>
          </w:p>
        </w:tc>
        <w:tc>
          <w:tcPr>
            <w:tcW w:w="1170" w:type="dxa"/>
          </w:tcPr>
          <w:p w14:paraId="56AE116D"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9.67E-06</w:t>
            </w:r>
          </w:p>
        </w:tc>
        <w:tc>
          <w:tcPr>
            <w:tcW w:w="1530" w:type="dxa"/>
          </w:tcPr>
          <w:p w14:paraId="6EDF7622"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5.014573526</w:t>
            </w:r>
          </w:p>
        </w:tc>
        <w:tc>
          <w:tcPr>
            <w:tcW w:w="1730" w:type="dxa"/>
          </w:tcPr>
          <w:p w14:paraId="0DC3FA01"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CD80,ICOS,CD86,PTPN6,LOC102723996,CTLA4</w:t>
            </w:r>
          </w:p>
        </w:tc>
      </w:tr>
      <w:tr w:rsidR="007D055B" w:rsidRPr="006A7376" w14:paraId="036F9B5B" w14:textId="77777777" w:rsidTr="005501B9">
        <w:tc>
          <w:tcPr>
            <w:tcW w:w="1323" w:type="dxa"/>
          </w:tcPr>
          <w:p w14:paraId="5C53DF35"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GO BP</w:t>
            </w:r>
          </w:p>
        </w:tc>
        <w:tc>
          <w:tcPr>
            <w:tcW w:w="1323" w:type="dxa"/>
          </w:tcPr>
          <w:p w14:paraId="18A6CF98"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Regulation of T cell activation</w:t>
            </w:r>
          </w:p>
        </w:tc>
        <w:tc>
          <w:tcPr>
            <w:tcW w:w="864" w:type="dxa"/>
          </w:tcPr>
          <w:p w14:paraId="5276BDCE"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6</w:t>
            </w:r>
          </w:p>
        </w:tc>
        <w:tc>
          <w:tcPr>
            <w:tcW w:w="1170" w:type="dxa"/>
          </w:tcPr>
          <w:p w14:paraId="305C5B88"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1.03E-05</w:t>
            </w:r>
          </w:p>
        </w:tc>
        <w:tc>
          <w:tcPr>
            <w:tcW w:w="1530" w:type="dxa"/>
          </w:tcPr>
          <w:p w14:paraId="6230461F"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4.987162775</w:t>
            </w:r>
          </w:p>
        </w:tc>
        <w:tc>
          <w:tcPr>
            <w:tcW w:w="1730" w:type="dxa"/>
          </w:tcPr>
          <w:p w14:paraId="70FF0BAB"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CD80,ICOS,CD86,PTPN6,LOC102723996,CTLA4</w:t>
            </w:r>
          </w:p>
        </w:tc>
      </w:tr>
      <w:tr w:rsidR="007D055B" w:rsidRPr="006A7376" w14:paraId="5E7C121E" w14:textId="77777777" w:rsidTr="005501B9">
        <w:tc>
          <w:tcPr>
            <w:tcW w:w="1323" w:type="dxa"/>
          </w:tcPr>
          <w:p w14:paraId="6BA7ABD3"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GO BP</w:t>
            </w:r>
          </w:p>
        </w:tc>
        <w:tc>
          <w:tcPr>
            <w:tcW w:w="1323" w:type="dxa"/>
          </w:tcPr>
          <w:p w14:paraId="1A77BF95"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Response to other organism</w:t>
            </w:r>
          </w:p>
        </w:tc>
        <w:tc>
          <w:tcPr>
            <w:tcW w:w="864" w:type="dxa"/>
          </w:tcPr>
          <w:p w14:paraId="7EFD6967"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8</w:t>
            </w:r>
          </w:p>
        </w:tc>
        <w:tc>
          <w:tcPr>
            <w:tcW w:w="1170" w:type="dxa"/>
          </w:tcPr>
          <w:p w14:paraId="5AC1900C"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2.54E-05</w:t>
            </w:r>
          </w:p>
        </w:tc>
        <w:tc>
          <w:tcPr>
            <w:tcW w:w="1530" w:type="dxa"/>
          </w:tcPr>
          <w:p w14:paraId="4EC01179"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4.595166283</w:t>
            </w:r>
          </w:p>
        </w:tc>
        <w:tc>
          <w:tcPr>
            <w:tcW w:w="1730" w:type="dxa"/>
          </w:tcPr>
          <w:p w14:paraId="396B2520"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CD80,CD86,LCN2,PTPN6,LOC102723407,IGHV3-16,IGHV3-43D,LOC102723996</w:t>
            </w:r>
          </w:p>
        </w:tc>
      </w:tr>
      <w:tr w:rsidR="007D055B" w:rsidRPr="006A7376" w14:paraId="1C45FA85" w14:textId="77777777" w:rsidTr="005501B9">
        <w:tc>
          <w:tcPr>
            <w:tcW w:w="1323" w:type="dxa"/>
          </w:tcPr>
          <w:p w14:paraId="58CFEC67"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GO BP</w:t>
            </w:r>
          </w:p>
        </w:tc>
        <w:tc>
          <w:tcPr>
            <w:tcW w:w="1323" w:type="dxa"/>
          </w:tcPr>
          <w:p w14:paraId="3BAD0DA6"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Phagocytosis, recognition</w:t>
            </w:r>
          </w:p>
        </w:tc>
        <w:tc>
          <w:tcPr>
            <w:tcW w:w="864" w:type="dxa"/>
          </w:tcPr>
          <w:p w14:paraId="78F17829"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3</w:t>
            </w:r>
          </w:p>
        </w:tc>
        <w:tc>
          <w:tcPr>
            <w:tcW w:w="1170" w:type="dxa"/>
          </w:tcPr>
          <w:p w14:paraId="629BBB72"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0.00015</w:t>
            </w:r>
          </w:p>
        </w:tc>
        <w:tc>
          <w:tcPr>
            <w:tcW w:w="1530" w:type="dxa"/>
          </w:tcPr>
          <w:p w14:paraId="0B72FCAD"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3.823908741</w:t>
            </w:r>
          </w:p>
        </w:tc>
        <w:tc>
          <w:tcPr>
            <w:tcW w:w="1730" w:type="dxa"/>
          </w:tcPr>
          <w:p w14:paraId="555440C7"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LOC102723407,IGHV3-16,IGHV3-43D</w:t>
            </w:r>
          </w:p>
        </w:tc>
      </w:tr>
      <w:tr w:rsidR="007D055B" w:rsidRPr="006A7376" w14:paraId="0E4CBB6F" w14:textId="77777777" w:rsidTr="005501B9">
        <w:tc>
          <w:tcPr>
            <w:tcW w:w="1323" w:type="dxa"/>
          </w:tcPr>
          <w:p w14:paraId="43A88D31"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GO BP</w:t>
            </w:r>
          </w:p>
        </w:tc>
        <w:tc>
          <w:tcPr>
            <w:tcW w:w="1323" w:type="dxa"/>
          </w:tcPr>
          <w:p w14:paraId="343D7894"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Lymphocyte mediated immunity</w:t>
            </w:r>
          </w:p>
        </w:tc>
        <w:tc>
          <w:tcPr>
            <w:tcW w:w="864" w:type="dxa"/>
          </w:tcPr>
          <w:p w14:paraId="35478F32"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4</w:t>
            </w:r>
          </w:p>
        </w:tc>
        <w:tc>
          <w:tcPr>
            <w:tcW w:w="1170" w:type="dxa"/>
          </w:tcPr>
          <w:p w14:paraId="154D4B4E"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0.00044</w:t>
            </w:r>
          </w:p>
        </w:tc>
        <w:tc>
          <w:tcPr>
            <w:tcW w:w="1530" w:type="dxa"/>
          </w:tcPr>
          <w:p w14:paraId="514EB684"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3.356547324</w:t>
            </w:r>
          </w:p>
        </w:tc>
        <w:tc>
          <w:tcPr>
            <w:tcW w:w="1730" w:type="dxa"/>
          </w:tcPr>
          <w:p w14:paraId="53BCD539"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PTPN6,LOC102723407,IGHV3-16,IGHV3-43D</w:t>
            </w:r>
          </w:p>
        </w:tc>
      </w:tr>
      <w:tr w:rsidR="007D055B" w:rsidRPr="006A7376" w14:paraId="53EE6545" w14:textId="77777777" w:rsidTr="005501B9">
        <w:tc>
          <w:tcPr>
            <w:tcW w:w="1323" w:type="dxa"/>
          </w:tcPr>
          <w:p w14:paraId="30BF4EFE"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GO BP</w:t>
            </w:r>
          </w:p>
        </w:tc>
        <w:tc>
          <w:tcPr>
            <w:tcW w:w="1323" w:type="dxa"/>
          </w:tcPr>
          <w:p w14:paraId="36462C8F"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Complement activation, classical pathway</w:t>
            </w:r>
          </w:p>
        </w:tc>
        <w:tc>
          <w:tcPr>
            <w:tcW w:w="864" w:type="dxa"/>
          </w:tcPr>
          <w:p w14:paraId="3D282BF6"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3</w:t>
            </w:r>
          </w:p>
        </w:tc>
        <w:tc>
          <w:tcPr>
            <w:tcW w:w="1170" w:type="dxa"/>
          </w:tcPr>
          <w:p w14:paraId="492B572E"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0.00048</w:t>
            </w:r>
          </w:p>
        </w:tc>
        <w:tc>
          <w:tcPr>
            <w:tcW w:w="1530" w:type="dxa"/>
          </w:tcPr>
          <w:p w14:paraId="1EBC5F3F"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3.318758763</w:t>
            </w:r>
          </w:p>
        </w:tc>
        <w:tc>
          <w:tcPr>
            <w:tcW w:w="1730" w:type="dxa"/>
          </w:tcPr>
          <w:p w14:paraId="3B9EBE11"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LOC102723407,IGHV3-16,IGHV3-43D</w:t>
            </w:r>
          </w:p>
        </w:tc>
      </w:tr>
      <w:tr w:rsidR="007D055B" w:rsidRPr="006A7376" w14:paraId="18F25207" w14:textId="77777777" w:rsidTr="005501B9">
        <w:tc>
          <w:tcPr>
            <w:tcW w:w="1323" w:type="dxa"/>
          </w:tcPr>
          <w:p w14:paraId="7BAFF2C3"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lastRenderedPageBreak/>
              <w:t>GO BP</w:t>
            </w:r>
          </w:p>
        </w:tc>
        <w:tc>
          <w:tcPr>
            <w:tcW w:w="1323" w:type="dxa"/>
          </w:tcPr>
          <w:p w14:paraId="280115DB"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Cell surface receptor signaling pathway</w:t>
            </w:r>
          </w:p>
        </w:tc>
        <w:tc>
          <w:tcPr>
            <w:tcW w:w="864" w:type="dxa"/>
          </w:tcPr>
          <w:p w14:paraId="4CB04581"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8</w:t>
            </w:r>
          </w:p>
        </w:tc>
        <w:tc>
          <w:tcPr>
            <w:tcW w:w="1170" w:type="dxa"/>
          </w:tcPr>
          <w:p w14:paraId="216742A0"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0.00048</w:t>
            </w:r>
          </w:p>
        </w:tc>
        <w:tc>
          <w:tcPr>
            <w:tcW w:w="1530" w:type="dxa"/>
          </w:tcPr>
          <w:p w14:paraId="1173C906"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3.318758763</w:t>
            </w:r>
          </w:p>
        </w:tc>
        <w:tc>
          <w:tcPr>
            <w:tcW w:w="1730" w:type="dxa"/>
          </w:tcPr>
          <w:p w14:paraId="21F396F1"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CD80,CD86,PTPN6,LOC102723407,IGHV3-16,IGHV3-43D,LOC102723996,CTLA4</w:t>
            </w:r>
          </w:p>
        </w:tc>
      </w:tr>
      <w:tr w:rsidR="007D055B" w:rsidRPr="006A7376" w14:paraId="0926D6E8" w14:textId="77777777" w:rsidTr="005501B9">
        <w:tc>
          <w:tcPr>
            <w:tcW w:w="1323" w:type="dxa"/>
          </w:tcPr>
          <w:p w14:paraId="23418C0B"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GO BP</w:t>
            </w:r>
          </w:p>
        </w:tc>
        <w:tc>
          <w:tcPr>
            <w:tcW w:w="1323" w:type="dxa"/>
          </w:tcPr>
          <w:p w14:paraId="24A65000"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Phagocytosis, engulfment</w:t>
            </w:r>
          </w:p>
        </w:tc>
        <w:tc>
          <w:tcPr>
            <w:tcW w:w="864" w:type="dxa"/>
          </w:tcPr>
          <w:p w14:paraId="1B57C6DA"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3</w:t>
            </w:r>
          </w:p>
        </w:tc>
        <w:tc>
          <w:tcPr>
            <w:tcW w:w="1170" w:type="dxa"/>
          </w:tcPr>
          <w:p w14:paraId="11744B2D"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0.00085</w:t>
            </w:r>
          </w:p>
        </w:tc>
        <w:tc>
          <w:tcPr>
            <w:tcW w:w="1530" w:type="dxa"/>
          </w:tcPr>
          <w:p w14:paraId="3574B6BE"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3.070581074</w:t>
            </w:r>
          </w:p>
        </w:tc>
        <w:tc>
          <w:tcPr>
            <w:tcW w:w="1730" w:type="dxa"/>
          </w:tcPr>
          <w:p w14:paraId="5993761B"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LOC102723407,IGHV3-16,IGHV3-43D</w:t>
            </w:r>
          </w:p>
        </w:tc>
      </w:tr>
      <w:tr w:rsidR="007D055B" w:rsidRPr="006A7376" w14:paraId="543B0D42" w14:textId="77777777" w:rsidTr="005501B9">
        <w:tc>
          <w:tcPr>
            <w:tcW w:w="1323" w:type="dxa"/>
          </w:tcPr>
          <w:p w14:paraId="320F47BE"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GO BP</w:t>
            </w:r>
          </w:p>
        </w:tc>
        <w:tc>
          <w:tcPr>
            <w:tcW w:w="1323" w:type="dxa"/>
          </w:tcPr>
          <w:p w14:paraId="0F40061D"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Regulation of lymphocyte differentiation</w:t>
            </w:r>
          </w:p>
        </w:tc>
        <w:tc>
          <w:tcPr>
            <w:tcW w:w="864" w:type="dxa"/>
          </w:tcPr>
          <w:p w14:paraId="263741F5"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4</w:t>
            </w:r>
          </w:p>
        </w:tc>
        <w:tc>
          <w:tcPr>
            <w:tcW w:w="1170" w:type="dxa"/>
          </w:tcPr>
          <w:p w14:paraId="30EA090E"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0.0011</w:t>
            </w:r>
          </w:p>
        </w:tc>
        <w:tc>
          <w:tcPr>
            <w:tcW w:w="1530" w:type="dxa"/>
          </w:tcPr>
          <w:p w14:paraId="1D6A28A4"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2.958607315</w:t>
            </w:r>
          </w:p>
        </w:tc>
        <w:tc>
          <w:tcPr>
            <w:tcW w:w="1730" w:type="dxa"/>
          </w:tcPr>
          <w:p w14:paraId="0CA5EB28"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CD80,CD86,PTPN6,CTLA4</w:t>
            </w:r>
          </w:p>
        </w:tc>
      </w:tr>
      <w:tr w:rsidR="007D055B" w:rsidRPr="006A7376" w14:paraId="2D9941C9" w14:textId="77777777" w:rsidTr="005501B9">
        <w:tc>
          <w:tcPr>
            <w:tcW w:w="1323" w:type="dxa"/>
          </w:tcPr>
          <w:p w14:paraId="787891DD"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GO BP</w:t>
            </w:r>
          </w:p>
        </w:tc>
        <w:tc>
          <w:tcPr>
            <w:tcW w:w="1323" w:type="dxa"/>
          </w:tcPr>
          <w:p w14:paraId="4480B2E9"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Positive regulation of B cell activation</w:t>
            </w:r>
          </w:p>
        </w:tc>
        <w:tc>
          <w:tcPr>
            <w:tcW w:w="864" w:type="dxa"/>
          </w:tcPr>
          <w:p w14:paraId="185C7694"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3</w:t>
            </w:r>
          </w:p>
        </w:tc>
        <w:tc>
          <w:tcPr>
            <w:tcW w:w="1170" w:type="dxa"/>
          </w:tcPr>
          <w:p w14:paraId="2E3DCEC1"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0.0041</w:t>
            </w:r>
          </w:p>
        </w:tc>
        <w:tc>
          <w:tcPr>
            <w:tcW w:w="1530" w:type="dxa"/>
          </w:tcPr>
          <w:p w14:paraId="1431846E"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2.387216143</w:t>
            </w:r>
          </w:p>
        </w:tc>
        <w:tc>
          <w:tcPr>
            <w:tcW w:w="1730" w:type="dxa"/>
          </w:tcPr>
          <w:p w14:paraId="4AB219EC"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LOC102723407,IGHV3-16,IGHV3-43D</w:t>
            </w:r>
          </w:p>
        </w:tc>
      </w:tr>
      <w:tr w:rsidR="007D055B" w:rsidRPr="006A7376" w14:paraId="087744C8" w14:textId="77777777" w:rsidTr="005501B9">
        <w:tc>
          <w:tcPr>
            <w:tcW w:w="1323" w:type="dxa"/>
          </w:tcPr>
          <w:p w14:paraId="6B7D87B2"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GO BP</w:t>
            </w:r>
          </w:p>
        </w:tc>
        <w:tc>
          <w:tcPr>
            <w:tcW w:w="1323" w:type="dxa"/>
          </w:tcPr>
          <w:p w14:paraId="49CBA309"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Defense response to bacterium</w:t>
            </w:r>
          </w:p>
        </w:tc>
        <w:tc>
          <w:tcPr>
            <w:tcW w:w="864" w:type="dxa"/>
          </w:tcPr>
          <w:p w14:paraId="243A755A"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4</w:t>
            </w:r>
          </w:p>
        </w:tc>
        <w:tc>
          <w:tcPr>
            <w:tcW w:w="1170" w:type="dxa"/>
          </w:tcPr>
          <w:p w14:paraId="71B4B271"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0.0042</w:t>
            </w:r>
          </w:p>
        </w:tc>
        <w:tc>
          <w:tcPr>
            <w:tcW w:w="1530" w:type="dxa"/>
          </w:tcPr>
          <w:p w14:paraId="3C2E9475"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2.37675071</w:t>
            </w:r>
          </w:p>
        </w:tc>
        <w:tc>
          <w:tcPr>
            <w:tcW w:w="1730" w:type="dxa"/>
          </w:tcPr>
          <w:p w14:paraId="62022CA3"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LCN2,LOC102723407,IGHV3-16,IGHV3-43D</w:t>
            </w:r>
          </w:p>
        </w:tc>
      </w:tr>
      <w:tr w:rsidR="007D055B" w:rsidRPr="006A7376" w14:paraId="5CD288C9" w14:textId="77777777" w:rsidTr="005501B9">
        <w:tc>
          <w:tcPr>
            <w:tcW w:w="1323" w:type="dxa"/>
          </w:tcPr>
          <w:p w14:paraId="62965EC8"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GO BP</w:t>
            </w:r>
          </w:p>
        </w:tc>
        <w:tc>
          <w:tcPr>
            <w:tcW w:w="1323" w:type="dxa"/>
          </w:tcPr>
          <w:p w14:paraId="3DBF0C5A"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T cell receptor signaling pathway</w:t>
            </w:r>
          </w:p>
        </w:tc>
        <w:tc>
          <w:tcPr>
            <w:tcW w:w="864" w:type="dxa"/>
          </w:tcPr>
          <w:p w14:paraId="6549AF89"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3</w:t>
            </w:r>
          </w:p>
        </w:tc>
        <w:tc>
          <w:tcPr>
            <w:tcW w:w="1170" w:type="dxa"/>
          </w:tcPr>
          <w:p w14:paraId="56E0089D"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0.0053</w:t>
            </w:r>
          </w:p>
        </w:tc>
        <w:tc>
          <w:tcPr>
            <w:tcW w:w="1530" w:type="dxa"/>
          </w:tcPr>
          <w:p w14:paraId="6BB753D0"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2.27572413</w:t>
            </w:r>
          </w:p>
        </w:tc>
        <w:tc>
          <w:tcPr>
            <w:tcW w:w="1730" w:type="dxa"/>
          </w:tcPr>
          <w:p w14:paraId="7317382A"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PTPN6,LOC102723996,CTLA4</w:t>
            </w:r>
          </w:p>
        </w:tc>
      </w:tr>
      <w:tr w:rsidR="007D055B" w:rsidRPr="006A7376" w14:paraId="31F1479E" w14:textId="77777777" w:rsidTr="005501B9">
        <w:tc>
          <w:tcPr>
            <w:tcW w:w="1323" w:type="dxa"/>
          </w:tcPr>
          <w:p w14:paraId="13D665A8"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GO BP</w:t>
            </w:r>
          </w:p>
        </w:tc>
        <w:tc>
          <w:tcPr>
            <w:tcW w:w="1323" w:type="dxa"/>
          </w:tcPr>
          <w:p w14:paraId="2306A152"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Positive regulation of T cell proliferation</w:t>
            </w:r>
          </w:p>
        </w:tc>
        <w:tc>
          <w:tcPr>
            <w:tcW w:w="864" w:type="dxa"/>
          </w:tcPr>
          <w:p w14:paraId="50677E9C"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3</w:t>
            </w:r>
          </w:p>
        </w:tc>
        <w:tc>
          <w:tcPr>
            <w:tcW w:w="1170" w:type="dxa"/>
          </w:tcPr>
          <w:p w14:paraId="2D710CE0"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0.006</w:t>
            </w:r>
          </w:p>
        </w:tc>
        <w:tc>
          <w:tcPr>
            <w:tcW w:w="1530" w:type="dxa"/>
          </w:tcPr>
          <w:p w14:paraId="6507BDEC"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2.22184875</w:t>
            </w:r>
          </w:p>
        </w:tc>
        <w:tc>
          <w:tcPr>
            <w:tcW w:w="1730" w:type="dxa"/>
          </w:tcPr>
          <w:p w14:paraId="750DEAB0"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CD80,CD86,LOC102723996</w:t>
            </w:r>
          </w:p>
        </w:tc>
      </w:tr>
      <w:tr w:rsidR="007D055B" w:rsidRPr="006A7376" w14:paraId="756DF7BB" w14:textId="77777777" w:rsidTr="005501B9">
        <w:tc>
          <w:tcPr>
            <w:tcW w:w="1323" w:type="dxa"/>
          </w:tcPr>
          <w:p w14:paraId="10553E9C"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GO BP</w:t>
            </w:r>
          </w:p>
        </w:tc>
        <w:tc>
          <w:tcPr>
            <w:tcW w:w="1323" w:type="dxa"/>
          </w:tcPr>
          <w:p w14:paraId="314FA1B7"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Innate immune response</w:t>
            </w:r>
          </w:p>
        </w:tc>
        <w:tc>
          <w:tcPr>
            <w:tcW w:w="864" w:type="dxa"/>
          </w:tcPr>
          <w:p w14:paraId="56FBC86A"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5</w:t>
            </w:r>
          </w:p>
        </w:tc>
        <w:tc>
          <w:tcPr>
            <w:tcW w:w="1170" w:type="dxa"/>
          </w:tcPr>
          <w:p w14:paraId="144469AB"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0.0067</w:t>
            </w:r>
          </w:p>
        </w:tc>
        <w:tc>
          <w:tcPr>
            <w:tcW w:w="1530" w:type="dxa"/>
          </w:tcPr>
          <w:p w14:paraId="1F9692D3"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2.173925197</w:t>
            </w:r>
          </w:p>
        </w:tc>
        <w:tc>
          <w:tcPr>
            <w:tcW w:w="1730" w:type="dxa"/>
          </w:tcPr>
          <w:p w14:paraId="6E8B69FD"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LCN2,PTPN6,LOC102723407,IGHV3-16,IGHV3-43D</w:t>
            </w:r>
          </w:p>
        </w:tc>
      </w:tr>
      <w:tr w:rsidR="007D055B" w:rsidRPr="006A7376" w14:paraId="6E81A0D6" w14:textId="77777777" w:rsidTr="005501B9">
        <w:tc>
          <w:tcPr>
            <w:tcW w:w="1323" w:type="dxa"/>
          </w:tcPr>
          <w:p w14:paraId="16C5C5A2"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GO BP</w:t>
            </w:r>
          </w:p>
        </w:tc>
        <w:tc>
          <w:tcPr>
            <w:tcW w:w="1323" w:type="dxa"/>
          </w:tcPr>
          <w:p w14:paraId="3C3BA5B4"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Defense response</w:t>
            </w:r>
          </w:p>
        </w:tc>
        <w:tc>
          <w:tcPr>
            <w:tcW w:w="864" w:type="dxa"/>
          </w:tcPr>
          <w:p w14:paraId="5750B9AA"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6</w:t>
            </w:r>
          </w:p>
        </w:tc>
        <w:tc>
          <w:tcPr>
            <w:tcW w:w="1170" w:type="dxa"/>
          </w:tcPr>
          <w:p w14:paraId="4EEF8F57"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0.0089</w:t>
            </w:r>
          </w:p>
        </w:tc>
        <w:tc>
          <w:tcPr>
            <w:tcW w:w="1530" w:type="dxa"/>
          </w:tcPr>
          <w:p w14:paraId="575ADB9D"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2.050609993</w:t>
            </w:r>
          </w:p>
        </w:tc>
        <w:tc>
          <w:tcPr>
            <w:tcW w:w="1730" w:type="dxa"/>
          </w:tcPr>
          <w:p w14:paraId="53A7FC29"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LCN2,PTPN6,LOC102723407,IGHV3-16,IGHV3-43D,LOC102723996</w:t>
            </w:r>
          </w:p>
        </w:tc>
      </w:tr>
      <w:tr w:rsidR="007D055B" w:rsidRPr="006A7376" w14:paraId="2FC4419F" w14:textId="77777777" w:rsidTr="005501B9">
        <w:tc>
          <w:tcPr>
            <w:tcW w:w="1323" w:type="dxa"/>
          </w:tcPr>
          <w:p w14:paraId="7E0419D0"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lastRenderedPageBreak/>
              <w:t>GO BP</w:t>
            </w:r>
          </w:p>
        </w:tc>
        <w:tc>
          <w:tcPr>
            <w:tcW w:w="1323" w:type="dxa"/>
          </w:tcPr>
          <w:p w14:paraId="7E5F4C4D"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Positive regulation of biological process</w:t>
            </w:r>
          </w:p>
        </w:tc>
        <w:tc>
          <w:tcPr>
            <w:tcW w:w="864" w:type="dxa"/>
          </w:tcPr>
          <w:p w14:paraId="28FF1D09"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10</w:t>
            </w:r>
          </w:p>
        </w:tc>
        <w:tc>
          <w:tcPr>
            <w:tcW w:w="1170" w:type="dxa"/>
          </w:tcPr>
          <w:p w14:paraId="5E09ADDF"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0.0147</w:t>
            </w:r>
          </w:p>
        </w:tc>
        <w:tc>
          <w:tcPr>
            <w:tcW w:w="1530" w:type="dxa"/>
          </w:tcPr>
          <w:p w14:paraId="3460286B"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1.832682665</w:t>
            </w:r>
          </w:p>
        </w:tc>
        <w:tc>
          <w:tcPr>
            <w:tcW w:w="1730" w:type="dxa"/>
          </w:tcPr>
          <w:p w14:paraId="67FB53A1"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CD80,ICOS,CD86,LCN2,PTPN6,LOC102723407,IGHV3-16,IGHV3-43D,LOC102723996,CTLA4</w:t>
            </w:r>
          </w:p>
        </w:tc>
      </w:tr>
      <w:tr w:rsidR="007D055B" w:rsidRPr="006A7376" w14:paraId="2540CB16" w14:textId="77777777" w:rsidTr="005501B9">
        <w:tc>
          <w:tcPr>
            <w:tcW w:w="1323" w:type="dxa"/>
          </w:tcPr>
          <w:p w14:paraId="17164D73"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GO BP</w:t>
            </w:r>
          </w:p>
        </w:tc>
        <w:tc>
          <w:tcPr>
            <w:tcW w:w="1323" w:type="dxa"/>
          </w:tcPr>
          <w:p w14:paraId="4DA602B4"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Positive regulation of T-helper cell differentiation</w:t>
            </w:r>
          </w:p>
        </w:tc>
        <w:tc>
          <w:tcPr>
            <w:tcW w:w="864" w:type="dxa"/>
          </w:tcPr>
          <w:p w14:paraId="74C289A1"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2</w:t>
            </w:r>
          </w:p>
        </w:tc>
        <w:tc>
          <w:tcPr>
            <w:tcW w:w="1170" w:type="dxa"/>
          </w:tcPr>
          <w:p w14:paraId="6626E850"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0.0148</w:t>
            </w:r>
          </w:p>
        </w:tc>
        <w:tc>
          <w:tcPr>
            <w:tcW w:w="1530" w:type="dxa"/>
          </w:tcPr>
          <w:p w14:paraId="7DAB2498"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1.829738285</w:t>
            </w:r>
          </w:p>
        </w:tc>
        <w:tc>
          <w:tcPr>
            <w:tcW w:w="1730" w:type="dxa"/>
          </w:tcPr>
          <w:p w14:paraId="29A7CBC3"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CD80,CD86</w:t>
            </w:r>
          </w:p>
        </w:tc>
      </w:tr>
      <w:tr w:rsidR="007D055B" w:rsidRPr="006A7376" w14:paraId="5092A172" w14:textId="77777777" w:rsidTr="005501B9">
        <w:tc>
          <w:tcPr>
            <w:tcW w:w="1323" w:type="dxa"/>
          </w:tcPr>
          <w:p w14:paraId="41BBDD44"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GO BP</w:t>
            </w:r>
          </w:p>
        </w:tc>
        <w:tc>
          <w:tcPr>
            <w:tcW w:w="1323" w:type="dxa"/>
          </w:tcPr>
          <w:p w14:paraId="5F243E1C"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Regulation of T cell differentiation</w:t>
            </w:r>
          </w:p>
        </w:tc>
        <w:tc>
          <w:tcPr>
            <w:tcW w:w="864" w:type="dxa"/>
          </w:tcPr>
          <w:p w14:paraId="0C6FB229"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3</w:t>
            </w:r>
          </w:p>
        </w:tc>
        <w:tc>
          <w:tcPr>
            <w:tcW w:w="1170" w:type="dxa"/>
          </w:tcPr>
          <w:p w14:paraId="34127748"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0.0215</w:t>
            </w:r>
          </w:p>
        </w:tc>
        <w:tc>
          <w:tcPr>
            <w:tcW w:w="1530" w:type="dxa"/>
          </w:tcPr>
          <w:p w14:paraId="4376DB53"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1.66756154</w:t>
            </w:r>
          </w:p>
        </w:tc>
        <w:tc>
          <w:tcPr>
            <w:tcW w:w="1730" w:type="dxa"/>
          </w:tcPr>
          <w:p w14:paraId="41C8D4A5"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CD80,CD86,CTLA4</w:t>
            </w:r>
          </w:p>
        </w:tc>
      </w:tr>
      <w:tr w:rsidR="007D055B" w:rsidRPr="006A7376" w14:paraId="71B37BE4" w14:textId="77777777" w:rsidTr="005501B9">
        <w:tc>
          <w:tcPr>
            <w:tcW w:w="1323" w:type="dxa"/>
          </w:tcPr>
          <w:p w14:paraId="244874A6"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GO BP</w:t>
            </w:r>
          </w:p>
        </w:tc>
        <w:tc>
          <w:tcPr>
            <w:tcW w:w="1323" w:type="dxa"/>
          </w:tcPr>
          <w:p w14:paraId="0AAFBCCE"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Cellular response to lipopolysaccharide</w:t>
            </w:r>
          </w:p>
        </w:tc>
        <w:tc>
          <w:tcPr>
            <w:tcW w:w="864" w:type="dxa"/>
          </w:tcPr>
          <w:p w14:paraId="12EADCAB"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3</w:t>
            </w:r>
          </w:p>
        </w:tc>
        <w:tc>
          <w:tcPr>
            <w:tcW w:w="1170" w:type="dxa"/>
          </w:tcPr>
          <w:p w14:paraId="57203794"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0.0277</w:t>
            </w:r>
          </w:p>
        </w:tc>
        <w:tc>
          <w:tcPr>
            <w:tcW w:w="1530" w:type="dxa"/>
          </w:tcPr>
          <w:p w14:paraId="0A011018"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1.557520231</w:t>
            </w:r>
          </w:p>
        </w:tc>
        <w:tc>
          <w:tcPr>
            <w:tcW w:w="1730" w:type="dxa"/>
          </w:tcPr>
          <w:p w14:paraId="65D32EB3"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CD80,CD86,LOC102723996</w:t>
            </w:r>
          </w:p>
        </w:tc>
      </w:tr>
      <w:tr w:rsidR="007D055B" w:rsidRPr="006A7376" w14:paraId="749D67EE" w14:textId="77777777" w:rsidTr="005501B9">
        <w:tc>
          <w:tcPr>
            <w:tcW w:w="1323" w:type="dxa"/>
          </w:tcPr>
          <w:p w14:paraId="0DA4C521"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GO BP</w:t>
            </w:r>
          </w:p>
        </w:tc>
        <w:tc>
          <w:tcPr>
            <w:tcW w:w="1323" w:type="dxa"/>
          </w:tcPr>
          <w:p w14:paraId="052B3AAA"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Positive regulation of interleukin-2 production</w:t>
            </w:r>
          </w:p>
        </w:tc>
        <w:tc>
          <w:tcPr>
            <w:tcW w:w="864" w:type="dxa"/>
          </w:tcPr>
          <w:p w14:paraId="66763DA8"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2</w:t>
            </w:r>
          </w:p>
        </w:tc>
        <w:tc>
          <w:tcPr>
            <w:tcW w:w="1170" w:type="dxa"/>
          </w:tcPr>
          <w:p w14:paraId="6128552F"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0.0339</w:t>
            </w:r>
          </w:p>
        </w:tc>
        <w:tc>
          <w:tcPr>
            <w:tcW w:w="1530" w:type="dxa"/>
          </w:tcPr>
          <w:p w14:paraId="6358CF47"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1.469800302</w:t>
            </w:r>
          </w:p>
        </w:tc>
        <w:tc>
          <w:tcPr>
            <w:tcW w:w="1730" w:type="dxa"/>
          </w:tcPr>
          <w:p w14:paraId="6114C383"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CD80,CD86</w:t>
            </w:r>
          </w:p>
        </w:tc>
      </w:tr>
      <w:tr w:rsidR="007D055B" w:rsidRPr="006A7376" w14:paraId="3B410258" w14:textId="77777777" w:rsidTr="005501B9">
        <w:tc>
          <w:tcPr>
            <w:tcW w:w="1323" w:type="dxa"/>
          </w:tcPr>
          <w:p w14:paraId="55A91284"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KEGG</w:t>
            </w:r>
          </w:p>
        </w:tc>
        <w:tc>
          <w:tcPr>
            <w:tcW w:w="1323" w:type="dxa"/>
          </w:tcPr>
          <w:p w14:paraId="523831EF"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Intestinal immune network for IgA production</w:t>
            </w:r>
          </w:p>
        </w:tc>
        <w:tc>
          <w:tcPr>
            <w:tcW w:w="864" w:type="dxa"/>
          </w:tcPr>
          <w:p w14:paraId="50E091D0"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5</w:t>
            </w:r>
          </w:p>
        </w:tc>
        <w:tc>
          <w:tcPr>
            <w:tcW w:w="1170" w:type="dxa"/>
          </w:tcPr>
          <w:p w14:paraId="5246B94B"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1.06E-08</w:t>
            </w:r>
          </w:p>
        </w:tc>
        <w:tc>
          <w:tcPr>
            <w:tcW w:w="1530" w:type="dxa"/>
          </w:tcPr>
          <w:p w14:paraId="7E3F5F30"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7.974694135</w:t>
            </w:r>
          </w:p>
        </w:tc>
        <w:tc>
          <w:tcPr>
            <w:tcW w:w="1730" w:type="dxa"/>
          </w:tcPr>
          <w:p w14:paraId="6033B8AF"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CD80,ICOS,CD86,LOC102723407,LOC102723996</w:t>
            </w:r>
          </w:p>
        </w:tc>
      </w:tr>
      <w:tr w:rsidR="007D055B" w:rsidRPr="006A7376" w14:paraId="26A5E593" w14:textId="77777777" w:rsidTr="005501B9">
        <w:tc>
          <w:tcPr>
            <w:tcW w:w="1323" w:type="dxa"/>
          </w:tcPr>
          <w:p w14:paraId="4803AB9B"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KEGG</w:t>
            </w:r>
          </w:p>
        </w:tc>
        <w:tc>
          <w:tcPr>
            <w:tcW w:w="1323" w:type="dxa"/>
          </w:tcPr>
          <w:p w14:paraId="4FDB37A5"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Cell adhesion molecules</w:t>
            </w:r>
          </w:p>
        </w:tc>
        <w:tc>
          <w:tcPr>
            <w:tcW w:w="864" w:type="dxa"/>
          </w:tcPr>
          <w:p w14:paraId="27F282B8"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5</w:t>
            </w:r>
          </w:p>
        </w:tc>
        <w:tc>
          <w:tcPr>
            <w:tcW w:w="1170" w:type="dxa"/>
          </w:tcPr>
          <w:p w14:paraId="1D8D9527"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1.40E-06</w:t>
            </w:r>
          </w:p>
        </w:tc>
        <w:tc>
          <w:tcPr>
            <w:tcW w:w="1530" w:type="dxa"/>
          </w:tcPr>
          <w:p w14:paraId="5B9FB782"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5.853871964</w:t>
            </w:r>
          </w:p>
        </w:tc>
        <w:tc>
          <w:tcPr>
            <w:tcW w:w="1730" w:type="dxa"/>
          </w:tcPr>
          <w:p w14:paraId="194FD4DD"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CD80,ICOS,CD86,LOC102723996,CTLA4</w:t>
            </w:r>
          </w:p>
        </w:tc>
      </w:tr>
      <w:tr w:rsidR="007D055B" w:rsidRPr="006A7376" w14:paraId="2CED6A2E" w14:textId="77777777" w:rsidTr="005501B9">
        <w:tc>
          <w:tcPr>
            <w:tcW w:w="1323" w:type="dxa"/>
          </w:tcPr>
          <w:p w14:paraId="4564F039"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KEGG</w:t>
            </w:r>
          </w:p>
        </w:tc>
        <w:tc>
          <w:tcPr>
            <w:tcW w:w="1323" w:type="dxa"/>
          </w:tcPr>
          <w:p w14:paraId="4C60A0E9"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Autoimmune thyroid disease</w:t>
            </w:r>
          </w:p>
        </w:tc>
        <w:tc>
          <w:tcPr>
            <w:tcW w:w="864" w:type="dxa"/>
          </w:tcPr>
          <w:p w14:paraId="3209DB32"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4</w:t>
            </w:r>
          </w:p>
        </w:tc>
        <w:tc>
          <w:tcPr>
            <w:tcW w:w="1170" w:type="dxa"/>
          </w:tcPr>
          <w:p w14:paraId="3F2ACAC1"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1.57E-06</w:t>
            </w:r>
          </w:p>
        </w:tc>
        <w:tc>
          <w:tcPr>
            <w:tcW w:w="1530" w:type="dxa"/>
          </w:tcPr>
          <w:p w14:paraId="67B133CA"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5.804100348</w:t>
            </w:r>
          </w:p>
        </w:tc>
        <w:tc>
          <w:tcPr>
            <w:tcW w:w="1730" w:type="dxa"/>
          </w:tcPr>
          <w:p w14:paraId="141CB8E2"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CD80,CD86,LOC102723407,CTLA4</w:t>
            </w:r>
          </w:p>
        </w:tc>
      </w:tr>
      <w:tr w:rsidR="007D055B" w:rsidRPr="006A7376" w14:paraId="237BE9EF" w14:textId="77777777" w:rsidTr="005501B9">
        <w:tc>
          <w:tcPr>
            <w:tcW w:w="1323" w:type="dxa"/>
          </w:tcPr>
          <w:p w14:paraId="2B0F2368"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KEGG</w:t>
            </w:r>
          </w:p>
        </w:tc>
        <w:tc>
          <w:tcPr>
            <w:tcW w:w="1323" w:type="dxa"/>
          </w:tcPr>
          <w:p w14:paraId="7ECE0533"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Rheumatoid arthritis</w:t>
            </w:r>
          </w:p>
        </w:tc>
        <w:tc>
          <w:tcPr>
            <w:tcW w:w="864" w:type="dxa"/>
          </w:tcPr>
          <w:p w14:paraId="40AA6D1D"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4</w:t>
            </w:r>
          </w:p>
        </w:tc>
        <w:tc>
          <w:tcPr>
            <w:tcW w:w="1170" w:type="dxa"/>
          </w:tcPr>
          <w:p w14:paraId="6528C77A"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9.59E-06</w:t>
            </w:r>
          </w:p>
        </w:tc>
        <w:tc>
          <w:tcPr>
            <w:tcW w:w="1530" w:type="dxa"/>
          </w:tcPr>
          <w:p w14:paraId="68797A45"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5.018181393</w:t>
            </w:r>
          </w:p>
        </w:tc>
        <w:tc>
          <w:tcPr>
            <w:tcW w:w="1730" w:type="dxa"/>
          </w:tcPr>
          <w:p w14:paraId="175498F0"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CD80,CD86,LOC102723407,CTLA4</w:t>
            </w:r>
          </w:p>
        </w:tc>
      </w:tr>
      <w:tr w:rsidR="007D055B" w:rsidRPr="006A7376" w14:paraId="7DFCC0E4" w14:textId="77777777" w:rsidTr="005501B9">
        <w:tc>
          <w:tcPr>
            <w:tcW w:w="1323" w:type="dxa"/>
          </w:tcPr>
          <w:p w14:paraId="63CA38E2"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lastRenderedPageBreak/>
              <w:t>KEGG</w:t>
            </w:r>
          </w:p>
        </w:tc>
        <w:tc>
          <w:tcPr>
            <w:tcW w:w="1323" w:type="dxa"/>
          </w:tcPr>
          <w:p w14:paraId="5FF525BE"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Allograft rejection</w:t>
            </w:r>
          </w:p>
        </w:tc>
        <w:tc>
          <w:tcPr>
            <w:tcW w:w="864" w:type="dxa"/>
          </w:tcPr>
          <w:p w14:paraId="5AB5DC96"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3</w:t>
            </w:r>
          </w:p>
        </w:tc>
        <w:tc>
          <w:tcPr>
            <w:tcW w:w="1170" w:type="dxa"/>
          </w:tcPr>
          <w:p w14:paraId="0DDC5C48"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6.68E-05</w:t>
            </w:r>
          </w:p>
        </w:tc>
        <w:tc>
          <w:tcPr>
            <w:tcW w:w="1530" w:type="dxa"/>
          </w:tcPr>
          <w:p w14:paraId="59CCFE50"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4.175223538</w:t>
            </w:r>
          </w:p>
        </w:tc>
        <w:tc>
          <w:tcPr>
            <w:tcW w:w="1730" w:type="dxa"/>
          </w:tcPr>
          <w:p w14:paraId="284519D5"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CD80,CD86,LOC102723407</w:t>
            </w:r>
          </w:p>
        </w:tc>
      </w:tr>
      <w:tr w:rsidR="007D055B" w:rsidRPr="006A7376" w14:paraId="1E9975E2" w14:textId="77777777" w:rsidTr="005501B9">
        <w:tc>
          <w:tcPr>
            <w:tcW w:w="1323" w:type="dxa"/>
          </w:tcPr>
          <w:p w14:paraId="6480D3BA"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KEGG</w:t>
            </w:r>
          </w:p>
        </w:tc>
        <w:tc>
          <w:tcPr>
            <w:tcW w:w="1323" w:type="dxa"/>
          </w:tcPr>
          <w:p w14:paraId="3D476BCD"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Viral myocarditis</w:t>
            </w:r>
          </w:p>
        </w:tc>
        <w:tc>
          <w:tcPr>
            <w:tcW w:w="864" w:type="dxa"/>
          </w:tcPr>
          <w:p w14:paraId="77FF5A28"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3</w:t>
            </w:r>
          </w:p>
        </w:tc>
        <w:tc>
          <w:tcPr>
            <w:tcW w:w="1170" w:type="dxa"/>
          </w:tcPr>
          <w:p w14:paraId="1A32A3B3"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0.00022</w:t>
            </w:r>
          </w:p>
        </w:tc>
        <w:tc>
          <w:tcPr>
            <w:tcW w:w="1530" w:type="dxa"/>
          </w:tcPr>
          <w:p w14:paraId="23BEC48C"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3.657577319</w:t>
            </w:r>
          </w:p>
        </w:tc>
        <w:tc>
          <w:tcPr>
            <w:tcW w:w="1730" w:type="dxa"/>
          </w:tcPr>
          <w:p w14:paraId="68870360"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CD80,CD86,LOC102723407</w:t>
            </w:r>
          </w:p>
        </w:tc>
      </w:tr>
      <w:tr w:rsidR="007D055B" w:rsidRPr="006A7376" w14:paraId="457EFAA1" w14:textId="77777777" w:rsidTr="005501B9">
        <w:tc>
          <w:tcPr>
            <w:tcW w:w="1323" w:type="dxa"/>
          </w:tcPr>
          <w:p w14:paraId="004C2A2F"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KEGG</w:t>
            </w:r>
          </w:p>
        </w:tc>
        <w:tc>
          <w:tcPr>
            <w:tcW w:w="1323" w:type="dxa"/>
          </w:tcPr>
          <w:p w14:paraId="04FB00B4"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Systemic lupus erythematosus</w:t>
            </w:r>
          </w:p>
        </w:tc>
        <w:tc>
          <w:tcPr>
            <w:tcW w:w="864" w:type="dxa"/>
          </w:tcPr>
          <w:p w14:paraId="2C56B2A4"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3</w:t>
            </w:r>
          </w:p>
        </w:tc>
        <w:tc>
          <w:tcPr>
            <w:tcW w:w="1170" w:type="dxa"/>
          </w:tcPr>
          <w:p w14:paraId="150FF6BD"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0.00089</w:t>
            </w:r>
          </w:p>
        </w:tc>
        <w:tc>
          <w:tcPr>
            <w:tcW w:w="1530" w:type="dxa"/>
          </w:tcPr>
          <w:p w14:paraId="207963F3"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3.050609993</w:t>
            </w:r>
          </w:p>
        </w:tc>
        <w:tc>
          <w:tcPr>
            <w:tcW w:w="1730" w:type="dxa"/>
          </w:tcPr>
          <w:p w14:paraId="6BFC34B5"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CD80,CD86,LOC102723407</w:t>
            </w:r>
          </w:p>
        </w:tc>
      </w:tr>
      <w:tr w:rsidR="007D055B" w:rsidRPr="006A7376" w14:paraId="4B235676" w14:textId="77777777" w:rsidTr="005501B9">
        <w:tc>
          <w:tcPr>
            <w:tcW w:w="1323" w:type="dxa"/>
          </w:tcPr>
          <w:p w14:paraId="3361BFE4"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KEGG</w:t>
            </w:r>
          </w:p>
        </w:tc>
        <w:tc>
          <w:tcPr>
            <w:tcW w:w="1323" w:type="dxa"/>
          </w:tcPr>
          <w:p w14:paraId="480B59A8"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T cell receptor signaling pathway</w:t>
            </w:r>
          </w:p>
        </w:tc>
        <w:tc>
          <w:tcPr>
            <w:tcW w:w="864" w:type="dxa"/>
          </w:tcPr>
          <w:p w14:paraId="767B54F9"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3</w:t>
            </w:r>
          </w:p>
        </w:tc>
        <w:tc>
          <w:tcPr>
            <w:tcW w:w="1170" w:type="dxa"/>
          </w:tcPr>
          <w:p w14:paraId="7477D794"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0.00093</w:t>
            </w:r>
          </w:p>
        </w:tc>
        <w:tc>
          <w:tcPr>
            <w:tcW w:w="1530" w:type="dxa"/>
          </w:tcPr>
          <w:p w14:paraId="3496442C"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3.031517051</w:t>
            </w:r>
          </w:p>
        </w:tc>
        <w:tc>
          <w:tcPr>
            <w:tcW w:w="1730" w:type="dxa"/>
          </w:tcPr>
          <w:p w14:paraId="03C22C1F"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ICOS,PTPN6,CTLA4</w:t>
            </w:r>
          </w:p>
        </w:tc>
      </w:tr>
      <w:tr w:rsidR="007D055B" w:rsidRPr="006A7376" w14:paraId="4CE7DD16" w14:textId="77777777" w:rsidTr="005501B9">
        <w:tc>
          <w:tcPr>
            <w:tcW w:w="1323" w:type="dxa"/>
          </w:tcPr>
          <w:p w14:paraId="25B8C55C"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KEGG</w:t>
            </w:r>
          </w:p>
        </w:tc>
        <w:tc>
          <w:tcPr>
            <w:tcW w:w="1323" w:type="dxa"/>
          </w:tcPr>
          <w:p w14:paraId="3C7821C1"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Type I diabetes mellitus</w:t>
            </w:r>
          </w:p>
        </w:tc>
        <w:tc>
          <w:tcPr>
            <w:tcW w:w="864" w:type="dxa"/>
          </w:tcPr>
          <w:p w14:paraId="67B3BFF4"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2</w:t>
            </w:r>
          </w:p>
        </w:tc>
        <w:tc>
          <w:tcPr>
            <w:tcW w:w="1170" w:type="dxa"/>
          </w:tcPr>
          <w:p w14:paraId="75D7E17C"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0.0074</w:t>
            </w:r>
          </w:p>
        </w:tc>
        <w:tc>
          <w:tcPr>
            <w:tcW w:w="1530" w:type="dxa"/>
          </w:tcPr>
          <w:p w14:paraId="75F236D3"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2.13076828</w:t>
            </w:r>
          </w:p>
        </w:tc>
        <w:tc>
          <w:tcPr>
            <w:tcW w:w="1730" w:type="dxa"/>
          </w:tcPr>
          <w:p w14:paraId="682E2254"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CD80,CD86</w:t>
            </w:r>
          </w:p>
        </w:tc>
      </w:tr>
      <w:tr w:rsidR="007D055B" w:rsidRPr="006A7376" w14:paraId="44D59204" w14:textId="77777777" w:rsidTr="005501B9">
        <w:tc>
          <w:tcPr>
            <w:tcW w:w="1323" w:type="dxa"/>
          </w:tcPr>
          <w:p w14:paraId="76197665"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KEGG</w:t>
            </w:r>
          </w:p>
        </w:tc>
        <w:tc>
          <w:tcPr>
            <w:tcW w:w="1323" w:type="dxa"/>
          </w:tcPr>
          <w:p w14:paraId="49E005FD"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Graft-versus-host disease</w:t>
            </w:r>
          </w:p>
        </w:tc>
        <w:tc>
          <w:tcPr>
            <w:tcW w:w="864" w:type="dxa"/>
          </w:tcPr>
          <w:p w14:paraId="32529A25"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2</w:t>
            </w:r>
          </w:p>
        </w:tc>
        <w:tc>
          <w:tcPr>
            <w:tcW w:w="1170" w:type="dxa"/>
          </w:tcPr>
          <w:p w14:paraId="25F0521D"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0.0074</w:t>
            </w:r>
          </w:p>
        </w:tc>
        <w:tc>
          <w:tcPr>
            <w:tcW w:w="1530" w:type="dxa"/>
          </w:tcPr>
          <w:p w14:paraId="0F8ADFC1"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2.13076828</w:t>
            </w:r>
          </w:p>
        </w:tc>
        <w:tc>
          <w:tcPr>
            <w:tcW w:w="1730" w:type="dxa"/>
          </w:tcPr>
          <w:p w14:paraId="5DB6B1F3"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CD80,CD86</w:t>
            </w:r>
          </w:p>
        </w:tc>
      </w:tr>
      <w:tr w:rsidR="007D055B" w:rsidRPr="006A7376" w14:paraId="48F971F2" w14:textId="77777777" w:rsidTr="005501B9">
        <w:tc>
          <w:tcPr>
            <w:tcW w:w="1323" w:type="dxa"/>
          </w:tcPr>
          <w:p w14:paraId="504F7C05"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KEGG</w:t>
            </w:r>
          </w:p>
        </w:tc>
        <w:tc>
          <w:tcPr>
            <w:tcW w:w="1323" w:type="dxa"/>
          </w:tcPr>
          <w:p w14:paraId="14559A1F"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Primary immunodeficiency</w:t>
            </w:r>
          </w:p>
        </w:tc>
        <w:tc>
          <w:tcPr>
            <w:tcW w:w="864" w:type="dxa"/>
          </w:tcPr>
          <w:p w14:paraId="3306439F"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2</w:t>
            </w:r>
          </w:p>
        </w:tc>
        <w:tc>
          <w:tcPr>
            <w:tcW w:w="1170" w:type="dxa"/>
          </w:tcPr>
          <w:p w14:paraId="125CF29F"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0.0074</w:t>
            </w:r>
          </w:p>
        </w:tc>
        <w:tc>
          <w:tcPr>
            <w:tcW w:w="1530" w:type="dxa"/>
          </w:tcPr>
          <w:p w14:paraId="12D478A9"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2.13076828</w:t>
            </w:r>
          </w:p>
        </w:tc>
        <w:tc>
          <w:tcPr>
            <w:tcW w:w="1730" w:type="dxa"/>
          </w:tcPr>
          <w:p w14:paraId="7C259606"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ICOS,LOC102723407</w:t>
            </w:r>
          </w:p>
        </w:tc>
      </w:tr>
      <w:tr w:rsidR="007D055B" w:rsidRPr="006A7376" w14:paraId="4174EA87" w14:textId="77777777" w:rsidTr="005501B9">
        <w:tc>
          <w:tcPr>
            <w:tcW w:w="1323" w:type="dxa"/>
          </w:tcPr>
          <w:p w14:paraId="24951DDE"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KEGG</w:t>
            </w:r>
          </w:p>
        </w:tc>
        <w:tc>
          <w:tcPr>
            <w:tcW w:w="1323" w:type="dxa"/>
          </w:tcPr>
          <w:p w14:paraId="07A79608"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Leishmaniasis</w:t>
            </w:r>
          </w:p>
        </w:tc>
        <w:tc>
          <w:tcPr>
            <w:tcW w:w="864" w:type="dxa"/>
          </w:tcPr>
          <w:p w14:paraId="43337637"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2</w:t>
            </w:r>
          </w:p>
        </w:tc>
        <w:tc>
          <w:tcPr>
            <w:tcW w:w="1170" w:type="dxa"/>
          </w:tcPr>
          <w:p w14:paraId="284AF67F"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0.0193</w:t>
            </w:r>
          </w:p>
        </w:tc>
        <w:tc>
          <w:tcPr>
            <w:tcW w:w="1530" w:type="dxa"/>
          </w:tcPr>
          <w:p w14:paraId="5EDF29CC"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1.714442691</w:t>
            </w:r>
          </w:p>
        </w:tc>
        <w:tc>
          <w:tcPr>
            <w:tcW w:w="1730" w:type="dxa"/>
          </w:tcPr>
          <w:p w14:paraId="325351C6"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PTPN6,LOC102723407</w:t>
            </w:r>
          </w:p>
        </w:tc>
      </w:tr>
      <w:tr w:rsidR="007D055B" w:rsidRPr="006A7376" w14:paraId="7E369505" w14:textId="77777777" w:rsidTr="005501B9">
        <w:tc>
          <w:tcPr>
            <w:tcW w:w="1323" w:type="dxa"/>
          </w:tcPr>
          <w:p w14:paraId="3D560F77"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KEGG</w:t>
            </w:r>
          </w:p>
        </w:tc>
        <w:tc>
          <w:tcPr>
            <w:tcW w:w="1323" w:type="dxa"/>
          </w:tcPr>
          <w:p w14:paraId="299C1A94"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B cell receptor signaling pathway</w:t>
            </w:r>
          </w:p>
        </w:tc>
        <w:tc>
          <w:tcPr>
            <w:tcW w:w="864" w:type="dxa"/>
          </w:tcPr>
          <w:p w14:paraId="64B46B24"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2</w:t>
            </w:r>
          </w:p>
        </w:tc>
        <w:tc>
          <w:tcPr>
            <w:tcW w:w="1170" w:type="dxa"/>
          </w:tcPr>
          <w:p w14:paraId="787F39F0"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0.0226</w:t>
            </w:r>
          </w:p>
        </w:tc>
        <w:tc>
          <w:tcPr>
            <w:tcW w:w="1530" w:type="dxa"/>
          </w:tcPr>
          <w:p w14:paraId="43DEA1AD"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1.645891561</w:t>
            </w:r>
          </w:p>
        </w:tc>
        <w:tc>
          <w:tcPr>
            <w:tcW w:w="1730" w:type="dxa"/>
          </w:tcPr>
          <w:p w14:paraId="4EED3C7E"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PTPN6,LOC102723407</w:t>
            </w:r>
          </w:p>
        </w:tc>
      </w:tr>
      <w:tr w:rsidR="007D055B" w:rsidRPr="006A7376" w14:paraId="401EEC80" w14:textId="77777777" w:rsidTr="005501B9">
        <w:tc>
          <w:tcPr>
            <w:tcW w:w="1323" w:type="dxa"/>
          </w:tcPr>
          <w:p w14:paraId="0EFFEC90"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KEGG</w:t>
            </w:r>
          </w:p>
        </w:tc>
        <w:tc>
          <w:tcPr>
            <w:tcW w:w="1323" w:type="dxa"/>
          </w:tcPr>
          <w:p w14:paraId="0B22FAA7"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Toll-like receptor signaling pathway</w:t>
            </w:r>
          </w:p>
        </w:tc>
        <w:tc>
          <w:tcPr>
            <w:tcW w:w="864" w:type="dxa"/>
          </w:tcPr>
          <w:p w14:paraId="57F67DD5"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2</w:t>
            </w:r>
          </w:p>
        </w:tc>
        <w:tc>
          <w:tcPr>
            <w:tcW w:w="1170" w:type="dxa"/>
          </w:tcPr>
          <w:p w14:paraId="264631D1"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0.034</w:t>
            </w:r>
          </w:p>
        </w:tc>
        <w:tc>
          <w:tcPr>
            <w:tcW w:w="1530" w:type="dxa"/>
          </w:tcPr>
          <w:p w14:paraId="6DF1E5CE"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1.468521083</w:t>
            </w:r>
          </w:p>
        </w:tc>
        <w:tc>
          <w:tcPr>
            <w:tcW w:w="1730" w:type="dxa"/>
          </w:tcPr>
          <w:p w14:paraId="740A0997"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CD80,CD86</w:t>
            </w:r>
          </w:p>
        </w:tc>
      </w:tr>
      <w:tr w:rsidR="007D055B" w:rsidRPr="006A7376" w14:paraId="499CD575" w14:textId="77777777" w:rsidTr="005501B9">
        <w:tc>
          <w:tcPr>
            <w:tcW w:w="1323" w:type="dxa"/>
          </w:tcPr>
          <w:p w14:paraId="7D63D412"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KEGG</w:t>
            </w:r>
          </w:p>
        </w:tc>
        <w:tc>
          <w:tcPr>
            <w:tcW w:w="1323" w:type="dxa"/>
          </w:tcPr>
          <w:p w14:paraId="79CBB41E"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Natural killer cell mediated cytotoxicity</w:t>
            </w:r>
          </w:p>
        </w:tc>
        <w:tc>
          <w:tcPr>
            <w:tcW w:w="864" w:type="dxa"/>
          </w:tcPr>
          <w:p w14:paraId="16C9CD39"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2</w:t>
            </w:r>
          </w:p>
        </w:tc>
        <w:tc>
          <w:tcPr>
            <w:tcW w:w="1170" w:type="dxa"/>
          </w:tcPr>
          <w:p w14:paraId="56D2D3F4"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0.0451</w:t>
            </w:r>
          </w:p>
        </w:tc>
        <w:tc>
          <w:tcPr>
            <w:tcW w:w="1530" w:type="dxa"/>
          </w:tcPr>
          <w:p w14:paraId="711A2615"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1.345823458</w:t>
            </w:r>
          </w:p>
        </w:tc>
        <w:tc>
          <w:tcPr>
            <w:tcW w:w="1730" w:type="dxa"/>
          </w:tcPr>
          <w:p w14:paraId="1333E9CB"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PTPN6,LOC102723407</w:t>
            </w:r>
          </w:p>
        </w:tc>
      </w:tr>
      <w:tr w:rsidR="007D055B" w:rsidRPr="006A7376" w14:paraId="7887D9CC" w14:textId="77777777" w:rsidTr="005501B9">
        <w:tc>
          <w:tcPr>
            <w:tcW w:w="1323" w:type="dxa"/>
          </w:tcPr>
          <w:p w14:paraId="20B5B2A3"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Reactome</w:t>
            </w:r>
          </w:p>
        </w:tc>
        <w:tc>
          <w:tcPr>
            <w:tcW w:w="1323" w:type="dxa"/>
          </w:tcPr>
          <w:p w14:paraId="7592D57A"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Costimulation by the CD28 family</w:t>
            </w:r>
          </w:p>
        </w:tc>
        <w:tc>
          <w:tcPr>
            <w:tcW w:w="864" w:type="dxa"/>
          </w:tcPr>
          <w:p w14:paraId="1D14A75A"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6</w:t>
            </w:r>
          </w:p>
        </w:tc>
        <w:tc>
          <w:tcPr>
            <w:tcW w:w="1170" w:type="dxa"/>
          </w:tcPr>
          <w:p w14:paraId="3C64EF41"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2.00E-09</w:t>
            </w:r>
          </w:p>
        </w:tc>
        <w:tc>
          <w:tcPr>
            <w:tcW w:w="1530" w:type="dxa"/>
          </w:tcPr>
          <w:p w14:paraId="073B5600"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8.698970004</w:t>
            </w:r>
          </w:p>
        </w:tc>
        <w:tc>
          <w:tcPr>
            <w:tcW w:w="1730" w:type="dxa"/>
          </w:tcPr>
          <w:p w14:paraId="0A5EF91F"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CD80,ICOS,CD86,PTPN6,LOC102723996,CTLA4</w:t>
            </w:r>
          </w:p>
        </w:tc>
      </w:tr>
      <w:tr w:rsidR="007D055B" w:rsidRPr="006A7376" w14:paraId="46536470" w14:textId="77777777" w:rsidTr="005501B9">
        <w:tc>
          <w:tcPr>
            <w:tcW w:w="1323" w:type="dxa"/>
          </w:tcPr>
          <w:p w14:paraId="0EBB6884"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lastRenderedPageBreak/>
              <w:t>Reactome</w:t>
            </w:r>
          </w:p>
        </w:tc>
        <w:tc>
          <w:tcPr>
            <w:tcW w:w="1323" w:type="dxa"/>
          </w:tcPr>
          <w:p w14:paraId="46A537BD"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CTLA4 inhibitory signaling</w:t>
            </w:r>
          </w:p>
        </w:tc>
        <w:tc>
          <w:tcPr>
            <w:tcW w:w="864" w:type="dxa"/>
          </w:tcPr>
          <w:p w14:paraId="4B5838CF"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3</w:t>
            </w:r>
          </w:p>
        </w:tc>
        <w:tc>
          <w:tcPr>
            <w:tcW w:w="1170" w:type="dxa"/>
          </w:tcPr>
          <w:p w14:paraId="12882D4D"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0.0003</w:t>
            </w:r>
          </w:p>
        </w:tc>
        <w:tc>
          <w:tcPr>
            <w:tcW w:w="1530" w:type="dxa"/>
          </w:tcPr>
          <w:p w14:paraId="0D3E9D1F"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3.522878745</w:t>
            </w:r>
          </w:p>
        </w:tc>
        <w:tc>
          <w:tcPr>
            <w:tcW w:w="1730" w:type="dxa"/>
          </w:tcPr>
          <w:p w14:paraId="361E5FF1"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CD80,CD86,CTLA4</w:t>
            </w:r>
          </w:p>
        </w:tc>
      </w:tr>
      <w:tr w:rsidR="007D055B" w:rsidRPr="006A7376" w14:paraId="2E9D2924" w14:textId="77777777" w:rsidTr="005501B9">
        <w:tc>
          <w:tcPr>
            <w:tcW w:w="1323" w:type="dxa"/>
          </w:tcPr>
          <w:p w14:paraId="0840E5E5"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Reactome</w:t>
            </w:r>
          </w:p>
        </w:tc>
        <w:tc>
          <w:tcPr>
            <w:tcW w:w="1323" w:type="dxa"/>
          </w:tcPr>
          <w:p w14:paraId="3CC0476D"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Constitutive Signaling by Aberrant PI3K in Cancer</w:t>
            </w:r>
          </w:p>
        </w:tc>
        <w:tc>
          <w:tcPr>
            <w:tcW w:w="864" w:type="dxa"/>
          </w:tcPr>
          <w:p w14:paraId="3780F425"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3</w:t>
            </w:r>
          </w:p>
        </w:tc>
        <w:tc>
          <w:tcPr>
            <w:tcW w:w="1170" w:type="dxa"/>
          </w:tcPr>
          <w:p w14:paraId="6922F738"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0.0061</w:t>
            </w:r>
          </w:p>
        </w:tc>
        <w:tc>
          <w:tcPr>
            <w:tcW w:w="1530" w:type="dxa"/>
          </w:tcPr>
          <w:p w14:paraId="7D731FFE"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2.214670165</w:t>
            </w:r>
          </w:p>
        </w:tc>
        <w:tc>
          <w:tcPr>
            <w:tcW w:w="1730" w:type="dxa"/>
          </w:tcPr>
          <w:p w14:paraId="449F4EC1"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CD80,ICOS,CD86</w:t>
            </w:r>
          </w:p>
        </w:tc>
      </w:tr>
      <w:tr w:rsidR="007D055B" w:rsidRPr="006A7376" w14:paraId="513AA6E3" w14:textId="77777777" w:rsidTr="005501B9">
        <w:tc>
          <w:tcPr>
            <w:tcW w:w="1323" w:type="dxa"/>
          </w:tcPr>
          <w:p w14:paraId="5E401A8D"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Reactome</w:t>
            </w:r>
          </w:p>
        </w:tc>
        <w:tc>
          <w:tcPr>
            <w:tcW w:w="1323" w:type="dxa"/>
          </w:tcPr>
          <w:p w14:paraId="5C477035"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Immune System</w:t>
            </w:r>
          </w:p>
        </w:tc>
        <w:tc>
          <w:tcPr>
            <w:tcW w:w="864" w:type="dxa"/>
          </w:tcPr>
          <w:p w14:paraId="3BA88B0E"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7</w:t>
            </w:r>
          </w:p>
        </w:tc>
        <w:tc>
          <w:tcPr>
            <w:tcW w:w="1170" w:type="dxa"/>
          </w:tcPr>
          <w:p w14:paraId="4BEB5DD8"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0.0109</w:t>
            </w:r>
          </w:p>
        </w:tc>
        <w:tc>
          <w:tcPr>
            <w:tcW w:w="1530" w:type="dxa"/>
          </w:tcPr>
          <w:p w14:paraId="1F7C056E"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1.962573502</w:t>
            </w:r>
          </w:p>
        </w:tc>
        <w:tc>
          <w:tcPr>
            <w:tcW w:w="1730" w:type="dxa"/>
          </w:tcPr>
          <w:p w14:paraId="73E91E41"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CD80,ICOS,CD86,LCN2,PTPN6,LOC102723996,CTLA4</w:t>
            </w:r>
          </w:p>
        </w:tc>
      </w:tr>
      <w:tr w:rsidR="007D055B" w:rsidRPr="006A7376" w14:paraId="034FCE67" w14:textId="77777777" w:rsidTr="005501B9">
        <w:tc>
          <w:tcPr>
            <w:tcW w:w="1323" w:type="dxa"/>
          </w:tcPr>
          <w:p w14:paraId="5221354B"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Reactome</w:t>
            </w:r>
          </w:p>
        </w:tc>
        <w:tc>
          <w:tcPr>
            <w:tcW w:w="1323" w:type="dxa"/>
          </w:tcPr>
          <w:p w14:paraId="5F066E7D"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CD28 dependent Vav1 pathway</w:t>
            </w:r>
          </w:p>
        </w:tc>
        <w:tc>
          <w:tcPr>
            <w:tcW w:w="864" w:type="dxa"/>
          </w:tcPr>
          <w:p w14:paraId="14C98F00"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2</w:t>
            </w:r>
          </w:p>
        </w:tc>
        <w:tc>
          <w:tcPr>
            <w:tcW w:w="1170" w:type="dxa"/>
          </w:tcPr>
          <w:p w14:paraId="137FA175"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0.0109</w:t>
            </w:r>
          </w:p>
        </w:tc>
        <w:tc>
          <w:tcPr>
            <w:tcW w:w="1530" w:type="dxa"/>
          </w:tcPr>
          <w:p w14:paraId="2261D0A9"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1.962573502</w:t>
            </w:r>
          </w:p>
        </w:tc>
        <w:tc>
          <w:tcPr>
            <w:tcW w:w="1730" w:type="dxa"/>
          </w:tcPr>
          <w:p w14:paraId="1D8E9DFE"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CD80,CD86</w:t>
            </w:r>
          </w:p>
        </w:tc>
      </w:tr>
      <w:tr w:rsidR="007D055B" w:rsidRPr="006A7376" w14:paraId="45E93B9E" w14:textId="77777777" w:rsidTr="005501B9">
        <w:tc>
          <w:tcPr>
            <w:tcW w:w="1323" w:type="dxa"/>
          </w:tcPr>
          <w:p w14:paraId="27ADF094"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Reactome</w:t>
            </w:r>
          </w:p>
        </w:tc>
        <w:tc>
          <w:tcPr>
            <w:tcW w:w="1323" w:type="dxa"/>
          </w:tcPr>
          <w:p w14:paraId="56F32938"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PI5P, PP2A and IER3 Regulate PI3K/AKT Signaling</w:t>
            </w:r>
          </w:p>
        </w:tc>
        <w:tc>
          <w:tcPr>
            <w:tcW w:w="864" w:type="dxa"/>
          </w:tcPr>
          <w:p w14:paraId="498136D0"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3</w:t>
            </w:r>
          </w:p>
        </w:tc>
        <w:tc>
          <w:tcPr>
            <w:tcW w:w="1170" w:type="dxa"/>
          </w:tcPr>
          <w:p w14:paraId="7D20B1DC"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0.0109</w:t>
            </w:r>
          </w:p>
        </w:tc>
        <w:tc>
          <w:tcPr>
            <w:tcW w:w="1530" w:type="dxa"/>
          </w:tcPr>
          <w:p w14:paraId="6A543F21"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1.962573502</w:t>
            </w:r>
          </w:p>
        </w:tc>
        <w:tc>
          <w:tcPr>
            <w:tcW w:w="1730" w:type="dxa"/>
          </w:tcPr>
          <w:p w14:paraId="3D06B8B8"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CD80,ICOS,CD86</w:t>
            </w:r>
          </w:p>
        </w:tc>
      </w:tr>
      <w:tr w:rsidR="007D055B" w:rsidRPr="006A7376" w14:paraId="79A86544" w14:textId="77777777" w:rsidTr="005501B9">
        <w:tc>
          <w:tcPr>
            <w:tcW w:w="1323" w:type="dxa"/>
          </w:tcPr>
          <w:p w14:paraId="1FA0EEE6"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Reactome</w:t>
            </w:r>
          </w:p>
        </w:tc>
        <w:tc>
          <w:tcPr>
            <w:tcW w:w="1323" w:type="dxa"/>
          </w:tcPr>
          <w:p w14:paraId="7BF9A081"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CD28 dependent PI3K/Akt signaling</w:t>
            </w:r>
          </w:p>
        </w:tc>
        <w:tc>
          <w:tcPr>
            <w:tcW w:w="864" w:type="dxa"/>
          </w:tcPr>
          <w:p w14:paraId="328F627C"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2</w:t>
            </w:r>
          </w:p>
        </w:tc>
        <w:tc>
          <w:tcPr>
            <w:tcW w:w="1170" w:type="dxa"/>
          </w:tcPr>
          <w:p w14:paraId="41C1FEFF"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0.0177</w:t>
            </w:r>
          </w:p>
        </w:tc>
        <w:tc>
          <w:tcPr>
            <w:tcW w:w="1530" w:type="dxa"/>
          </w:tcPr>
          <w:p w14:paraId="4A604F35"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1.752026734</w:t>
            </w:r>
          </w:p>
        </w:tc>
        <w:tc>
          <w:tcPr>
            <w:tcW w:w="1730" w:type="dxa"/>
          </w:tcPr>
          <w:p w14:paraId="6BCB8489"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CD80,CD86</w:t>
            </w:r>
          </w:p>
        </w:tc>
      </w:tr>
      <w:tr w:rsidR="007D055B" w:rsidRPr="006A7376" w14:paraId="215CC70A" w14:textId="77777777" w:rsidTr="005501B9">
        <w:tc>
          <w:tcPr>
            <w:tcW w:w="1323" w:type="dxa"/>
          </w:tcPr>
          <w:p w14:paraId="4C41D850"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Reactome</w:t>
            </w:r>
          </w:p>
        </w:tc>
        <w:tc>
          <w:tcPr>
            <w:tcW w:w="1323" w:type="dxa"/>
          </w:tcPr>
          <w:p w14:paraId="15146396"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Signaling by Interleukins</w:t>
            </w:r>
          </w:p>
        </w:tc>
        <w:tc>
          <w:tcPr>
            <w:tcW w:w="864" w:type="dxa"/>
          </w:tcPr>
          <w:p w14:paraId="4A3D21E5"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4</w:t>
            </w:r>
          </w:p>
        </w:tc>
        <w:tc>
          <w:tcPr>
            <w:tcW w:w="1170" w:type="dxa"/>
          </w:tcPr>
          <w:p w14:paraId="264A3512"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0.0177</w:t>
            </w:r>
          </w:p>
        </w:tc>
        <w:tc>
          <w:tcPr>
            <w:tcW w:w="1530" w:type="dxa"/>
          </w:tcPr>
          <w:p w14:paraId="07E2B614"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1.752026734</w:t>
            </w:r>
          </w:p>
        </w:tc>
        <w:tc>
          <w:tcPr>
            <w:tcW w:w="1730" w:type="dxa"/>
          </w:tcPr>
          <w:p w14:paraId="1F6FDC22"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CD80,CD86,LCN2,PTPN6</w:t>
            </w:r>
          </w:p>
        </w:tc>
      </w:tr>
    </w:tbl>
    <w:p w14:paraId="7F4C976E" w14:textId="77777777" w:rsidR="007D055B" w:rsidRPr="006A7376" w:rsidRDefault="007D055B" w:rsidP="007D055B">
      <w:pPr>
        <w:spacing w:line="360" w:lineRule="auto"/>
        <w:jc w:val="center"/>
        <w:rPr>
          <w:rFonts w:ascii="Times New Roman" w:hAnsi="Times New Roman" w:cs="Times New Roman"/>
          <w:sz w:val="20"/>
          <w:szCs w:val="20"/>
        </w:rPr>
      </w:pPr>
      <w:r w:rsidRPr="006A7376">
        <w:rPr>
          <w:rFonts w:ascii="Times New Roman" w:hAnsi="Times New Roman" w:cs="Times New Roman"/>
          <w:b/>
          <w:bCs/>
          <w:sz w:val="20"/>
          <w:szCs w:val="20"/>
        </w:rPr>
        <w:t>Table S9.</w:t>
      </w:r>
      <w:r w:rsidRPr="006A7376">
        <w:rPr>
          <w:rFonts w:ascii="Times New Roman" w:hAnsi="Times New Roman" w:cs="Times New Roman"/>
          <w:sz w:val="20"/>
          <w:szCs w:val="20"/>
        </w:rPr>
        <w:t xml:space="preserve"> Complete list of enriched Gene Ontology Biological Process terms, KEGG pathways, and Reactome pathways for the CTLA-4–centered network.</w:t>
      </w:r>
    </w:p>
    <w:tbl>
      <w:tblPr>
        <w:tblStyle w:val="TableGrid"/>
        <w:tblW w:w="0" w:type="auto"/>
        <w:tblBorders>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323"/>
        <w:gridCol w:w="1323"/>
        <w:gridCol w:w="1324"/>
        <w:gridCol w:w="1323"/>
        <w:gridCol w:w="1323"/>
        <w:gridCol w:w="1324"/>
      </w:tblGrid>
      <w:tr w:rsidR="007D055B" w:rsidRPr="006A7376" w14:paraId="116C1A1F" w14:textId="77777777" w:rsidTr="005501B9">
        <w:tc>
          <w:tcPr>
            <w:tcW w:w="1323" w:type="dxa"/>
          </w:tcPr>
          <w:p w14:paraId="385A5E22"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Database</w:t>
            </w:r>
          </w:p>
        </w:tc>
        <w:tc>
          <w:tcPr>
            <w:tcW w:w="1323" w:type="dxa"/>
          </w:tcPr>
          <w:p w14:paraId="7DDA0BE6"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Enriched term / pathway</w:t>
            </w:r>
          </w:p>
        </w:tc>
        <w:tc>
          <w:tcPr>
            <w:tcW w:w="1324" w:type="dxa"/>
          </w:tcPr>
          <w:p w14:paraId="310776AF"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Gene count</w:t>
            </w:r>
          </w:p>
        </w:tc>
        <w:tc>
          <w:tcPr>
            <w:tcW w:w="1323" w:type="dxa"/>
          </w:tcPr>
          <w:p w14:paraId="0660E26E"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FDR</w:t>
            </w:r>
          </w:p>
        </w:tc>
        <w:tc>
          <w:tcPr>
            <w:tcW w:w="1323" w:type="dxa"/>
          </w:tcPr>
          <w:p w14:paraId="4DDB5B0B"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−log10(FDR)</w:t>
            </w:r>
          </w:p>
        </w:tc>
        <w:tc>
          <w:tcPr>
            <w:tcW w:w="1324" w:type="dxa"/>
          </w:tcPr>
          <w:p w14:paraId="7340A0F7"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Associated genes</w:t>
            </w:r>
          </w:p>
        </w:tc>
      </w:tr>
      <w:tr w:rsidR="007D055B" w:rsidRPr="006A7376" w14:paraId="09A212D4" w14:textId="77777777" w:rsidTr="005501B9">
        <w:tc>
          <w:tcPr>
            <w:tcW w:w="1323" w:type="dxa"/>
          </w:tcPr>
          <w:p w14:paraId="7B32CA6F"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GO BP</w:t>
            </w:r>
          </w:p>
        </w:tc>
        <w:tc>
          <w:tcPr>
            <w:tcW w:w="1323" w:type="dxa"/>
          </w:tcPr>
          <w:p w14:paraId="668D06D9"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T cell costimulation</w:t>
            </w:r>
          </w:p>
        </w:tc>
        <w:tc>
          <w:tcPr>
            <w:tcW w:w="1324" w:type="dxa"/>
          </w:tcPr>
          <w:p w14:paraId="4B4C9CDB"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4</w:t>
            </w:r>
          </w:p>
        </w:tc>
        <w:tc>
          <w:tcPr>
            <w:tcW w:w="1323" w:type="dxa"/>
          </w:tcPr>
          <w:p w14:paraId="552A5839"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0.00013</w:t>
            </w:r>
          </w:p>
        </w:tc>
        <w:tc>
          <w:tcPr>
            <w:tcW w:w="1323" w:type="dxa"/>
          </w:tcPr>
          <w:p w14:paraId="5487544E"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3.886056648</w:t>
            </w:r>
          </w:p>
        </w:tc>
        <w:tc>
          <w:tcPr>
            <w:tcW w:w="1324" w:type="dxa"/>
          </w:tcPr>
          <w:p w14:paraId="66BA06C1"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CD80,CD274,PDCD1LG2,PTPN11</w:t>
            </w:r>
          </w:p>
        </w:tc>
      </w:tr>
      <w:tr w:rsidR="007D055B" w:rsidRPr="006A7376" w14:paraId="79BBC8D0" w14:textId="77777777" w:rsidTr="005501B9">
        <w:tc>
          <w:tcPr>
            <w:tcW w:w="1323" w:type="dxa"/>
          </w:tcPr>
          <w:p w14:paraId="29B8F408"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GO BP</w:t>
            </w:r>
          </w:p>
        </w:tc>
        <w:tc>
          <w:tcPr>
            <w:tcW w:w="1323" w:type="dxa"/>
          </w:tcPr>
          <w:p w14:paraId="3776A668"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 xml:space="preserve">Retrograde transport, vesicle </w:t>
            </w:r>
            <w:r w:rsidRPr="006A7376">
              <w:rPr>
                <w:rFonts w:ascii="Times New Roman" w:hAnsi="Times New Roman" w:cs="Times New Roman"/>
                <w:color w:val="000000"/>
                <w:sz w:val="20"/>
                <w:szCs w:val="20"/>
              </w:rPr>
              <w:lastRenderedPageBreak/>
              <w:t>recycling within Golgi</w:t>
            </w:r>
          </w:p>
        </w:tc>
        <w:tc>
          <w:tcPr>
            <w:tcW w:w="1324" w:type="dxa"/>
          </w:tcPr>
          <w:p w14:paraId="5DDAB2E7"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lastRenderedPageBreak/>
              <w:t>3</w:t>
            </w:r>
          </w:p>
        </w:tc>
        <w:tc>
          <w:tcPr>
            <w:tcW w:w="1323" w:type="dxa"/>
          </w:tcPr>
          <w:p w14:paraId="2A0E40EE"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0.00015</w:t>
            </w:r>
          </w:p>
        </w:tc>
        <w:tc>
          <w:tcPr>
            <w:tcW w:w="1323" w:type="dxa"/>
          </w:tcPr>
          <w:p w14:paraId="7FDDAB58"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3.823908741</w:t>
            </w:r>
          </w:p>
        </w:tc>
        <w:tc>
          <w:tcPr>
            <w:tcW w:w="1324" w:type="dxa"/>
          </w:tcPr>
          <w:p w14:paraId="76035AB5"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COG3,COG5,COG1</w:t>
            </w:r>
          </w:p>
        </w:tc>
      </w:tr>
      <w:tr w:rsidR="007D055B" w:rsidRPr="006A7376" w14:paraId="01A59C06" w14:textId="77777777" w:rsidTr="005501B9">
        <w:tc>
          <w:tcPr>
            <w:tcW w:w="1323" w:type="dxa"/>
          </w:tcPr>
          <w:p w14:paraId="3413C588"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GO BP</w:t>
            </w:r>
          </w:p>
        </w:tc>
        <w:tc>
          <w:tcPr>
            <w:tcW w:w="1323" w:type="dxa"/>
          </w:tcPr>
          <w:p w14:paraId="758DB085"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Positive regulation of lymphocyte activation</w:t>
            </w:r>
          </w:p>
        </w:tc>
        <w:tc>
          <w:tcPr>
            <w:tcW w:w="1324" w:type="dxa"/>
          </w:tcPr>
          <w:p w14:paraId="57B9CE68"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5</w:t>
            </w:r>
          </w:p>
        </w:tc>
        <w:tc>
          <w:tcPr>
            <w:tcW w:w="1323" w:type="dxa"/>
          </w:tcPr>
          <w:p w14:paraId="0E3061CC"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0.0025</w:t>
            </w:r>
          </w:p>
        </w:tc>
        <w:tc>
          <w:tcPr>
            <w:tcW w:w="1323" w:type="dxa"/>
          </w:tcPr>
          <w:p w14:paraId="712485CE"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2.602059991</w:t>
            </w:r>
          </w:p>
        </w:tc>
        <w:tc>
          <w:tcPr>
            <w:tcW w:w="1324" w:type="dxa"/>
          </w:tcPr>
          <w:p w14:paraId="212E209B"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CD80,CD274,PDCD1LG2,IGHV3-43D,PTPN11</w:t>
            </w:r>
          </w:p>
        </w:tc>
      </w:tr>
      <w:tr w:rsidR="007D055B" w:rsidRPr="006A7376" w14:paraId="31189865" w14:textId="77777777" w:rsidTr="005501B9">
        <w:tc>
          <w:tcPr>
            <w:tcW w:w="1323" w:type="dxa"/>
          </w:tcPr>
          <w:p w14:paraId="495F511F"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GO BP</w:t>
            </w:r>
          </w:p>
        </w:tc>
        <w:tc>
          <w:tcPr>
            <w:tcW w:w="1323" w:type="dxa"/>
          </w:tcPr>
          <w:p w14:paraId="68B7DBEA"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Adaptive immune response</w:t>
            </w:r>
          </w:p>
        </w:tc>
        <w:tc>
          <w:tcPr>
            <w:tcW w:w="1324" w:type="dxa"/>
          </w:tcPr>
          <w:p w14:paraId="707C9A83"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5</w:t>
            </w:r>
          </w:p>
        </w:tc>
        <w:tc>
          <w:tcPr>
            <w:tcW w:w="1323" w:type="dxa"/>
          </w:tcPr>
          <w:p w14:paraId="7740931D"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0.0028</w:t>
            </w:r>
          </w:p>
        </w:tc>
        <w:tc>
          <w:tcPr>
            <w:tcW w:w="1323" w:type="dxa"/>
          </w:tcPr>
          <w:p w14:paraId="0358C5BC"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2.552841969</w:t>
            </w:r>
          </w:p>
        </w:tc>
        <w:tc>
          <w:tcPr>
            <w:tcW w:w="1324" w:type="dxa"/>
          </w:tcPr>
          <w:p w14:paraId="7FA67D0F"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STAT3,PDCD1,CD274,PDCD1LG2,IGHV3-43D</w:t>
            </w:r>
          </w:p>
        </w:tc>
      </w:tr>
      <w:tr w:rsidR="007D055B" w:rsidRPr="006A7376" w14:paraId="65617819" w14:textId="77777777" w:rsidTr="005501B9">
        <w:tc>
          <w:tcPr>
            <w:tcW w:w="1323" w:type="dxa"/>
          </w:tcPr>
          <w:p w14:paraId="179B1C8E"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GO BP</w:t>
            </w:r>
          </w:p>
        </w:tc>
        <w:tc>
          <w:tcPr>
            <w:tcW w:w="1323" w:type="dxa"/>
          </w:tcPr>
          <w:p w14:paraId="34A34077"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Regulation of immune system process</w:t>
            </w:r>
          </w:p>
        </w:tc>
        <w:tc>
          <w:tcPr>
            <w:tcW w:w="1324" w:type="dxa"/>
          </w:tcPr>
          <w:p w14:paraId="75ECD6A4"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7</w:t>
            </w:r>
          </w:p>
        </w:tc>
        <w:tc>
          <w:tcPr>
            <w:tcW w:w="1323" w:type="dxa"/>
          </w:tcPr>
          <w:p w14:paraId="19F34160"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0.005</w:t>
            </w:r>
          </w:p>
        </w:tc>
        <w:tc>
          <w:tcPr>
            <w:tcW w:w="1323" w:type="dxa"/>
          </w:tcPr>
          <w:p w14:paraId="241FB3A7"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2.301029996</w:t>
            </w:r>
          </w:p>
        </w:tc>
        <w:tc>
          <w:tcPr>
            <w:tcW w:w="1324" w:type="dxa"/>
          </w:tcPr>
          <w:p w14:paraId="6F3BD4D9"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CD80,STAT3,PDCD1,CD274,PDCD1LG2,IGHV3-43D,PTPN11</w:t>
            </w:r>
          </w:p>
        </w:tc>
      </w:tr>
      <w:tr w:rsidR="007D055B" w:rsidRPr="006A7376" w14:paraId="2F69461D" w14:textId="77777777" w:rsidTr="005501B9">
        <w:tc>
          <w:tcPr>
            <w:tcW w:w="1323" w:type="dxa"/>
          </w:tcPr>
          <w:p w14:paraId="67494D3E"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GO BP</w:t>
            </w:r>
          </w:p>
        </w:tc>
        <w:tc>
          <w:tcPr>
            <w:tcW w:w="1323" w:type="dxa"/>
          </w:tcPr>
          <w:p w14:paraId="02252E86"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Regulation of interleukin-10 production</w:t>
            </w:r>
          </w:p>
        </w:tc>
        <w:tc>
          <w:tcPr>
            <w:tcW w:w="1324" w:type="dxa"/>
          </w:tcPr>
          <w:p w14:paraId="67768CD7"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3</w:t>
            </w:r>
          </w:p>
        </w:tc>
        <w:tc>
          <w:tcPr>
            <w:tcW w:w="1323" w:type="dxa"/>
          </w:tcPr>
          <w:p w14:paraId="4A05FCDB"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0.0075</w:t>
            </w:r>
          </w:p>
        </w:tc>
        <w:tc>
          <w:tcPr>
            <w:tcW w:w="1323" w:type="dxa"/>
          </w:tcPr>
          <w:p w14:paraId="62C24BDA"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2.124938737</w:t>
            </w:r>
          </w:p>
        </w:tc>
        <w:tc>
          <w:tcPr>
            <w:tcW w:w="1324" w:type="dxa"/>
          </w:tcPr>
          <w:p w14:paraId="52E4D26B"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STAT3,CD274,PDCD1LG2</w:t>
            </w:r>
          </w:p>
        </w:tc>
      </w:tr>
      <w:tr w:rsidR="007D055B" w:rsidRPr="006A7376" w14:paraId="1921DF37" w14:textId="77777777" w:rsidTr="005501B9">
        <w:tc>
          <w:tcPr>
            <w:tcW w:w="1323" w:type="dxa"/>
          </w:tcPr>
          <w:p w14:paraId="74B387F2"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GO BP</w:t>
            </w:r>
          </w:p>
        </w:tc>
        <w:tc>
          <w:tcPr>
            <w:tcW w:w="1323" w:type="dxa"/>
          </w:tcPr>
          <w:p w14:paraId="26733EB5"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Negative regulation of T cell proliferation</w:t>
            </w:r>
          </w:p>
        </w:tc>
        <w:tc>
          <w:tcPr>
            <w:tcW w:w="1324" w:type="dxa"/>
          </w:tcPr>
          <w:p w14:paraId="2E397FE5"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3</w:t>
            </w:r>
          </w:p>
        </w:tc>
        <w:tc>
          <w:tcPr>
            <w:tcW w:w="1323" w:type="dxa"/>
          </w:tcPr>
          <w:p w14:paraId="6EEC3B5F"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0.0116</w:t>
            </w:r>
          </w:p>
        </w:tc>
        <w:tc>
          <w:tcPr>
            <w:tcW w:w="1323" w:type="dxa"/>
          </w:tcPr>
          <w:p w14:paraId="77AE9AC7"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1.935542011</w:t>
            </w:r>
          </w:p>
        </w:tc>
        <w:tc>
          <w:tcPr>
            <w:tcW w:w="1324" w:type="dxa"/>
          </w:tcPr>
          <w:p w14:paraId="0074BA76"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CD80,CD274,PDCD1LG2</w:t>
            </w:r>
          </w:p>
        </w:tc>
      </w:tr>
      <w:tr w:rsidR="007D055B" w:rsidRPr="006A7376" w14:paraId="657D6E21" w14:textId="77777777" w:rsidTr="005501B9">
        <w:tc>
          <w:tcPr>
            <w:tcW w:w="1323" w:type="dxa"/>
          </w:tcPr>
          <w:p w14:paraId="437D0A1D"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GO BP</w:t>
            </w:r>
          </w:p>
        </w:tc>
        <w:tc>
          <w:tcPr>
            <w:tcW w:w="1323" w:type="dxa"/>
          </w:tcPr>
          <w:p w14:paraId="2EF9C44E"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Negative regulation of cell adhesion</w:t>
            </w:r>
          </w:p>
        </w:tc>
        <w:tc>
          <w:tcPr>
            <w:tcW w:w="1324" w:type="dxa"/>
          </w:tcPr>
          <w:p w14:paraId="3EECA453"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4</w:t>
            </w:r>
          </w:p>
        </w:tc>
        <w:tc>
          <w:tcPr>
            <w:tcW w:w="1323" w:type="dxa"/>
          </w:tcPr>
          <w:p w14:paraId="1768E2A4"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0.0143</w:t>
            </w:r>
          </w:p>
        </w:tc>
        <w:tc>
          <w:tcPr>
            <w:tcW w:w="1323" w:type="dxa"/>
          </w:tcPr>
          <w:p w14:paraId="2DCB62EE"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1.844663963</w:t>
            </w:r>
          </w:p>
        </w:tc>
        <w:tc>
          <w:tcPr>
            <w:tcW w:w="1324" w:type="dxa"/>
          </w:tcPr>
          <w:p w14:paraId="6E9F0486"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CD80,CD274,PDCD1LG2,PTPN11</w:t>
            </w:r>
          </w:p>
        </w:tc>
      </w:tr>
      <w:tr w:rsidR="007D055B" w:rsidRPr="006A7376" w14:paraId="5A13D0E8" w14:textId="77777777" w:rsidTr="005501B9">
        <w:tc>
          <w:tcPr>
            <w:tcW w:w="1323" w:type="dxa"/>
          </w:tcPr>
          <w:p w14:paraId="17F6E618"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GO BP</w:t>
            </w:r>
          </w:p>
        </w:tc>
        <w:tc>
          <w:tcPr>
            <w:tcW w:w="1323" w:type="dxa"/>
          </w:tcPr>
          <w:p w14:paraId="75E5F517"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Regulation of cytokine production</w:t>
            </w:r>
          </w:p>
        </w:tc>
        <w:tc>
          <w:tcPr>
            <w:tcW w:w="1324" w:type="dxa"/>
          </w:tcPr>
          <w:p w14:paraId="11F87369"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5</w:t>
            </w:r>
          </w:p>
        </w:tc>
        <w:tc>
          <w:tcPr>
            <w:tcW w:w="1323" w:type="dxa"/>
          </w:tcPr>
          <w:p w14:paraId="037046F5"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0.0198</w:t>
            </w:r>
          </w:p>
        </w:tc>
        <w:tc>
          <w:tcPr>
            <w:tcW w:w="1323" w:type="dxa"/>
          </w:tcPr>
          <w:p w14:paraId="055EE73F"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1.70333481</w:t>
            </w:r>
          </w:p>
        </w:tc>
        <w:tc>
          <w:tcPr>
            <w:tcW w:w="1324" w:type="dxa"/>
          </w:tcPr>
          <w:p w14:paraId="24D9FEE1"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CD80,STAT3,CD274,PDCD1LG2,PTPN11</w:t>
            </w:r>
          </w:p>
        </w:tc>
      </w:tr>
      <w:tr w:rsidR="007D055B" w:rsidRPr="006A7376" w14:paraId="42A74A43" w14:textId="77777777" w:rsidTr="005501B9">
        <w:tc>
          <w:tcPr>
            <w:tcW w:w="1323" w:type="dxa"/>
          </w:tcPr>
          <w:p w14:paraId="454245F3"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GO BP</w:t>
            </w:r>
          </w:p>
        </w:tc>
        <w:tc>
          <w:tcPr>
            <w:tcW w:w="1323" w:type="dxa"/>
          </w:tcPr>
          <w:p w14:paraId="1A8243CF"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Positive regulation of T cell proliferation</w:t>
            </w:r>
          </w:p>
        </w:tc>
        <w:tc>
          <w:tcPr>
            <w:tcW w:w="1324" w:type="dxa"/>
          </w:tcPr>
          <w:p w14:paraId="12702F73"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3</w:t>
            </w:r>
          </w:p>
        </w:tc>
        <w:tc>
          <w:tcPr>
            <w:tcW w:w="1323" w:type="dxa"/>
          </w:tcPr>
          <w:p w14:paraId="74D8FAAF"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0.0198</w:t>
            </w:r>
          </w:p>
        </w:tc>
        <w:tc>
          <w:tcPr>
            <w:tcW w:w="1323" w:type="dxa"/>
          </w:tcPr>
          <w:p w14:paraId="4315F659"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1.70333481</w:t>
            </w:r>
          </w:p>
        </w:tc>
        <w:tc>
          <w:tcPr>
            <w:tcW w:w="1324" w:type="dxa"/>
          </w:tcPr>
          <w:p w14:paraId="3C988807"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CD80,CD274,PDCD1LG2</w:t>
            </w:r>
          </w:p>
        </w:tc>
      </w:tr>
      <w:tr w:rsidR="007D055B" w:rsidRPr="006A7376" w14:paraId="357BB2AD" w14:textId="77777777" w:rsidTr="005501B9">
        <w:tc>
          <w:tcPr>
            <w:tcW w:w="1323" w:type="dxa"/>
          </w:tcPr>
          <w:p w14:paraId="26D8BE63"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GO BP</w:t>
            </w:r>
          </w:p>
        </w:tc>
        <w:tc>
          <w:tcPr>
            <w:tcW w:w="1323" w:type="dxa"/>
          </w:tcPr>
          <w:p w14:paraId="640CB1D5"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Immune response</w:t>
            </w:r>
          </w:p>
        </w:tc>
        <w:tc>
          <w:tcPr>
            <w:tcW w:w="1324" w:type="dxa"/>
          </w:tcPr>
          <w:p w14:paraId="560F185C"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6</w:t>
            </w:r>
          </w:p>
        </w:tc>
        <w:tc>
          <w:tcPr>
            <w:tcW w:w="1323" w:type="dxa"/>
          </w:tcPr>
          <w:p w14:paraId="1C26756A"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0.0207</w:t>
            </w:r>
          </w:p>
        </w:tc>
        <w:tc>
          <w:tcPr>
            <w:tcW w:w="1323" w:type="dxa"/>
          </w:tcPr>
          <w:p w14:paraId="0A731DE1"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1.684029655</w:t>
            </w:r>
          </w:p>
        </w:tc>
        <w:tc>
          <w:tcPr>
            <w:tcW w:w="1324" w:type="dxa"/>
          </w:tcPr>
          <w:p w14:paraId="7D4E0751"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CD80,STAT3,PDCD1,CD274,PDCD1L</w:t>
            </w:r>
            <w:r w:rsidRPr="006A7376">
              <w:rPr>
                <w:rFonts w:ascii="Times New Roman" w:hAnsi="Times New Roman" w:cs="Times New Roman"/>
                <w:color w:val="000000"/>
                <w:sz w:val="20"/>
                <w:szCs w:val="20"/>
              </w:rPr>
              <w:lastRenderedPageBreak/>
              <w:t>G2,IGHV3-43D</w:t>
            </w:r>
          </w:p>
        </w:tc>
      </w:tr>
      <w:tr w:rsidR="007D055B" w:rsidRPr="006A7376" w14:paraId="51DC699D" w14:textId="77777777" w:rsidTr="005501B9">
        <w:tc>
          <w:tcPr>
            <w:tcW w:w="1323" w:type="dxa"/>
          </w:tcPr>
          <w:p w14:paraId="65826140"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lastRenderedPageBreak/>
              <w:t>GO BP</w:t>
            </w:r>
          </w:p>
        </w:tc>
        <w:tc>
          <w:tcPr>
            <w:tcW w:w="1323" w:type="dxa"/>
          </w:tcPr>
          <w:p w14:paraId="55D9BC40"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Immune system process</w:t>
            </w:r>
          </w:p>
        </w:tc>
        <w:tc>
          <w:tcPr>
            <w:tcW w:w="1324" w:type="dxa"/>
          </w:tcPr>
          <w:p w14:paraId="1D17C196"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7</w:t>
            </w:r>
          </w:p>
        </w:tc>
        <w:tc>
          <w:tcPr>
            <w:tcW w:w="1323" w:type="dxa"/>
          </w:tcPr>
          <w:p w14:paraId="336A6545"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0.0233</w:t>
            </w:r>
          </w:p>
        </w:tc>
        <w:tc>
          <w:tcPr>
            <w:tcW w:w="1323" w:type="dxa"/>
          </w:tcPr>
          <w:p w14:paraId="13BBD060"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1.632644079</w:t>
            </w:r>
          </w:p>
        </w:tc>
        <w:tc>
          <w:tcPr>
            <w:tcW w:w="1324" w:type="dxa"/>
          </w:tcPr>
          <w:p w14:paraId="2735B138"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CD80,STAT3,PDCD1,CD274,PDCD1LG2,IGHV3-43D,PTPN11</w:t>
            </w:r>
          </w:p>
        </w:tc>
      </w:tr>
      <w:tr w:rsidR="007D055B" w:rsidRPr="006A7376" w14:paraId="63123B87" w14:textId="77777777" w:rsidTr="005501B9">
        <w:tc>
          <w:tcPr>
            <w:tcW w:w="1323" w:type="dxa"/>
          </w:tcPr>
          <w:p w14:paraId="0FCC95B0"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GO BP</w:t>
            </w:r>
          </w:p>
        </w:tc>
        <w:tc>
          <w:tcPr>
            <w:tcW w:w="1323" w:type="dxa"/>
          </w:tcPr>
          <w:p w14:paraId="369738C3"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Negative regulation of activated T cell proliferation</w:t>
            </w:r>
          </w:p>
        </w:tc>
        <w:tc>
          <w:tcPr>
            <w:tcW w:w="1324" w:type="dxa"/>
          </w:tcPr>
          <w:p w14:paraId="626950AD"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2</w:t>
            </w:r>
          </w:p>
        </w:tc>
        <w:tc>
          <w:tcPr>
            <w:tcW w:w="1323" w:type="dxa"/>
          </w:tcPr>
          <w:p w14:paraId="7D48F3C1"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0.0233</w:t>
            </w:r>
          </w:p>
        </w:tc>
        <w:tc>
          <w:tcPr>
            <w:tcW w:w="1323" w:type="dxa"/>
          </w:tcPr>
          <w:p w14:paraId="72BC3D6E"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1.632644079</w:t>
            </w:r>
          </w:p>
        </w:tc>
        <w:tc>
          <w:tcPr>
            <w:tcW w:w="1324" w:type="dxa"/>
          </w:tcPr>
          <w:p w14:paraId="3A8D8ACA"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CD274,PDCD1LG2</w:t>
            </w:r>
          </w:p>
        </w:tc>
      </w:tr>
      <w:tr w:rsidR="007D055B" w:rsidRPr="006A7376" w14:paraId="7FB211AF" w14:textId="77777777" w:rsidTr="005501B9">
        <w:tc>
          <w:tcPr>
            <w:tcW w:w="1323" w:type="dxa"/>
          </w:tcPr>
          <w:p w14:paraId="4D828335"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GO BP</w:t>
            </w:r>
          </w:p>
        </w:tc>
        <w:tc>
          <w:tcPr>
            <w:tcW w:w="1323" w:type="dxa"/>
          </w:tcPr>
          <w:p w14:paraId="22F067F0"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Positive regulation of T cell apoptotic process</w:t>
            </w:r>
          </w:p>
        </w:tc>
        <w:tc>
          <w:tcPr>
            <w:tcW w:w="1324" w:type="dxa"/>
          </w:tcPr>
          <w:p w14:paraId="7BD03A4D"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2</w:t>
            </w:r>
          </w:p>
        </w:tc>
        <w:tc>
          <w:tcPr>
            <w:tcW w:w="1323" w:type="dxa"/>
          </w:tcPr>
          <w:p w14:paraId="7E598D30"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0.0233</w:t>
            </w:r>
          </w:p>
        </w:tc>
        <w:tc>
          <w:tcPr>
            <w:tcW w:w="1323" w:type="dxa"/>
          </w:tcPr>
          <w:p w14:paraId="4C8A55F6"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1.632644079</w:t>
            </w:r>
          </w:p>
        </w:tc>
        <w:tc>
          <w:tcPr>
            <w:tcW w:w="1324" w:type="dxa"/>
          </w:tcPr>
          <w:p w14:paraId="72108B04"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PDCD1,CD274</w:t>
            </w:r>
          </w:p>
        </w:tc>
      </w:tr>
      <w:tr w:rsidR="007D055B" w:rsidRPr="006A7376" w14:paraId="05A6D3ED" w14:textId="77777777" w:rsidTr="005501B9">
        <w:tc>
          <w:tcPr>
            <w:tcW w:w="1323" w:type="dxa"/>
          </w:tcPr>
          <w:p w14:paraId="6D5D62E1"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GO BP</w:t>
            </w:r>
          </w:p>
        </w:tc>
        <w:tc>
          <w:tcPr>
            <w:tcW w:w="1323" w:type="dxa"/>
          </w:tcPr>
          <w:p w14:paraId="32A738C4"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Regulation of immune response</w:t>
            </w:r>
          </w:p>
        </w:tc>
        <w:tc>
          <w:tcPr>
            <w:tcW w:w="1324" w:type="dxa"/>
          </w:tcPr>
          <w:p w14:paraId="543987C0"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5</w:t>
            </w:r>
          </w:p>
        </w:tc>
        <w:tc>
          <w:tcPr>
            <w:tcW w:w="1323" w:type="dxa"/>
          </w:tcPr>
          <w:p w14:paraId="3E19B4B4"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0.0276</w:t>
            </w:r>
          </w:p>
        </w:tc>
        <w:tc>
          <w:tcPr>
            <w:tcW w:w="1323" w:type="dxa"/>
          </w:tcPr>
          <w:p w14:paraId="7B364311"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1.559090918</w:t>
            </w:r>
          </w:p>
        </w:tc>
        <w:tc>
          <w:tcPr>
            <w:tcW w:w="1324" w:type="dxa"/>
          </w:tcPr>
          <w:p w14:paraId="6BB7CFAB"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CD80,PDCD1,CD274,IGHV3-43D,PTPN11</w:t>
            </w:r>
          </w:p>
        </w:tc>
      </w:tr>
      <w:tr w:rsidR="007D055B" w:rsidRPr="006A7376" w14:paraId="212CD671" w14:textId="77777777" w:rsidTr="005501B9">
        <w:tc>
          <w:tcPr>
            <w:tcW w:w="1323" w:type="dxa"/>
          </w:tcPr>
          <w:p w14:paraId="6C1CE7DD"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GO BP</w:t>
            </w:r>
          </w:p>
        </w:tc>
        <w:tc>
          <w:tcPr>
            <w:tcW w:w="1323" w:type="dxa"/>
          </w:tcPr>
          <w:p w14:paraId="2BF7EF0A"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Regulation of tolerance induction</w:t>
            </w:r>
          </w:p>
        </w:tc>
        <w:tc>
          <w:tcPr>
            <w:tcW w:w="1324" w:type="dxa"/>
          </w:tcPr>
          <w:p w14:paraId="619A1FE2"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2</w:t>
            </w:r>
          </w:p>
        </w:tc>
        <w:tc>
          <w:tcPr>
            <w:tcW w:w="1323" w:type="dxa"/>
          </w:tcPr>
          <w:p w14:paraId="70C6055A"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0.0297</w:t>
            </w:r>
          </w:p>
        </w:tc>
        <w:tc>
          <w:tcPr>
            <w:tcW w:w="1323" w:type="dxa"/>
          </w:tcPr>
          <w:p w14:paraId="77C84F3E"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1.527243551</w:t>
            </w:r>
          </w:p>
        </w:tc>
        <w:tc>
          <w:tcPr>
            <w:tcW w:w="1324" w:type="dxa"/>
          </w:tcPr>
          <w:p w14:paraId="5A94FFF9"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PDCD1,CD274</w:t>
            </w:r>
          </w:p>
        </w:tc>
      </w:tr>
      <w:tr w:rsidR="007D055B" w:rsidRPr="006A7376" w14:paraId="7D6FE141" w14:textId="77777777" w:rsidTr="005501B9">
        <w:tc>
          <w:tcPr>
            <w:tcW w:w="1323" w:type="dxa"/>
          </w:tcPr>
          <w:p w14:paraId="502B5E81"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GO BP</w:t>
            </w:r>
          </w:p>
        </w:tc>
        <w:tc>
          <w:tcPr>
            <w:tcW w:w="1323" w:type="dxa"/>
          </w:tcPr>
          <w:p w14:paraId="2AD55035"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Negative regulation of immune system process</w:t>
            </w:r>
          </w:p>
        </w:tc>
        <w:tc>
          <w:tcPr>
            <w:tcW w:w="1324" w:type="dxa"/>
          </w:tcPr>
          <w:p w14:paraId="5472D6D2"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4</w:t>
            </w:r>
          </w:p>
        </w:tc>
        <w:tc>
          <w:tcPr>
            <w:tcW w:w="1323" w:type="dxa"/>
          </w:tcPr>
          <w:p w14:paraId="54A820C3"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0.0297</w:t>
            </w:r>
          </w:p>
        </w:tc>
        <w:tc>
          <w:tcPr>
            <w:tcW w:w="1323" w:type="dxa"/>
          </w:tcPr>
          <w:p w14:paraId="50FDB6F3"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1.527243551</w:t>
            </w:r>
          </w:p>
        </w:tc>
        <w:tc>
          <w:tcPr>
            <w:tcW w:w="1324" w:type="dxa"/>
          </w:tcPr>
          <w:p w14:paraId="30606783"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CD80,PDCD1,CD274,PDCD1LG2</w:t>
            </w:r>
          </w:p>
        </w:tc>
      </w:tr>
      <w:tr w:rsidR="007D055B" w:rsidRPr="006A7376" w14:paraId="0E66ADA5" w14:textId="77777777" w:rsidTr="005501B9">
        <w:tc>
          <w:tcPr>
            <w:tcW w:w="1323" w:type="dxa"/>
          </w:tcPr>
          <w:p w14:paraId="4821848E"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GO BP</w:t>
            </w:r>
          </w:p>
        </w:tc>
        <w:tc>
          <w:tcPr>
            <w:tcW w:w="1323" w:type="dxa"/>
          </w:tcPr>
          <w:p w14:paraId="48E724DC"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Golgi organization</w:t>
            </w:r>
          </w:p>
        </w:tc>
        <w:tc>
          <w:tcPr>
            <w:tcW w:w="1324" w:type="dxa"/>
          </w:tcPr>
          <w:p w14:paraId="667DEDA0"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3</w:t>
            </w:r>
          </w:p>
        </w:tc>
        <w:tc>
          <w:tcPr>
            <w:tcW w:w="1323" w:type="dxa"/>
          </w:tcPr>
          <w:p w14:paraId="08120DF0"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0.0297</w:t>
            </w:r>
          </w:p>
        </w:tc>
        <w:tc>
          <w:tcPr>
            <w:tcW w:w="1323" w:type="dxa"/>
          </w:tcPr>
          <w:p w14:paraId="37AD5880"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1.527243551</w:t>
            </w:r>
          </w:p>
        </w:tc>
        <w:tc>
          <w:tcPr>
            <w:tcW w:w="1324" w:type="dxa"/>
          </w:tcPr>
          <w:p w14:paraId="1028F5B4"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COG3,COG5,COG1</w:t>
            </w:r>
          </w:p>
        </w:tc>
      </w:tr>
      <w:tr w:rsidR="007D055B" w:rsidRPr="006A7376" w14:paraId="57476425" w14:textId="77777777" w:rsidTr="005501B9">
        <w:tc>
          <w:tcPr>
            <w:tcW w:w="1323" w:type="dxa"/>
          </w:tcPr>
          <w:p w14:paraId="14204FB6"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GO BP</w:t>
            </w:r>
          </w:p>
        </w:tc>
        <w:tc>
          <w:tcPr>
            <w:tcW w:w="1323" w:type="dxa"/>
          </w:tcPr>
          <w:p w14:paraId="369EB882"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Negative regulation of interleukin-10 production</w:t>
            </w:r>
          </w:p>
        </w:tc>
        <w:tc>
          <w:tcPr>
            <w:tcW w:w="1324" w:type="dxa"/>
          </w:tcPr>
          <w:p w14:paraId="02192055"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2</w:t>
            </w:r>
          </w:p>
        </w:tc>
        <w:tc>
          <w:tcPr>
            <w:tcW w:w="1323" w:type="dxa"/>
          </w:tcPr>
          <w:p w14:paraId="18FA0CD6"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0.0297</w:t>
            </w:r>
          </w:p>
        </w:tc>
        <w:tc>
          <w:tcPr>
            <w:tcW w:w="1323" w:type="dxa"/>
          </w:tcPr>
          <w:p w14:paraId="4BCB2AD0"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1.527243551</w:t>
            </w:r>
          </w:p>
        </w:tc>
        <w:tc>
          <w:tcPr>
            <w:tcW w:w="1324" w:type="dxa"/>
          </w:tcPr>
          <w:p w14:paraId="4C363977"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CD274,PDCD1LG2</w:t>
            </w:r>
          </w:p>
        </w:tc>
      </w:tr>
      <w:tr w:rsidR="007D055B" w:rsidRPr="006A7376" w14:paraId="40BC9DF5" w14:textId="77777777" w:rsidTr="005501B9">
        <w:tc>
          <w:tcPr>
            <w:tcW w:w="1323" w:type="dxa"/>
          </w:tcPr>
          <w:p w14:paraId="68D9B814"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lastRenderedPageBreak/>
              <w:t>GO BP</w:t>
            </w:r>
          </w:p>
        </w:tc>
        <w:tc>
          <w:tcPr>
            <w:tcW w:w="1323" w:type="dxa"/>
          </w:tcPr>
          <w:p w14:paraId="0377D2E7"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Positive regulation of cytokine production</w:t>
            </w:r>
          </w:p>
        </w:tc>
        <w:tc>
          <w:tcPr>
            <w:tcW w:w="1324" w:type="dxa"/>
          </w:tcPr>
          <w:p w14:paraId="26E29028"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4</w:t>
            </w:r>
          </w:p>
        </w:tc>
        <w:tc>
          <w:tcPr>
            <w:tcW w:w="1323" w:type="dxa"/>
          </w:tcPr>
          <w:p w14:paraId="5CC116C3"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0.0373</w:t>
            </w:r>
          </w:p>
        </w:tc>
        <w:tc>
          <w:tcPr>
            <w:tcW w:w="1323" w:type="dxa"/>
          </w:tcPr>
          <w:p w14:paraId="76931492"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1.428291168</w:t>
            </w:r>
          </w:p>
        </w:tc>
        <w:tc>
          <w:tcPr>
            <w:tcW w:w="1324" w:type="dxa"/>
          </w:tcPr>
          <w:p w14:paraId="03892E29"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CD80,STAT3,CD274,PTPN11</w:t>
            </w:r>
          </w:p>
        </w:tc>
      </w:tr>
      <w:tr w:rsidR="007D055B" w:rsidRPr="006A7376" w14:paraId="3C93AC48" w14:textId="77777777" w:rsidTr="005501B9">
        <w:tc>
          <w:tcPr>
            <w:tcW w:w="1323" w:type="dxa"/>
          </w:tcPr>
          <w:p w14:paraId="1F048949"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GO BP</w:t>
            </w:r>
          </w:p>
        </w:tc>
        <w:tc>
          <w:tcPr>
            <w:tcW w:w="1323" w:type="dxa"/>
          </w:tcPr>
          <w:p w14:paraId="0C1381BA"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Regulation of tumor necrosis factor superfamily cytokine production</w:t>
            </w:r>
          </w:p>
        </w:tc>
        <w:tc>
          <w:tcPr>
            <w:tcW w:w="1324" w:type="dxa"/>
          </w:tcPr>
          <w:p w14:paraId="636465A1"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3</w:t>
            </w:r>
          </w:p>
        </w:tc>
        <w:tc>
          <w:tcPr>
            <w:tcW w:w="1323" w:type="dxa"/>
          </w:tcPr>
          <w:p w14:paraId="1D9BC003"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0.0373</w:t>
            </w:r>
          </w:p>
        </w:tc>
        <w:tc>
          <w:tcPr>
            <w:tcW w:w="1323" w:type="dxa"/>
          </w:tcPr>
          <w:p w14:paraId="7B21E37E"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1.428291168</w:t>
            </w:r>
          </w:p>
        </w:tc>
        <w:tc>
          <w:tcPr>
            <w:tcW w:w="1324" w:type="dxa"/>
          </w:tcPr>
          <w:p w14:paraId="5E213FA6"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STAT3,CD274,PTPN11</w:t>
            </w:r>
          </w:p>
        </w:tc>
      </w:tr>
      <w:tr w:rsidR="007D055B" w:rsidRPr="006A7376" w14:paraId="1968EEE9" w14:textId="77777777" w:rsidTr="005501B9">
        <w:tc>
          <w:tcPr>
            <w:tcW w:w="1323" w:type="dxa"/>
          </w:tcPr>
          <w:p w14:paraId="08450BFE"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GO BP</w:t>
            </w:r>
          </w:p>
        </w:tc>
        <w:tc>
          <w:tcPr>
            <w:tcW w:w="1323" w:type="dxa"/>
          </w:tcPr>
          <w:p w14:paraId="5BE9CDD6"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Cellular response to lipopolysaccharide</w:t>
            </w:r>
          </w:p>
        </w:tc>
        <w:tc>
          <w:tcPr>
            <w:tcW w:w="1324" w:type="dxa"/>
          </w:tcPr>
          <w:p w14:paraId="338A7E48"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3</w:t>
            </w:r>
          </w:p>
        </w:tc>
        <w:tc>
          <w:tcPr>
            <w:tcW w:w="1323" w:type="dxa"/>
          </w:tcPr>
          <w:p w14:paraId="631B6D71"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0.049</w:t>
            </w:r>
          </w:p>
        </w:tc>
        <w:tc>
          <w:tcPr>
            <w:tcW w:w="1323" w:type="dxa"/>
          </w:tcPr>
          <w:p w14:paraId="2E42675C"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1.30980392</w:t>
            </w:r>
          </w:p>
        </w:tc>
        <w:tc>
          <w:tcPr>
            <w:tcW w:w="1324" w:type="dxa"/>
          </w:tcPr>
          <w:p w14:paraId="4484100F"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CD80,CD274,PDCD1LG2</w:t>
            </w:r>
          </w:p>
        </w:tc>
      </w:tr>
      <w:tr w:rsidR="007D055B" w:rsidRPr="006A7376" w14:paraId="4F934815" w14:textId="77777777" w:rsidTr="005501B9">
        <w:tc>
          <w:tcPr>
            <w:tcW w:w="1323" w:type="dxa"/>
          </w:tcPr>
          <w:p w14:paraId="69A223DA"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KEGG</w:t>
            </w:r>
          </w:p>
        </w:tc>
        <w:tc>
          <w:tcPr>
            <w:tcW w:w="1323" w:type="dxa"/>
          </w:tcPr>
          <w:p w14:paraId="0C465FC7"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PD-L1 expression and PD-1 checkpoint pathway in cancer</w:t>
            </w:r>
          </w:p>
        </w:tc>
        <w:tc>
          <w:tcPr>
            <w:tcW w:w="1324" w:type="dxa"/>
          </w:tcPr>
          <w:p w14:paraId="02D51942"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4</w:t>
            </w:r>
          </w:p>
        </w:tc>
        <w:tc>
          <w:tcPr>
            <w:tcW w:w="1323" w:type="dxa"/>
          </w:tcPr>
          <w:p w14:paraId="4436A2C9"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4.60E-05</w:t>
            </w:r>
          </w:p>
        </w:tc>
        <w:tc>
          <w:tcPr>
            <w:tcW w:w="1323" w:type="dxa"/>
          </w:tcPr>
          <w:p w14:paraId="7F0FE07F"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4.337242168</w:t>
            </w:r>
          </w:p>
        </w:tc>
        <w:tc>
          <w:tcPr>
            <w:tcW w:w="1324" w:type="dxa"/>
          </w:tcPr>
          <w:p w14:paraId="1F245310"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STAT3,PDCD1,CD274,PTPN11</w:t>
            </w:r>
          </w:p>
        </w:tc>
      </w:tr>
      <w:tr w:rsidR="007D055B" w:rsidRPr="006A7376" w14:paraId="4F39897A" w14:textId="77777777" w:rsidTr="005501B9">
        <w:tc>
          <w:tcPr>
            <w:tcW w:w="1323" w:type="dxa"/>
          </w:tcPr>
          <w:p w14:paraId="60411B1A"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KEGG</w:t>
            </w:r>
          </w:p>
        </w:tc>
        <w:tc>
          <w:tcPr>
            <w:tcW w:w="1323" w:type="dxa"/>
          </w:tcPr>
          <w:p w14:paraId="3CB9AD9B"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Cell adhesion molecules</w:t>
            </w:r>
          </w:p>
        </w:tc>
        <w:tc>
          <w:tcPr>
            <w:tcW w:w="1324" w:type="dxa"/>
          </w:tcPr>
          <w:p w14:paraId="3A45E222"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4</w:t>
            </w:r>
          </w:p>
        </w:tc>
        <w:tc>
          <w:tcPr>
            <w:tcW w:w="1323" w:type="dxa"/>
          </w:tcPr>
          <w:p w14:paraId="26010F7D"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0.00014</w:t>
            </w:r>
          </w:p>
        </w:tc>
        <w:tc>
          <w:tcPr>
            <w:tcW w:w="1323" w:type="dxa"/>
          </w:tcPr>
          <w:p w14:paraId="11BBFFC9"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3.853871964</w:t>
            </w:r>
          </w:p>
        </w:tc>
        <w:tc>
          <w:tcPr>
            <w:tcW w:w="1324" w:type="dxa"/>
          </w:tcPr>
          <w:p w14:paraId="74507F88"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CD80,PDCD1,CD274,PDCD1LG2</w:t>
            </w:r>
          </w:p>
        </w:tc>
      </w:tr>
      <w:tr w:rsidR="007D055B" w:rsidRPr="006A7376" w14:paraId="031D1939" w14:textId="77777777" w:rsidTr="005501B9">
        <w:tc>
          <w:tcPr>
            <w:tcW w:w="1323" w:type="dxa"/>
          </w:tcPr>
          <w:p w14:paraId="6D5BFDEF"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Reactome</w:t>
            </w:r>
          </w:p>
        </w:tc>
        <w:tc>
          <w:tcPr>
            <w:tcW w:w="1323" w:type="dxa"/>
          </w:tcPr>
          <w:p w14:paraId="7D29BA3F"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Costimulation by the CD28 family</w:t>
            </w:r>
          </w:p>
        </w:tc>
        <w:tc>
          <w:tcPr>
            <w:tcW w:w="1324" w:type="dxa"/>
          </w:tcPr>
          <w:p w14:paraId="44DB0FFA"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5</w:t>
            </w:r>
          </w:p>
        </w:tc>
        <w:tc>
          <w:tcPr>
            <w:tcW w:w="1323" w:type="dxa"/>
          </w:tcPr>
          <w:p w14:paraId="2300C4DC"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5.45E-07</w:t>
            </w:r>
          </w:p>
        </w:tc>
        <w:tc>
          <w:tcPr>
            <w:tcW w:w="1323" w:type="dxa"/>
          </w:tcPr>
          <w:p w14:paraId="6F8CF9FF"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6.263603498</w:t>
            </w:r>
          </w:p>
        </w:tc>
        <w:tc>
          <w:tcPr>
            <w:tcW w:w="1324" w:type="dxa"/>
          </w:tcPr>
          <w:p w14:paraId="0E5F8FD2"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CD80,PDCD1,CD274,PDCD1LG2,PTPN11</w:t>
            </w:r>
          </w:p>
        </w:tc>
      </w:tr>
      <w:tr w:rsidR="007D055B" w:rsidRPr="006A7376" w14:paraId="1E2C7975" w14:textId="77777777" w:rsidTr="005501B9">
        <w:tc>
          <w:tcPr>
            <w:tcW w:w="1323" w:type="dxa"/>
          </w:tcPr>
          <w:p w14:paraId="0E5D6073"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Reactome</w:t>
            </w:r>
          </w:p>
        </w:tc>
        <w:tc>
          <w:tcPr>
            <w:tcW w:w="1323" w:type="dxa"/>
          </w:tcPr>
          <w:p w14:paraId="2F49CCDC"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PD-1 signaling</w:t>
            </w:r>
          </w:p>
        </w:tc>
        <w:tc>
          <w:tcPr>
            <w:tcW w:w="1324" w:type="dxa"/>
          </w:tcPr>
          <w:p w14:paraId="3D44DD6D"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4</w:t>
            </w:r>
          </w:p>
        </w:tc>
        <w:tc>
          <w:tcPr>
            <w:tcW w:w="1323" w:type="dxa"/>
          </w:tcPr>
          <w:p w14:paraId="15EF7FB5"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6.33E-07</w:t>
            </w:r>
          </w:p>
        </w:tc>
        <w:tc>
          <w:tcPr>
            <w:tcW w:w="1323" w:type="dxa"/>
          </w:tcPr>
          <w:p w14:paraId="200305D1"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6.19859629</w:t>
            </w:r>
          </w:p>
        </w:tc>
        <w:tc>
          <w:tcPr>
            <w:tcW w:w="1324" w:type="dxa"/>
          </w:tcPr>
          <w:p w14:paraId="2F02EC35"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PDCD1,CD274,PDCD1LG2,PTPN11</w:t>
            </w:r>
          </w:p>
        </w:tc>
      </w:tr>
      <w:tr w:rsidR="007D055B" w:rsidRPr="006A7376" w14:paraId="1822BA73" w14:textId="77777777" w:rsidTr="005501B9">
        <w:tc>
          <w:tcPr>
            <w:tcW w:w="1323" w:type="dxa"/>
          </w:tcPr>
          <w:p w14:paraId="2B3C4CEE"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Reactome</w:t>
            </w:r>
          </w:p>
        </w:tc>
        <w:tc>
          <w:tcPr>
            <w:tcW w:w="1323" w:type="dxa"/>
          </w:tcPr>
          <w:p w14:paraId="43600E9E"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Intra-Golgi traffic</w:t>
            </w:r>
          </w:p>
        </w:tc>
        <w:tc>
          <w:tcPr>
            <w:tcW w:w="1324" w:type="dxa"/>
          </w:tcPr>
          <w:p w14:paraId="571D9A2A"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3</w:t>
            </w:r>
          </w:p>
        </w:tc>
        <w:tc>
          <w:tcPr>
            <w:tcW w:w="1323" w:type="dxa"/>
          </w:tcPr>
          <w:p w14:paraId="25B02423"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0.0015</w:t>
            </w:r>
          </w:p>
        </w:tc>
        <w:tc>
          <w:tcPr>
            <w:tcW w:w="1323" w:type="dxa"/>
          </w:tcPr>
          <w:p w14:paraId="71671540"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2.823908741</w:t>
            </w:r>
          </w:p>
        </w:tc>
        <w:tc>
          <w:tcPr>
            <w:tcW w:w="1324" w:type="dxa"/>
          </w:tcPr>
          <w:p w14:paraId="1AA71D7B"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COG3,COG5,COG1</w:t>
            </w:r>
          </w:p>
        </w:tc>
      </w:tr>
      <w:tr w:rsidR="007D055B" w:rsidRPr="006A7376" w14:paraId="7D97AB14" w14:textId="77777777" w:rsidTr="005501B9">
        <w:tc>
          <w:tcPr>
            <w:tcW w:w="1323" w:type="dxa"/>
          </w:tcPr>
          <w:p w14:paraId="07577B30"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Reactome</w:t>
            </w:r>
          </w:p>
        </w:tc>
        <w:tc>
          <w:tcPr>
            <w:tcW w:w="1323" w:type="dxa"/>
          </w:tcPr>
          <w:p w14:paraId="421D96C3"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Retrograde transport at the Trans-Golgi-Network</w:t>
            </w:r>
          </w:p>
        </w:tc>
        <w:tc>
          <w:tcPr>
            <w:tcW w:w="1324" w:type="dxa"/>
          </w:tcPr>
          <w:p w14:paraId="042D84C5"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3</w:t>
            </w:r>
          </w:p>
        </w:tc>
        <w:tc>
          <w:tcPr>
            <w:tcW w:w="1323" w:type="dxa"/>
          </w:tcPr>
          <w:p w14:paraId="614B2972"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0.0016</w:t>
            </w:r>
          </w:p>
        </w:tc>
        <w:tc>
          <w:tcPr>
            <w:tcW w:w="1323" w:type="dxa"/>
          </w:tcPr>
          <w:p w14:paraId="1B81D6E1"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2.795880017</w:t>
            </w:r>
          </w:p>
        </w:tc>
        <w:tc>
          <w:tcPr>
            <w:tcW w:w="1324" w:type="dxa"/>
          </w:tcPr>
          <w:p w14:paraId="5F1D2EC2"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COG3,COG5,COG1</w:t>
            </w:r>
          </w:p>
        </w:tc>
      </w:tr>
      <w:tr w:rsidR="007D055B" w:rsidRPr="006A7376" w14:paraId="31206871" w14:textId="77777777" w:rsidTr="005501B9">
        <w:tc>
          <w:tcPr>
            <w:tcW w:w="1323" w:type="dxa"/>
          </w:tcPr>
          <w:p w14:paraId="3E8B1FF8"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lastRenderedPageBreak/>
              <w:t>Reactome</w:t>
            </w:r>
          </w:p>
        </w:tc>
        <w:tc>
          <w:tcPr>
            <w:tcW w:w="1323" w:type="dxa"/>
          </w:tcPr>
          <w:p w14:paraId="7A5630C0"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Interleukin-6 signaling</w:t>
            </w:r>
          </w:p>
        </w:tc>
        <w:tc>
          <w:tcPr>
            <w:tcW w:w="1324" w:type="dxa"/>
          </w:tcPr>
          <w:p w14:paraId="579936C7"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2</w:t>
            </w:r>
          </w:p>
        </w:tc>
        <w:tc>
          <w:tcPr>
            <w:tcW w:w="1323" w:type="dxa"/>
          </w:tcPr>
          <w:p w14:paraId="2BD7420B"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0.0085</w:t>
            </w:r>
          </w:p>
        </w:tc>
        <w:tc>
          <w:tcPr>
            <w:tcW w:w="1323" w:type="dxa"/>
          </w:tcPr>
          <w:p w14:paraId="7C0D59FD"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2.070581074</w:t>
            </w:r>
          </w:p>
        </w:tc>
        <w:tc>
          <w:tcPr>
            <w:tcW w:w="1324" w:type="dxa"/>
          </w:tcPr>
          <w:p w14:paraId="27422F61"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STAT3,PTPN11</w:t>
            </w:r>
          </w:p>
        </w:tc>
      </w:tr>
      <w:tr w:rsidR="007D055B" w:rsidRPr="006A7376" w14:paraId="4D7DB972" w14:textId="77777777" w:rsidTr="005501B9">
        <w:tc>
          <w:tcPr>
            <w:tcW w:w="1323" w:type="dxa"/>
          </w:tcPr>
          <w:p w14:paraId="4353867A"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Reactome</w:t>
            </w:r>
          </w:p>
        </w:tc>
        <w:tc>
          <w:tcPr>
            <w:tcW w:w="1323" w:type="dxa"/>
          </w:tcPr>
          <w:p w14:paraId="765ABE79"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Signaling by Leptin</w:t>
            </w:r>
          </w:p>
        </w:tc>
        <w:tc>
          <w:tcPr>
            <w:tcW w:w="1324" w:type="dxa"/>
          </w:tcPr>
          <w:p w14:paraId="124A2517"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2</w:t>
            </w:r>
          </w:p>
        </w:tc>
        <w:tc>
          <w:tcPr>
            <w:tcW w:w="1323" w:type="dxa"/>
          </w:tcPr>
          <w:p w14:paraId="417DA405"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0.0085</w:t>
            </w:r>
          </w:p>
        </w:tc>
        <w:tc>
          <w:tcPr>
            <w:tcW w:w="1323" w:type="dxa"/>
          </w:tcPr>
          <w:p w14:paraId="0C0A244B"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2.070581074</w:t>
            </w:r>
          </w:p>
        </w:tc>
        <w:tc>
          <w:tcPr>
            <w:tcW w:w="1324" w:type="dxa"/>
          </w:tcPr>
          <w:p w14:paraId="7C1F07DE"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STAT3,PTPN11</w:t>
            </w:r>
          </w:p>
        </w:tc>
      </w:tr>
      <w:tr w:rsidR="007D055B" w:rsidRPr="006A7376" w14:paraId="41593705" w14:textId="77777777" w:rsidTr="005501B9">
        <w:tc>
          <w:tcPr>
            <w:tcW w:w="1323" w:type="dxa"/>
          </w:tcPr>
          <w:p w14:paraId="6B403689"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Reactome</w:t>
            </w:r>
          </w:p>
        </w:tc>
        <w:tc>
          <w:tcPr>
            <w:tcW w:w="1323" w:type="dxa"/>
          </w:tcPr>
          <w:p w14:paraId="197903BB"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COPI-mediated anterograde transport</w:t>
            </w:r>
          </w:p>
        </w:tc>
        <w:tc>
          <w:tcPr>
            <w:tcW w:w="1324" w:type="dxa"/>
          </w:tcPr>
          <w:p w14:paraId="5290EE61"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3</w:t>
            </w:r>
          </w:p>
        </w:tc>
        <w:tc>
          <w:tcPr>
            <w:tcW w:w="1323" w:type="dxa"/>
          </w:tcPr>
          <w:p w14:paraId="1D15EA17"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0.0085</w:t>
            </w:r>
          </w:p>
        </w:tc>
        <w:tc>
          <w:tcPr>
            <w:tcW w:w="1323" w:type="dxa"/>
          </w:tcPr>
          <w:p w14:paraId="6CC22894"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2.070581074</w:t>
            </w:r>
          </w:p>
        </w:tc>
        <w:tc>
          <w:tcPr>
            <w:tcW w:w="1324" w:type="dxa"/>
          </w:tcPr>
          <w:p w14:paraId="6F9BA6C1"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COG3,COG5,COG1</w:t>
            </w:r>
          </w:p>
        </w:tc>
      </w:tr>
      <w:tr w:rsidR="007D055B" w:rsidRPr="006A7376" w14:paraId="7523FC96" w14:textId="77777777" w:rsidTr="005501B9">
        <w:tc>
          <w:tcPr>
            <w:tcW w:w="1323" w:type="dxa"/>
          </w:tcPr>
          <w:p w14:paraId="16A08CDE"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Reactome</w:t>
            </w:r>
          </w:p>
        </w:tc>
        <w:tc>
          <w:tcPr>
            <w:tcW w:w="1323" w:type="dxa"/>
          </w:tcPr>
          <w:p w14:paraId="2848D028"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STAT3 nuclear events downstream of ALK signaling</w:t>
            </w:r>
          </w:p>
        </w:tc>
        <w:tc>
          <w:tcPr>
            <w:tcW w:w="1324" w:type="dxa"/>
          </w:tcPr>
          <w:p w14:paraId="0C664828"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2</w:t>
            </w:r>
          </w:p>
        </w:tc>
        <w:tc>
          <w:tcPr>
            <w:tcW w:w="1323" w:type="dxa"/>
          </w:tcPr>
          <w:p w14:paraId="4AEACDCB"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0.0085</w:t>
            </w:r>
          </w:p>
        </w:tc>
        <w:tc>
          <w:tcPr>
            <w:tcW w:w="1323" w:type="dxa"/>
          </w:tcPr>
          <w:p w14:paraId="2CE5C57B"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2.070581074</w:t>
            </w:r>
          </w:p>
        </w:tc>
        <w:tc>
          <w:tcPr>
            <w:tcW w:w="1324" w:type="dxa"/>
          </w:tcPr>
          <w:p w14:paraId="05D5C645"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STAT3,CD274</w:t>
            </w:r>
          </w:p>
        </w:tc>
      </w:tr>
      <w:tr w:rsidR="007D055B" w:rsidRPr="006A7376" w14:paraId="6600EA24" w14:textId="77777777" w:rsidTr="005501B9">
        <w:tc>
          <w:tcPr>
            <w:tcW w:w="1323" w:type="dxa"/>
          </w:tcPr>
          <w:p w14:paraId="009DF730"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Reactome</w:t>
            </w:r>
          </w:p>
        </w:tc>
        <w:tc>
          <w:tcPr>
            <w:tcW w:w="1323" w:type="dxa"/>
          </w:tcPr>
          <w:p w14:paraId="4720A71B"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CTLA4 inhibitory signaling</w:t>
            </w:r>
          </w:p>
        </w:tc>
        <w:tc>
          <w:tcPr>
            <w:tcW w:w="1324" w:type="dxa"/>
          </w:tcPr>
          <w:p w14:paraId="4AB79944"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2</w:t>
            </w:r>
          </w:p>
        </w:tc>
        <w:tc>
          <w:tcPr>
            <w:tcW w:w="1323" w:type="dxa"/>
          </w:tcPr>
          <w:p w14:paraId="007F9E93"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0.0163</w:t>
            </w:r>
          </w:p>
        </w:tc>
        <w:tc>
          <w:tcPr>
            <w:tcW w:w="1323" w:type="dxa"/>
          </w:tcPr>
          <w:p w14:paraId="3AF30ADA"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1.787812396</w:t>
            </w:r>
          </w:p>
        </w:tc>
        <w:tc>
          <w:tcPr>
            <w:tcW w:w="1324" w:type="dxa"/>
          </w:tcPr>
          <w:p w14:paraId="18F40F70"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CD80,PTPN11</w:t>
            </w:r>
          </w:p>
        </w:tc>
      </w:tr>
      <w:tr w:rsidR="007D055B" w:rsidRPr="006A7376" w14:paraId="6A2E3C2D" w14:textId="77777777" w:rsidTr="005501B9">
        <w:tc>
          <w:tcPr>
            <w:tcW w:w="1323" w:type="dxa"/>
          </w:tcPr>
          <w:p w14:paraId="4C235898"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Reactome</w:t>
            </w:r>
          </w:p>
        </w:tc>
        <w:tc>
          <w:tcPr>
            <w:tcW w:w="1323" w:type="dxa"/>
          </w:tcPr>
          <w:p w14:paraId="030AA02E"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Interleukin-20 family signaling</w:t>
            </w:r>
          </w:p>
        </w:tc>
        <w:tc>
          <w:tcPr>
            <w:tcW w:w="1324" w:type="dxa"/>
          </w:tcPr>
          <w:p w14:paraId="49AFB9D6"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2</w:t>
            </w:r>
          </w:p>
        </w:tc>
        <w:tc>
          <w:tcPr>
            <w:tcW w:w="1323" w:type="dxa"/>
          </w:tcPr>
          <w:p w14:paraId="75791843"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0.0163</w:t>
            </w:r>
          </w:p>
        </w:tc>
        <w:tc>
          <w:tcPr>
            <w:tcW w:w="1323" w:type="dxa"/>
          </w:tcPr>
          <w:p w14:paraId="41A4CB29"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1.787812396</w:t>
            </w:r>
          </w:p>
        </w:tc>
        <w:tc>
          <w:tcPr>
            <w:tcW w:w="1324" w:type="dxa"/>
          </w:tcPr>
          <w:p w14:paraId="6A12B171"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STAT3,PTPN11</w:t>
            </w:r>
          </w:p>
        </w:tc>
      </w:tr>
      <w:tr w:rsidR="007D055B" w:rsidRPr="006A7376" w14:paraId="12C380D1" w14:textId="77777777" w:rsidTr="005501B9">
        <w:tc>
          <w:tcPr>
            <w:tcW w:w="1323" w:type="dxa"/>
          </w:tcPr>
          <w:p w14:paraId="0AC77B6B"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Reactome</w:t>
            </w:r>
          </w:p>
        </w:tc>
        <w:tc>
          <w:tcPr>
            <w:tcW w:w="1323" w:type="dxa"/>
          </w:tcPr>
          <w:p w14:paraId="21D66F05"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Interleukin-37 signaling</w:t>
            </w:r>
          </w:p>
        </w:tc>
        <w:tc>
          <w:tcPr>
            <w:tcW w:w="1324" w:type="dxa"/>
          </w:tcPr>
          <w:p w14:paraId="3A6DE0AB"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2</w:t>
            </w:r>
          </w:p>
        </w:tc>
        <w:tc>
          <w:tcPr>
            <w:tcW w:w="1323" w:type="dxa"/>
          </w:tcPr>
          <w:p w14:paraId="2450CF66"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0.0163</w:t>
            </w:r>
          </w:p>
        </w:tc>
        <w:tc>
          <w:tcPr>
            <w:tcW w:w="1323" w:type="dxa"/>
          </w:tcPr>
          <w:p w14:paraId="4B313646"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1.787812396</w:t>
            </w:r>
          </w:p>
        </w:tc>
        <w:tc>
          <w:tcPr>
            <w:tcW w:w="1324" w:type="dxa"/>
          </w:tcPr>
          <w:p w14:paraId="39FBFA71"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STAT3,PTPN11</w:t>
            </w:r>
          </w:p>
        </w:tc>
      </w:tr>
      <w:tr w:rsidR="007D055B" w:rsidRPr="006A7376" w14:paraId="341A043D" w14:textId="77777777" w:rsidTr="005501B9">
        <w:tc>
          <w:tcPr>
            <w:tcW w:w="1323" w:type="dxa"/>
          </w:tcPr>
          <w:p w14:paraId="71319B81"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Reactome</w:t>
            </w:r>
          </w:p>
        </w:tc>
        <w:tc>
          <w:tcPr>
            <w:tcW w:w="1323" w:type="dxa"/>
          </w:tcPr>
          <w:p w14:paraId="17278BF1"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Downstream signal transduction</w:t>
            </w:r>
          </w:p>
        </w:tc>
        <w:tc>
          <w:tcPr>
            <w:tcW w:w="1324" w:type="dxa"/>
          </w:tcPr>
          <w:p w14:paraId="63305B90"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2</w:t>
            </w:r>
          </w:p>
        </w:tc>
        <w:tc>
          <w:tcPr>
            <w:tcW w:w="1323" w:type="dxa"/>
          </w:tcPr>
          <w:p w14:paraId="51359A4C"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0.0186</w:t>
            </w:r>
          </w:p>
        </w:tc>
        <w:tc>
          <w:tcPr>
            <w:tcW w:w="1323" w:type="dxa"/>
          </w:tcPr>
          <w:p w14:paraId="106D4089"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1.730487056</w:t>
            </w:r>
          </w:p>
        </w:tc>
        <w:tc>
          <w:tcPr>
            <w:tcW w:w="1324" w:type="dxa"/>
          </w:tcPr>
          <w:p w14:paraId="4A5182F6"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STAT3,PTPN11</w:t>
            </w:r>
          </w:p>
        </w:tc>
      </w:tr>
      <w:tr w:rsidR="007D055B" w:rsidRPr="006A7376" w14:paraId="328DE439" w14:textId="77777777" w:rsidTr="005501B9">
        <w:tc>
          <w:tcPr>
            <w:tcW w:w="1323" w:type="dxa"/>
          </w:tcPr>
          <w:p w14:paraId="65216F13"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Reactome</w:t>
            </w:r>
          </w:p>
        </w:tc>
        <w:tc>
          <w:tcPr>
            <w:tcW w:w="1323" w:type="dxa"/>
          </w:tcPr>
          <w:p w14:paraId="4EAF20B7"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Signaling by CSF3 (G-CSF)</w:t>
            </w:r>
          </w:p>
        </w:tc>
        <w:tc>
          <w:tcPr>
            <w:tcW w:w="1324" w:type="dxa"/>
          </w:tcPr>
          <w:p w14:paraId="2F86ED24"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2</w:t>
            </w:r>
          </w:p>
        </w:tc>
        <w:tc>
          <w:tcPr>
            <w:tcW w:w="1323" w:type="dxa"/>
          </w:tcPr>
          <w:p w14:paraId="66443DB1"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0.0186</w:t>
            </w:r>
          </w:p>
        </w:tc>
        <w:tc>
          <w:tcPr>
            <w:tcW w:w="1323" w:type="dxa"/>
          </w:tcPr>
          <w:p w14:paraId="62FF914E"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1.730487056</w:t>
            </w:r>
          </w:p>
        </w:tc>
        <w:tc>
          <w:tcPr>
            <w:tcW w:w="1324" w:type="dxa"/>
          </w:tcPr>
          <w:p w14:paraId="01764DA8"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STAT3,PTPN11</w:t>
            </w:r>
          </w:p>
        </w:tc>
      </w:tr>
      <w:tr w:rsidR="007D055B" w:rsidRPr="006A7376" w14:paraId="78A1A444" w14:textId="77777777" w:rsidTr="005501B9">
        <w:tc>
          <w:tcPr>
            <w:tcW w:w="1323" w:type="dxa"/>
          </w:tcPr>
          <w:p w14:paraId="08792F69"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Reactome</w:t>
            </w:r>
          </w:p>
        </w:tc>
        <w:tc>
          <w:tcPr>
            <w:tcW w:w="1323" w:type="dxa"/>
          </w:tcPr>
          <w:p w14:paraId="2C1C7FD0"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Signaling by CSF1 (M-CSF) in myeloid cells</w:t>
            </w:r>
          </w:p>
        </w:tc>
        <w:tc>
          <w:tcPr>
            <w:tcW w:w="1324" w:type="dxa"/>
          </w:tcPr>
          <w:p w14:paraId="5C601448"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2</w:t>
            </w:r>
          </w:p>
        </w:tc>
        <w:tc>
          <w:tcPr>
            <w:tcW w:w="1323" w:type="dxa"/>
          </w:tcPr>
          <w:p w14:paraId="6CF6FBD0"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0.0186</w:t>
            </w:r>
          </w:p>
        </w:tc>
        <w:tc>
          <w:tcPr>
            <w:tcW w:w="1323" w:type="dxa"/>
          </w:tcPr>
          <w:p w14:paraId="5A274110"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1.730487056</w:t>
            </w:r>
          </w:p>
        </w:tc>
        <w:tc>
          <w:tcPr>
            <w:tcW w:w="1324" w:type="dxa"/>
          </w:tcPr>
          <w:p w14:paraId="2EF7EF3C"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STAT3,PTPN11</w:t>
            </w:r>
          </w:p>
        </w:tc>
      </w:tr>
      <w:tr w:rsidR="007D055B" w:rsidRPr="006A7376" w14:paraId="722E2996" w14:textId="77777777" w:rsidTr="005501B9">
        <w:tc>
          <w:tcPr>
            <w:tcW w:w="1323" w:type="dxa"/>
          </w:tcPr>
          <w:p w14:paraId="6C27ABE1"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Reactome</w:t>
            </w:r>
          </w:p>
        </w:tc>
        <w:tc>
          <w:tcPr>
            <w:tcW w:w="1323" w:type="dxa"/>
          </w:tcPr>
          <w:p w14:paraId="48F9B539"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Signaling by SCF-KIT</w:t>
            </w:r>
          </w:p>
        </w:tc>
        <w:tc>
          <w:tcPr>
            <w:tcW w:w="1324" w:type="dxa"/>
          </w:tcPr>
          <w:p w14:paraId="2EAA277F"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2</w:t>
            </w:r>
          </w:p>
        </w:tc>
        <w:tc>
          <w:tcPr>
            <w:tcW w:w="1323" w:type="dxa"/>
          </w:tcPr>
          <w:p w14:paraId="50B9FA2B"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0.0301</w:t>
            </w:r>
          </w:p>
        </w:tc>
        <w:tc>
          <w:tcPr>
            <w:tcW w:w="1323" w:type="dxa"/>
          </w:tcPr>
          <w:p w14:paraId="09BF24F5"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1.521433504</w:t>
            </w:r>
          </w:p>
        </w:tc>
        <w:tc>
          <w:tcPr>
            <w:tcW w:w="1324" w:type="dxa"/>
          </w:tcPr>
          <w:p w14:paraId="04F97C9C"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STAT3,PTPN11</w:t>
            </w:r>
          </w:p>
        </w:tc>
      </w:tr>
      <w:tr w:rsidR="007D055B" w:rsidRPr="006A7376" w14:paraId="16B44A6C" w14:textId="77777777" w:rsidTr="005501B9">
        <w:tc>
          <w:tcPr>
            <w:tcW w:w="1323" w:type="dxa"/>
          </w:tcPr>
          <w:p w14:paraId="6FFE532E"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Reactome</w:t>
            </w:r>
          </w:p>
        </w:tc>
        <w:tc>
          <w:tcPr>
            <w:tcW w:w="1323" w:type="dxa"/>
          </w:tcPr>
          <w:p w14:paraId="0AC9F6F0"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Immune System</w:t>
            </w:r>
          </w:p>
        </w:tc>
        <w:tc>
          <w:tcPr>
            <w:tcW w:w="1324" w:type="dxa"/>
          </w:tcPr>
          <w:p w14:paraId="011305F8"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6</w:t>
            </w:r>
          </w:p>
        </w:tc>
        <w:tc>
          <w:tcPr>
            <w:tcW w:w="1323" w:type="dxa"/>
          </w:tcPr>
          <w:p w14:paraId="51D8B816"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0.0313</w:t>
            </w:r>
          </w:p>
        </w:tc>
        <w:tc>
          <w:tcPr>
            <w:tcW w:w="1323" w:type="dxa"/>
          </w:tcPr>
          <w:p w14:paraId="021AF84B"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1.504455662</w:t>
            </w:r>
          </w:p>
        </w:tc>
        <w:tc>
          <w:tcPr>
            <w:tcW w:w="1324" w:type="dxa"/>
          </w:tcPr>
          <w:p w14:paraId="5FB3FB15"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CD80,STAT3,PDCD1,CD274,PDCD1LG2,PTPN11</w:t>
            </w:r>
          </w:p>
        </w:tc>
      </w:tr>
      <w:tr w:rsidR="007D055B" w:rsidRPr="006A7376" w14:paraId="3CC868FC" w14:textId="77777777" w:rsidTr="005501B9">
        <w:tc>
          <w:tcPr>
            <w:tcW w:w="1323" w:type="dxa"/>
          </w:tcPr>
          <w:p w14:paraId="1D97CA08"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lastRenderedPageBreak/>
              <w:t>Reactome</w:t>
            </w:r>
          </w:p>
        </w:tc>
        <w:tc>
          <w:tcPr>
            <w:tcW w:w="1323" w:type="dxa"/>
          </w:tcPr>
          <w:p w14:paraId="632E629B"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Interleukin-10 signaling</w:t>
            </w:r>
          </w:p>
        </w:tc>
        <w:tc>
          <w:tcPr>
            <w:tcW w:w="1324" w:type="dxa"/>
          </w:tcPr>
          <w:p w14:paraId="0589BC03"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2</w:t>
            </w:r>
          </w:p>
        </w:tc>
        <w:tc>
          <w:tcPr>
            <w:tcW w:w="1323" w:type="dxa"/>
          </w:tcPr>
          <w:p w14:paraId="0FFE818E"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0.0313</w:t>
            </w:r>
          </w:p>
        </w:tc>
        <w:tc>
          <w:tcPr>
            <w:tcW w:w="1323" w:type="dxa"/>
          </w:tcPr>
          <w:p w14:paraId="31BCDC7C"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1.504455662</w:t>
            </w:r>
          </w:p>
        </w:tc>
        <w:tc>
          <w:tcPr>
            <w:tcW w:w="1324" w:type="dxa"/>
          </w:tcPr>
          <w:p w14:paraId="356347DB"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color w:val="000000"/>
                <w:sz w:val="20"/>
                <w:szCs w:val="20"/>
              </w:rPr>
              <w:t>CD80,STAT3</w:t>
            </w:r>
          </w:p>
        </w:tc>
      </w:tr>
    </w:tbl>
    <w:p w14:paraId="6F706FE0" w14:textId="77777777" w:rsidR="007D055B" w:rsidRPr="006A7376" w:rsidRDefault="007D055B" w:rsidP="007D055B">
      <w:pPr>
        <w:spacing w:line="360" w:lineRule="auto"/>
        <w:jc w:val="center"/>
        <w:rPr>
          <w:rFonts w:ascii="Times New Roman" w:hAnsi="Times New Roman" w:cs="Times New Roman"/>
          <w:sz w:val="20"/>
          <w:szCs w:val="20"/>
        </w:rPr>
      </w:pPr>
      <w:r w:rsidRPr="006A7376">
        <w:rPr>
          <w:rFonts w:ascii="Times New Roman" w:hAnsi="Times New Roman" w:cs="Times New Roman"/>
          <w:b/>
          <w:bCs/>
          <w:sz w:val="20"/>
          <w:szCs w:val="20"/>
        </w:rPr>
        <w:t>Table S10.</w:t>
      </w:r>
      <w:r w:rsidRPr="006A7376">
        <w:rPr>
          <w:rFonts w:ascii="Times New Roman" w:hAnsi="Times New Roman" w:cs="Times New Roman"/>
          <w:sz w:val="20"/>
          <w:szCs w:val="20"/>
        </w:rPr>
        <w:t xml:space="preserve"> Complete list of enriched Gene Ontology Biological Process terms, KEGG pathways, and Reactome pathways for the PD-L1–centered network.</w:t>
      </w:r>
    </w:p>
    <w:tbl>
      <w:tblPr>
        <w:tblStyle w:val="TableGrid"/>
        <w:tblW w:w="0" w:type="auto"/>
        <w:tblBorders>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1982"/>
        <w:gridCol w:w="1982"/>
        <w:gridCol w:w="1983"/>
        <w:gridCol w:w="1983"/>
      </w:tblGrid>
      <w:tr w:rsidR="007D055B" w:rsidRPr="006A7376" w14:paraId="3DADBCF7" w14:textId="77777777" w:rsidTr="005501B9">
        <w:tc>
          <w:tcPr>
            <w:tcW w:w="1982" w:type="dxa"/>
            <w:vAlign w:val="center"/>
          </w:tcPr>
          <w:p w14:paraId="4780C688"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b/>
                <w:bCs/>
                <w:sz w:val="20"/>
                <w:szCs w:val="20"/>
              </w:rPr>
              <w:t>Window (ns)</w:t>
            </w:r>
          </w:p>
        </w:tc>
        <w:tc>
          <w:tcPr>
            <w:tcW w:w="1982" w:type="dxa"/>
            <w:vAlign w:val="center"/>
          </w:tcPr>
          <w:p w14:paraId="324D2773"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b/>
                <w:bCs/>
                <w:sz w:val="20"/>
                <w:szCs w:val="20"/>
              </w:rPr>
              <w:t>H-bonds (mean ± SD)</w:t>
            </w:r>
          </w:p>
        </w:tc>
        <w:tc>
          <w:tcPr>
            <w:tcW w:w="1983" w:type="dxa"/>
            <w:vAlign w:val="center"/>
          </w:tcPr>
          <w:p w14:paraId="54EF2AA9"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b/>
                <w:bCs/>
                <w:sz w:val="20"/>
                <w:szCs w:val="20"/>
              </w:rPr>
              <w:t>Min distance (nm) (mean ± SD)</w:t>
            </w:r>
          </w:p>
        </w:tc>
        <w:tc>
          <w:tcPr>
            <w:tcW w:w="1983" w:type="dxa"/>
            <w:vAlign w:val="center"/>
          </w:tcPr>
          <w:p w14:paraId="764484F6"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b/>
                <w:bCs/>
                <w:sz w:val="20"/>
                <w:szCs w:val="20"/>
              </w:rPr>
              <w:t>Contacts (mean ± SD)</w:t>
            </w:r>
          </w:p>
        </w:tc>
      </w:tr>
      <w:tr w:rsidR="007D055B" w:rsidRPr="006A7376" w14:paraId="5A9051E5" w14:textId="77777777" w:rsidTr="005501B9">
        <w:tc>
          <w:tcPr>
            <w:tcW w:w="1982" w:type="dxa"/>
            <w:vAlign w:val="center"/>
          </w:tcPr>
          <w:p w14:paraId="4D372346"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sz w:val="20"/>
                <w:szCs w:val="20"/>
              </w:rPr>
              <w:t>0–10</w:t>
            </w:r>
          </w:p>
        </w:tc>
        <w:tc>
          <w:tcPr>
            <w:tcW w:w="1982" w:type="dxa"/>
            <w:vAlign w:val="center"/>
          </w:tcPr>
          <w:p w14:paraId="57512293"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sz w:val="20"/>
                <w:szCs w:val="20"/>
              </w:rPr>
              <w:t>2.98 ± 1.10</w:t>
            </w:r>
          </w:p>
        </w:tc>
        <w:tc>
          <w:tcPr>
            <w:tcW w:w="1983" w:type="dxa"/>
            <w:vAlign w:val="center"/>
          </w:tcPr>
          <w:p w14:paraId="5EA83BB0"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sz w:val="20"/>
                <w:szCs w:val="20"/>
              </w:rPr>
              <w:t>0.173 ± 0.012</w:t>
            </w:r>
          </w:p>
        </w:tc>
        <w:tc>
          <w:tcPr>
            <w:tcW w:w="1983" w:type="dxa"/>
            <w:vAlign w:val="center"/>
          </w:tcPr>
          <w:p w14:paraId="7706CA6B"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sz w:val="20"/>
                <w:szCs w:val="20"/>
              </w:rPr>
              <w:t>63.0 ± 10.7</w:t>
            </w:r>
          </w:p>
        </w:tc>
      </w:tr>
      <w:tr w:rsidR="007D055B" w:rsidRPr="006A7376" w14:paraId="3A90E42E" w14:textId="77777777" w:rsidTr="005501B9">
        <w:tc>
          <w:tcPr>
            <w:tcW w:w="1982" w:type="dxa"/>
            <w:vAlign w:val="center"/>
          </w:tcPr>
          <w:p w14:paraId="6DA2B51A"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sz w:val="20"/>
                <w:szCs w:val="20"/>
              </w:rPr>
              <w:t>10–20</w:t>
            </w:r>
          </w:p>
        </w:tc>
        <w:tc>
          <w:tcPr>
            <w:tcW w:w="1982" w:type="dxa"/>
            <w:vAlign w:val="center"/>
          </w:tcPr>
          <w:p w14:paraId="160A8A67"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sz w:val="20"/>
                <w:szCs w:val="20"/>
              </w:rPr>
              <w:t>4.00</w:t>
            </w:r>
          </w:p>
        </w:tc>
        <w:tc>
          <w:tcPr>
            <w:tcW w:w="1983" w:type="dxa"/>
            <w:vAlign w:val="center"/>
          </w:tcPr>
          <w:p w14:paraId="2D6C50E2"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sz w:val="20"/>
                <w:szCs w:val="20"/>
              </w:rPr>
              <w:t>0.155</w:t>
            </w:r>
          </w:p>
        </w:tc>
        <w:tc>
          <w:tcPr>
            <w:tcW w:w="1983" w:type="dxa"/>
            <w:vAlign w:val="center"/>
          </w:tcPr>
          <w:p w14:paraId="2F67C22C" w14:textId="77777777" w:rsidR="007D055B" w:rsidRPr="006A7376" w:rsidRDefault="007D055B" w:rsidP="005501B9">
            <w:pPr>
              <w:spacing w:line="360" w:lineRule="auto"/>
              <w:jc w:val="center"/>
              <w:rPr>
                <w:rFonts w:ascii="Times New Roman" w:hAnsi="Times New Roman" w:cs="Times New Roman"/>
                <w:sz w:val="20"/>
                <w:szCs w:val="20"/>
              </w:rPr>
            </w:pPr>
            <w:r w:rsidRPr="006A7376">
              <w:rPr>
                <w:rFonts w:ascii="Times New Roman" w:hAnsi="Times New Roman" w:cs="Times New Roman"/>
                <w:sz w:val="20"/>
                <w:szCs w:val="20"/>
              </w:rPr>
              <w:t>64.0</w:t>
            </w:r>
          </w:p>
        </w:tc>
      </w:tr>
    </w:tbl>
    <w:p w14:paraId="638E9C83" w14:textId="77777777" w:rsidR="007D055B" w:rsidRPr="006A7376" w:rsidRDefault="007D055B" w:rsidP="007D055B">
      <w:pPr>
        <w:spacing w:line="360" w:lineRule="auto"/>
        <w:jc w:val="center"/>
        <w:rPr>
          <w:rFonts w:ascii="Times New Roman" w:hAnsi="Times New Roman" w:cs="Times New Roman"/>
          <w:sz w:val="20"/>
          <w:szCs w:val="20"/>
        </w:rPr>
      </w:pPr>
      <w:r w:rsidRPr="006A7376">
        <w:rPr>
          <w:rFonts w:ascii="Times New Roman" w:hAnsi="Times New Roman" w:cs="Times New Roman"/>
          <w:b/>
          <w:bCs/>
          <w:sz w:val="20"/>
          <w:szCs w:val="20"/>
        </w:rPr>
        <w:t xml:space="preserve">Table S11. </w:t>
      </w:r>
      <w:r w:rsidRPr="006A7376">
        <w:rPr>
          <w:rFonts w:ascii="Times New Roman" w:hAnsi="Times New Roman" w:cs="Times New Roman"/>
          <w:sz w:val="20"/>
          <w:szCs w:val="20"/>
        </w:rPr>
        <w:t>Window-based summary of inter-protomer interface metrics across the 10-ns simulation trajectory.</w:t>
      </w:r>
    </w:p>
    <w:p w14:paraId="71174BB1" w14:textId="77777777" w:rsidR="007D055B" w:rsidRPr="006A7376" w:rsidRDefault="007D055B" w:rsidP="007D055B">
      <w:pPr>
        <w:spacing w:line="360" w:lineRule="auto"/>
        <w:jc w:val="both"/>
        <w:rPr>
          <w:rFonts w:ascii="Times New Roman" w:hAnsi="Times New Roman" w:cs="Times New Roman"/>
          <w:sz w:val="20"/>
          <w:szCs w:val="20"/>
        </w:rPr>
      </w:pPr>
      <w:r w:rsidRPr="006A7376">
        <w:rPr>
          <w:rFonts w:ascii="Times New Roman" w:hAnsi="Times New Roman" w:cs="Times New Roman"/>
          <w:b/>
          <w:bCs/>
          <w:sz w:val="20"/>
          <w:szCs w:val="20"/>
        </w:rPr>
        <w:t>Supplementary Figure</w:t>
      </w:r>
    </w:p>
    <w:p w14:paraId="25BFBA0A" w14:textId="77777777" w:rsidR="007D055B" w:rsidRPr="006A7376" w:rsidRDefault="007D055B" w:rsidP="007D055B">
      <w:pPr>
        <w:spacing w:line="360" w:lineRule="auto"/>
        <w:jc w:val="center"/>
        <w:rPr>
          <w:rFonts w:ascii="Times New Roman" w:hAnsi="Times New Roman" w:cs="Times New Roman"/>
          <w:sz w:val="20"/>
          <w:szCs w:val="20"/>
        </w:rPr>
      </w:pPr>
      <w:r w:rsidRPr="006A7376">
        <w:rPr>
          <w:rFonts w:ascii="Times New Roman" w:hAnsi="Times New Roman" w:cs="Times New Roman"/>
          <w:noProof/>
          <w:sz w:val="20"/>
          <w:szCs w:val="20"/>
        </w:rPr>
        <w:drawing>
          <wp:inline distT="0" distB="0" distL="0" distR="0" wp14:anchorId="60B9B145" wp14:editId="4ED29A87">
            <wp:extent cx="5041900" cy="3132455"/>
            <wp:effectExtent l="0" t="0" r="6350" b="0"/>
            <wp:docPr id="373840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840728" name=""/>
                    <pic:cNvPicPr/>
                  </pic:nvPicPr>
                  <pic:blipFill>
                    <a:blip r:embed="rId5"/>
                    <a:stretch>
                      <a:fillRect/>
                    </a:stretch>
                  </pic:blipFill>
                  <pic:spPr>
                    <a:xfrm>
                      <a:off x="0" y="0"/>
                      <a:ext cx="5041900" cy="3132455"/>
                    </a:xfrm>
                    <a:prstGeom prst="rect">
                      <a:avLst/>
                    </a:prstGeom>
                  </pic:spPr>
                </pic:pic>
              </a:graphicData>
            </a:graphic>
          </wp:inline>
        </w:drawing>
      </w:r>
    </w:p>
    <w:p w14:paraId="4750EB79" w14:textId="77777777" w:rsidR="007D055B" w:rsidRPr="006A7376" w:rsidRDefault="007D055B" w:rsidP="007D055B">
      <w:pPr>
        <w:spacing w:line="360" w:lineRule="auto"/>
        <w:jc w:val="center"/>
        <w:rPr>
          <w:rFonts w:ascii="Times New Roman" w:hAnsi="Times New Roman" w:cs="Times New Roman"/>
          <w:sz w:val="20"/>
          <w:szCs w:val="20"/>
        </w:rPr>
      </w:pPr>
      <w:r w:rsidRPr="006A7376">
        <w:rPr>
          <w:rFonts w:ascii="Times New Roman" w:hAnsi="Times New Roman" w:cs="Times New Roman"/>
          <w:b/>
          <w:bCs/>
          <w:noProof/>
          <w:sz w:val="20"/>
          <w:szCs w:val="20"/>
        </w:rPr>
        <mc:AlternateContent>
          <mc:Choice Requires="wpi">
            <w:drawing>
              <wp:anchor distT="0" distB="0" distL="114300" distR="114300" simplePos="0" relativeHeight="251662336" behindDoc="0" locked="0" layoutInCell="1" allowOverlap="1" wp14:anchorId="007F0D8E" wp14:editId="2537B244">
                <wp:simplePos x="0" y="0"/>
                <wp:positionH relativeFrom="column">
                  <wp:posOffset>3726360</wp:posOffset>
                </wp:positionH>
                <wp:positionV relativeFrom="paragraph">
                  <wp:posOffset>1480770</wp:posOffset>
                </wp:positionV>
                <wp:extent cx="360" cy="1800"/>
                <wp:effectExtent l="57150" t="57150" r="57150" b="55880"/>
                <wp:wrapNone/>
                <wp:docPr id="542310903" name="Ink 6"/>
                <wp:cNvGraphicFramePr/>
                <a:graphic xmlns:a="http://schemas.openxmlformats.org/drawingml/2006/main">
                  <a:graphicData uri="http://schemas.microsoft.com/office/word/2010/wordprocessingInk">
                    <w14:contentPart bwMode="auto" r:id="rId6">
                      <w14:nvContentPartPr>
                        <w14:cNvContentPartPr/>
                      </w14:nvContentPartPr>
                      <w14:xfrm>
                        <a:off x="0" y="0"/>
                        <a:ext cx="360" cy="1800"/>
                      </w14:xfrm>
                    </w14:contentPart>
                  </a:graphicData>
                </a:graphic>
              </wp:anchor>
            </w:drawing>
          </mc:Choice>
          <mc:Fallback>
            <w:pict>
              <v:shapetype w14:anchorId="632C32D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292.7pt;margin-top:115.9pt;width:1.45pt;height:1.6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">
                <v:imagedata r:id="rId7" o:title=""/>
              </v:shape>
            </w:pict>
          </mc:Fallback>
        </mc:AlternateContent>
      </w:r>
      <w:r w:rsidRPr="006A7376">
        <w:rPr>
          <w:rFonts w:ascii="Times New Roman" w:hAnsi="Times New Roman" w:cs="Times New Roman"/>
          <w:b/>
          <w:bCs/>
          <w:sz w:val="20"/>
          <w:szCs w:val="20"/>
        </w:rPr>
        <w:t>Figure S1.</w:t>
      </w:r>
      <w:r w:rsidRPr="006A7376">
        <w:rPr>
          <w:rFonts w:ascii="Times New Roman" w:hAnsi="Times New Roman" w:cs="Times New Roman"/>
          <w:sz w:val="20"/>
          <w:szCs w:val="20"/>
        </w:rPr>
        <w:t xml:space="preserve"> Benchmark redocking of a co-crystallized small-molecule ligand at the PD-L1 dimer interface. The crystallographic ligand pose (gray) and the redocked pose (colored) show close spatial overlap within the inter-protomer interface pocket. Key interface residues are shown for structural reference. This result supports the suitability of the selected grid and docking protocol for PD-L1 interface-focused docking.</w:t>
      </w:r>
    </w:p>
    <w:p w14:paraId="066652A2" w14:textId="77777777" w:rsidR="007D055B" w:rsidRPr="006A7376" w:rsidRDefault="007D055B" w:rsidP="007D055B">
      <w:pPr>
        <w:spacing w:line="360" w:lineRule="auto"/>
        <w:jc w:val="center"/>
        <w:rPr>
          <w:rFonts w:ascii="Times New Roman" w:hAnsi="Times New Roman" w:cs="Times New Roman"/>
          <w:sz w:val="20"/>
          <w:szCs w:val="20"/>
        </w:rPr>
      </w:pPr>
      <w:r w:rsidRPr="006A7376">
        <w:rPr>
          <w:rFonts w:ascii="Times New Roman" w:hAnsi="Times New Roman" w:cs="Times New Roman"/>
          <w:noProof/>
          <w:sz w:val="20"/>
          <w:szCs w:val="20"/>
        </w:rPr>
        <w:lastRenderedPageBreak/>
        <mc:AlternateContent>
          <mc:Choice Requires="wpi">
            <w:drawing>
              <wp:anchor distT="0" distB="0" distL="114300" distR="114300" simplePos="0" relativeHeight="251661312" behindDoc="0" locked="0" layoutInCell="1" allowOverlap="1" wp14:anchorId="64BE9E96" wp14:editId="7FD6DB8F">
                <wp:simplePos x="0" y="0"/>
                <wp:positionH relativeFrom="column">
                  <wp:posOffset>2621160</wp:posOffset>
                </wp:positionH>
                <wp:positionV relativeFrom="paragraph">
                  <wp:posOffset>990550</wp:posOffset>
                </wp:positionV>
                <wp:extent cx="360" cy="1800"/>
                <wp:effectExtent l="57150" t="57150" r="57150" b="55880"/>
                <wp:wrapNone/>
                <wp:docPr id="39628449" name="Ink 5"/>
                <wp:cNvGraphicFramePr/>
                <a:graphic xmlns:a="http://schemas.openxmlformats.org/drawingml/2006/main">
                  <a:graphicData uri="http://schemas.microsoft.com/office/word/2010/wordprocessingInk">
                    <w14:contentPart bwMode="auto" r:id="rId8">
                      <w14:nvContentPartPr>
                        <w14:cNvContentPartPr/>
                      </w14:nvContentPartPr>
                      <w14:xfrm>
                        <a:off x="0" y="0"/>
                        <a:ext cx="360" cy="1800"/>
                      </w14:xfrm>
                    </w14:contentPart>
                  </a:graphicData>
                </a:graphic>
              </wp:anchor>
            </w:drawing>
          </mc:Choice>
          <mc:Fallback>
            <w:pict>
              <v:shape w14:anchorId="4DE8C3C2" id="Ink 5" o:spid="_x0000_s1026" type="#_x0000_t75" style="position:absolute;margin-left:205.7pt;margin-top:77.3pt;width:1.45pt;height:1.6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">
                <v:imagedata r:id="rId7" o:title=""/>
              </v:shape>
            </w:pict>
          </mc:Fallback>
        </mc:AlternateContent>
      </w:r>
      <w:r w:rsidRPr="006A7376">
        <w:rPr>
          <w:rFonts w:ascii="Times New Roman" w:hAnsi="Times New Roman" w:cs="Times New Roman"/>
          <w:noProof/>
          <w:sz w:val="20"/>
          <w:szCs w:val="20"/>
        </w:rPr>
        <mc:AlternateContent>
          <mc:Choice Requires="wpi">
            <w:drawing>
              <wp:anchor distT="0" distB="0" distL="114300" distR="114300" simplePos="0" relativeHeight="251660288" behindDoc="0" locked="0" layoutInCell="1" allowOverlap="1" wp14:anchorId="70B1F73B" wp14:editId="76667D0E">
                <wp:simplePos x="0" y="0"/>
                <wp:positionH relativeFrom="column">
                  <wp:posOffset>1145160</wp:posOffset>
                </wp:positionH>
                <wp:positionV relativeFrom="paragraph">
                  <wp:posOffset>19990</wp:posOffset>
                </wp:positionV>
                <wp:extent cx="162360" cy="164520"/>
                <wp:effectExtent l="57150" t="57150" r="9525" b="45085"/>
                <wp:wrapNone/>
                <wp:docPr id="346885293" name="Ink 4"/>
                <wp:cNvGraphicFramePr/>
                <a:graphic xmlns:a="http://schemas.openxmlformats.org/drawingml/2006/main">
                  <a:graphicData uri="http://schemas.microsoft.com/office/word/2010/wordprocessingInk">
                    <w14:contentPart bwMode="auto" r:id="rId9">
                      <w14:nvContentPartPr>
                        <w14:cNvContentPartPr/>
                      </w14:nvContentPartPr>
                      <w14:xfrm>
                        <a:off x="0" y="0"/>
                        <a:ext cx="162360" cy="164520"/>
                      </w14:xfrm>
                    </w14:contentPart>
                  </a:graphicData>
                </a:graphic>
              </wp:anchor>
            </w:drawing>
          </mc:Choice>
          <mc:Fallback>
            <w:pict>
              <v:shape w14:anchorId="0C3FC863" id="Ink 4" o:spid="_x0000_s1026" type="#_x0000_t75" style="position:absolute;margin-left:89.45pt;margin-top:.85pt;width:14.2pt;height:14.35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">
                <v:imagedata r:id="rId10" o:title=""/>
              </v:shape>
            </w:pict>
          </mc:Fallback>
        </mc:AlternateContent>
      </w:r>
      <w:r w:rsidRPr="006A7376">
        <w:rPr>
          <w:rFonts w:ascii="Times New Roman" w:hAnsi="Times New Roman" w:cs="Times New Roman"/>
          <w:noProof/>
          <w:sz w:val="20"/>
          <w:szCs w:val="20"/>
        </w:rPr>
        <mc:AlternateContent>
          <mc:Choice Requires="wps">
            <w:drawing>
              <wp:anchor distT="0" distB="0" distL="114300" distR="114300" simplePos="0" relativeHeight="251659264" behindDoc="0" locked="0" layoutInCell="1" allowOverlap="1" wp14:anchorId="54D86E35" wp14:editId="0E08C54B">
                <wp:simplePos x="0" y="0"/>
                <wp:positionH relativeFrom="column">
                  <wp:posOffset>708660</wp:posOffset>
                </wp:positionH>
                <wp:positionV relativeFrom="paragraph">
                  <wp:posOffset>298450</wp:posOffset>
                </wp:positionV>
                <wp:extent cx="175260" cy="137160"/>
                <wp:effectExtent l="0" t="0" r="15240" b="15240"/>
                <wp:wrapNone/>
                <wp:docPr id="328456430" name="Rectangle 3"/>
                <wp:cNvGraphicFramePr/>
                <a:graphic xmlns:a="http://schemas.openxmlformats.org/drawingml/2006/main">
                  <a:graphicData uri="http://schemas.microsoft.com/office/word/2010/wordprocessingShape">
                    <wps:wsp>
                      <wps:cNvSpPr/>
                      <wps:spPr>
                        <a:xfrm>
                          <a:off x="0" y="0"/>
                          <a:ext cx="175260" cy="13716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79F08" id="Rectangle 3" o:spid="_x0000_s1026" style="position:absolute;margin-left:55.8pt;margin-top:23.5pt;width:13.8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" fillcolor="white [3212]" strokecolor="white [3212]" strokeweight="1pt"/>
            </w:pict>
          </mc:Fallback>
        </mc:AlternateContent>
      </w:r>
      <w:r w:rsidRPr="006A7376">
        <w:rPr>
          <w:rFonts w:ascii="Times New Roman" w:hAnsi="Times New Roman" w:cs="Times New Roman"/>
          <w:noProof/>
          <w:sz w:val="20"/>
          <w:szCs w:val="20"/>
        </w:rPr>
        <w:drawing>
          <wp:inline distT="0" distB="0" distL="0" distR="0" wp14:anchorId="01858027" wp14:editId="79920A97">
            <wp:extent cx="2781300" cy="2016760"/>
            <wp:effectExtent l="0" t="0" r="0" b="2540"/>
            <wp:docPr id="14651131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44836"/>
                    <a:stretch>
                      <a:fillRect/>
                    </a:stretch>
                  </pic:blipFill>
                  <pic:spPr bwMode="auto">
                    <a:xfrm>
                      <a:off x="0" y="0"/>
                      <a:ext cx="2781300" cy="2016760"/>
                    </a:xfrm>
                    <a:prstGeom prst="rect">
                      <a:avLst/>
                    </a:prstGeom>
                    <a:noFill/>
                    <a:ln>
                      <a:noFill/>
                    </a:ln>
                    <a:extLst>
                      <a:ext uri="{53640926-AAD7-44D8-BBD7-CCE9431645EC}">
                        <a14:shadowObscured xmlns:a14="http://schemas.microsoft.com/office/drawing/2010/main"/>
                      </a:ext>
                    </a:extLst>
                  </pic:spPr>
                </pic:pic>
              </a:graphicData>
            </a:graphic>
          </wp:inline>
        </w:drawing>
      </w:r>
    </w:p>
    <w:p w14:paraId="1E7CC3E1" w14:textId="77777777" w:rsidR="007D055B" w:rsidRPr="006A7376" w:rsidRDefault="007D055B" w:rsidP="007D055B">
      <w:pPr>
        <w:spacing w:line="360" w:lineRule="auto"/>
        <w:jc w:val="center"/>
        <w:rPr>
          <w:rFonts w:ascii="Times New Roman" w:hAnsi="Times New Roman" w:cs="Times New Roman"/>
          <w:sz w:val="20"/>
          <w:szCs w:val="20"/>
        </w:rPr>
      </w:pPr>
      <w:r w:rsidRPr="006A7376">
        <w:rPr>
          <w:rFonts w:ascii="Times New Roman" w:hAnsi="Times New Roman" w:cs="Times New Roman"/>
          <w:b/>
          <w:bCs/>
          <w:sz w:val="20"/>
          <w:szCs w:val="20"/>
        </w:rPr>
        <w:t xml:space="preserve">Figure S2. </w:t>
      </w:r>
      <w:r w:rsidRPr="006A7376">
        <w:rPr>
          <w:rFonts w:ascii="Times New Roman" w:hAnsi="Times New Roman" w:cs="Times New Roman"/>
          <w:sz w:val="20"/>
          <w:szCs w:val="20"/>
        </w:rPr>
        <w:t>Docking scores of physicochemically matched decoy compounds and selected polyphenolic actives are shown as score distributions. Actives correspond to gnetin C, quercetin, and resveratrol. The dashed vertical line indicates the top 5 percent ranked fraction based on docking score. One active compound was recovered within the top 5 percent, corresponding to an enrichment factor of approximately 6.4, indicating non-random ranking behavior of the docking protocol at the PD-L1 dimer interface.</w:t>
      </w:r>
    </w:p>
    <w:p w14:paraId="33735CF7" w14:textId="77777777" w:rsidR="007D055B" w:rsidRPr="006A7376" w:rsidRDefault="007D055B" w:rsidP="007D055B">
      <w:pPr>
        <w:spacing w:line="360" w:lineRule="auto"/>
        <w:jc w:val="center"/>
        <w:rPr>
          <w:rFonts w:ascii="Times New Roman" w:hAnsi="Times New Roman" w:cs="Times New Roman"/>
          <w:sz w:val="20"/>
          <w:szCs w:val="20"/>
        </w:rPr>
      </w:pPr>
      <w:r w:rsidRPr="006A7376">
        <w:rPr>
          <w:rFonts w:ascii="Times New Roman" w:hAnsi="Times New Roman" w:cs="Times New Roman"/>
          <w:noProof/>
          <w:sz w:val="20"/>
          <w:szCs w:val="20"/>
        </w:rPr>
        <w:drawing>
          <wp:inline distT="0" distB="0" distL="0" distR="0" wp14:anchorId="72AD4C6C" wp14:editId="7D59C37E">
            <wp:extent cx="5041900" cy="3781425"/>
            <wp:effectExtent l="0" t="0" r="6350" b="9525"/>
            <wp:docPr id="1340921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921410" name="Picture 13409214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1900" cy="3781425"/>
                    </a:xfrm>
                    <a:prstGeom prst="rect">
                      <a:avLst/>
                    </a:prstGeom>
                  </pic:spPr>
                </pic:pic>
              </a:graphicData>
            </a:graphic>
          </wp:inline>
        </w:drawing>
      </w:r>
    </w:p>
    <w:p w14:paraId="6BC23B7B" w14:textId="77777777" w:rsidR="007D055B" w:rsidRPr="006A7376" w:rsidRDefault="007D055B" w:rsidP="007D055B">
      <w:pPr>
        <w:spacing w:line="360" w:lineRule="auto"/>
        <w:jc w:val="center"/>
        <w:rPr>
          <w:rFonts w:ascii="Times New Roman" w:hAnsi="Times New Roman" w:cs="Times New Roman"/>
          <w:sz w:val="20"/>
          <w:szCs w:val="20"/>
        </w:rPr>
      </w:pPr>
      <w:r w:rsidRPr="006A7376">
        <w:rPr>
          <w:rFonts w:ascii="Times New Roman" w:hAnsi="Times New Roman" w:cs="Times New Roman"/>
          <w:b/>
          <w:bCs/>
          <w:sz w:val="20"/>
          <w:szCs w:val="20"/>
        </w:rPr>
        <w:t>Figure S3.</w:t>
      </w:r>
      <w:r w:rsidRPr="006A7376">
        <w:rPr>
          <w:rFonts w:ascii="Times New Roman" w:hAnsi="Times New Roman" w:cs="Times New Roman"/>
          <w:sz w:val="20"/>
          <w:szCs w:val="20"/>
        </w:rPr>
        <w:t xml:space="preserve"> Structural mapping of the predicted CTLA-4 docking site relative to the physiological B7-1 binding interface. The docking cavity is adjacent to, but not fully overlapping with, the B7-1 interaction surface, supporting classification as an interface-compatible exploratory site.</w:t>
      </w:r>
    </w:p>
    <w:p w14:paraId="1570D007" w14:textId="77777777" w:rsidR="007D055B" w:rsidRPr="006A7376" w:rsidRDefault="007D055B" w:rsidP="007D055B">
      <w:pPr>
        <w:spacing w:line="360" w:lineRule="auto"/>
        <w:jc w:val="center"/>
        <w:rPr>
          <w:rFonts w:ascii="Times New Roman" w:hAnsi="Times New Roman" w:cs="Times New Roman"/>
          <w:sz w:val="20"/>
          <w:szCs w:val="20"/>
        </w:rPr>
      </w:pPr>
    </w:p>
    <w:p w14:paraId="23E95737" w14:textId="77777777" w:rsidR="007D055B" w:rsidRPr="006A7376" w:rsidRDefault="007D055B" w:rsidP="007D055B">
      <w:pPr>
        <w:spacing w:line="360" w:lineRule="auto"/>
        <w:jc w:val="center"/>
        <w:rPr>
          <w:rFonts w:ascii="Times New Roman" w:hAnsi="Times New Roman" w:cs="Times New Roman"/>
          <w:sz w:val="20"/>
          <w:szCs w:val="20"/>
        </w:rPr>
      </w:pPr>
      <w:r w:rsidRPr="006A7376">
        <w:rPr>
          <w:rFonts w:ascii="Times New Roman" w:hAnsi="Times New Roman" w:cs="Times New Roman"/>
          <w:b/>
          <w:bCs/>
          <w:noProof/>
          <w:sz w:val="20"/>
          <w:szCs w:val="20"/>
        </w:rPr>
        <w:lastRenderedPageBreak/>
        <w:drawing>
          <wp:inline distT="0" distB="0" distL="0" distR="0" wp14:anchorId="77ADA724" wp14:editId="5BF1FF58">
            <wp:extent cx="2552700" cy="1989113"/>
            <wp:effectExtent l="0" t="0" r="0" b="0"/>
            <wp:docPr id="1270325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25054" name=""/>
                    <pic:cNvPicPr/>
                  </pic:nvPicPr>
                  <pic:blipFill>
                    <a:blip r:embed="rId13"/>
                    <a:stretch>
                      <a:fillRect/>
                    </a:stretch>
                  </pic:blipFill>
                  <pic:spPr>
                    <a:xfrm>
                      <a:off x="0" y="0"/>
                      <a:ext cx="2560859" cy="1995471"/>
                    </a:xfrm>
                    <a:prstGeom prst="rect">
                      <a:avLst/>
                    </a:prstGeom>
                  </pic:spPr>
                </pic:pic>
              </a:graphicData>
            </a:graphic>
          </wp:inline>
        </w:drawing>
      </w:r>
    </w:p>
    <w:p w14:paraId="49C39513" w14:textId="77777777" w:rsidR="007D055B" w:rsidRPr="006A7376" w:rsidRDefault="007D055B" w:rsidP="007D055B">
      <w:pPr>
        <w:spacing w:line="360" w:lineRule="auto"/>
        <w:jc w:val="center"/>
        <w:rPr>
          <w:rFonts w:ascii="Times New Roman" w:hAnsi="Times New Roman" w:cs="Times New Roman"/>
          <w:sz w:val="20"/>
          <w:szCs w:val="20"/>
        </w:rPr>
      </w:pPr>
      <w:r w:rsidRPr="006A7376">
        <w:rPr>
          <w:rFonts w:ascii="Times New Roman" w:hAnsi="Times New Roman" w:cs="Times New Roman"/>
          <w:b/>
          <w:bCs/>
          <w:sz w:val="20"/>
          <w:szCs w:val="20"/>
        </w:rPr>
        <w:t>Figure S4.</w:t>
      </w:r>
      <w:r w:rsidRPr="006A7376">
        <w:rPr>
          <w:rFonts w:ascii="Times New Roman" w:hAnsi="Times New Roman" w:cs="Times New Roman"/>
          <w:sz w:val="20"/>
          <w:szCs w:val="20"/>
        </w:rPr>
        <w:t xml:space="preserve"> Illustrative structural overlay of the docking-predicted ligand pose with a representative molecular dynamics snapshot of the PD-L1 dimer. The MD-derived PD-L1 structure is shown as a semi-transparent cartoon (gray), with interface residues highlighted as orange sticks. The docking-predicted ligand pose is shown as magenta sticks. This overlay is intended for qualitative structural context and is not intended for quantitative RMSD or stability assessment.</w:t>
      </w:r>
    </w:p>
    <w:p w14:paraId="6F3AC74D" w14:textId="77777777" w:rsidR="007D055B" w:rsidRPr="006A7376" w:rsidRDefault="007D055B" w:rsidP="007D055B">
      <w:pPr>
        <w:spacing w:line="360" w:lineRule="auto"/>
        <w:jc w:val="center"/>
        <w:rPr>
          <w:rFonts w:ascii="Times New Roman" w:hAnsi="Times New Roman" w:cs="Times New Roman"/>
          <w:sz w:val="20"/>
          <w:szCs w:val="20"/>
        </w:rPr>
      </w:pPr>
      <w:r w:rsidRPr="006A7376">
        <w:rPr>
          <w:noProof/>
          <w:sz w:val="20"/>
          <w:szCs w:val="20"/>
        </w:rPr>
        <w:drawing>
          <wp:inline distT="0" distB="0" distL="0" distR="0" wp14:anchorId="6DDDC921" wp14:editId="7079E1FC">
            <wp:extent cx="3992880" cy="1943100"/>
            <wp:effectExtent l="0" t="0" r="7620" b="0"/>
            <wp:docPr id="723476582" name="Chart 1">
              <a:extLst xmlns:a="http://schemas.openxmlformats.org/drawingml/2006/main">
                <a:ext uri="{FF2B5EF4-FFF2-40B4-BE49-F238E27FC236}">
                  <a16:creationId xmlns:a16="http://schemas.microsoft.com/office/drawing/2014/main" id="{A7218263-528D-C8A4-A375-CC4CFC215EE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sidRPr="006A7376">
        <w:rPr>
          <w:rFonts w:ascii="Times New Roman" w:hAnsi="Times New Roman" w:cs="Times New Roman"/>
          <w:b/>
          <w:bCs/>
          <w:sz w:val="20"/>
          <w:szCs w:val="20"/>
        </w:rPr>
        <w:br/>
        <w:t>Figure S5.</w:t>
      </w:r>
      <w:r w:rsidRPr="006A7376">
        <w:rPr>
          <w:rFonts w:ascii="Times New Roman" w:hAnsi="Times New Roman" w:cs="Times New Roman"/>
          <w:sz w:val="20"/>
          <w:szCs w:val="20"/>
        </w:rPr>
        <w:t xml:space="preserve"> Distribution of predicted target protein classes for representative polyphenols based on SwissTargetPrediction output.</w:t>
      </w:r>
    </w:p>
    <w:p w14:paraId="3CFCC72A" w14:textId="77777777" w:rsidR="007D055B" w:rsidRPr="006A7376" w:rsidRDefault="007D055B" w:rsidP="007D055B">
      <w:pPr>
        <w:spacing w:line="360" w:lineRule="auto"/>
        <w:jc w:val="center"/>
        <w:rPr>
          <w:rFonts w:ascii="Times New Roman" w:hAnsi="Times New Roman" w:cs="Times New Roman"/>
          <w:sz w:val="20"/>
          <w:szCs w:val="20"/>
        </w:rPr>
      </w:pPr>
      <w:r w:rsidRPr="006A7376">
        <w:rPr>
          <w:rFonts w:ascii="Times New Roman" w:hAnsi="Times New Roman" w:cs="Times New Roman"/>
          <w:b/>
          <w:bCs/>
          <w:noProof/>
          <w:sz w:val="20"/>
          <w:szCs w:val="20"/>
        </w:rPr>
        <w:drawing>
          <wp:inline distT="0" distB="0" distL="0" distR="0" wp14:anchorId="0EDF6913" wp14:editId="2BCEC05E">
            <wp:extent cx="5041900" cy="2073275"/>
            <wp:effectExtent l="0" t="0" r="6350" b="3175"/>
            <wp:docPr id="7441847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4184729" name="Picture 744184729"/>
                    <pic:cNvPicPr/>
                  </pic:nvPicPr>
                  <pic:blipFill>
                    <a:blip r:embed="rId15">
                      <a:extLst>
                        <a:ext uri="{28A0092B-C50C-407E-A947-70E740481C1C}">
                          <a14:useLocalDpi xmlns:a14="http://schemas.microsoft.com/office/drawing/2010/main" val="0"/>
                        </a:ext>
                      </a:extLst>
                    </a:blip>
                    <a:stretch>
                      <a:fillRect/>
                    </a:stretch>
                  </pic:blipFill>
                  <pic:spPr>
                    <a:xfrm>
                      <a:off x="0" y="0"/>
                      <a:ext cx="5041900" cy="2073275"/>
                    </a:xfrm>
                    <a:prstGeom prst="rect">
                      <a:avLst/>
                    </a:prstGeom>
                  </pic:spPr>
                </pic:pic>
              </a:graphicData>
            </a:graphic>
          </wp:inline>
        </w:drawing>
      </w:r>
      <w:r w:rsidRPr="006A7376">
        <w:rPr>
          <w:rFonts w:ascii="Times New Roman" w:hAnsi="Times New Roman" w:cs="Times New Roman"/>
          <w:b/>
          <w:bCs/>
          <w:sz w:val="20"/>
          <w:szCs w:val="20"/>
        </w:rPr>
        <w:br/>
        <w:t>Figure S6.</w:t>
      </w:r>
      <w:r w:rsidRPr="006A7376">
        <w:rPr>
          <w:rFonts w:ascii="Times New Roman" w:hAnsi="Times New Roman" w:cs="Times New Roman"/>
          <w:sz w:val="20"/>
          <w:szCs w:val="20"/>
        </w:rPr>
        <w:t xml:space="preserve"> Protein–protein interaction network centered on CTLA-4 constructed using STRING. Nodes represent predicted targets and seed proteins, while edges denote high-confidence protein–</w:t>
      </w:r>
      <w:r w:rsidRPr="006A7376">
        <w:rPr>
          <w:rFonts w:ascii="Times New Roman" w:hAnsi="Times New Roman" w:cs="Times New Roman"/>
          <w:sz w:val="20"/>
          <w:szCs w:val="20"/>
        </w:rPr>
        <w:lastRenderedPageBreak/>
        <w:t>protein interactions. Node size reflects node degree, and edges represent experimentally supported, curated database, and co-expression interactions.</w:t>
      </w:r>
    </w:p>
    <w:p w14:paraId="48716934" w14:textId="77777777" w:rsidR="007D055B" w:rsidRPr="006A7376" w:rsidRDefault="007D055B" w:rsidP="007D055B">
      <w:pPr>
        <w:spacing w:line="360" w:lineRule="auto"/>
        <w:jc w:val="center"/>
        <w:rPr>
          <w:rFonts w:ascii="Times New Roman" w:hAnsi="Times New Roman" w:cs="Times New Roman"/>
          <w:sz w:val="20"/>
          <w:szCs w:val="20"/>
        </w:rPr>
      </w:pPr>
      <w:r w:rsidRPr="006A7376">
        <w:rPr>
          <w:rFonts w:ascii="Times New Roman" w:hAnsi="Times New Roman" w:cs="Times New Roman"/>
          <w:b/>
          <w:bCs/>
          <w:noProof/>
          <w:sz w:val="20"/>
          <w:szCs w:val="20"/>
        </w:rPr>
        <w:drawing>
          <wp:inline distT="0" distB="0" distL="0" distR="0" wp14:anchorId="35B68E0C" wp14:editId="3774292B">
            <wp:extent cx="5041900" cy="2073275"/>
            <wp:effectExtent l="0" t="0" r="6350" b="3175"/>
            <wp:docPr id="27556167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561675" name="Picture 275561675"/>
                    <pic:cNvPicPr/>
                  </pic:nvPicPr>
                  <pic:blipFill>
                    <a:blip r:embed="rId16">
                      <a:extLst>
                        <a:ext uri="{28A0092B-C50C-407E-A947-70E740481C1C}">
                          <a14:useLocalDpi xmlns:a14="http://schemas.microsoft.com/office/drawing/2010/main" val="0"/>
                        </a:ext>
                      </a:extLst>
                    </a:blip>
                    <a:stretch>
                      <a:fillRect/>
                    </a:stretch>
                  </pic:blipFill>
                  <pic:spPr>
                    <a:xfrm>
                      <a:off x="0" y="0"/>
                      <a:ext cx="5041900" cy="2073275"/>
                    </a:xfrm>
                    <a:prstGeom prst="rect">
                      <a:avLst/>
                    </a:prstGeom>
                  </pic:spPr>
                </pic:pic>
              </a:graphicData>
            </a:graphic>
          </wp:inline>
        </w:drawing>
      </w:r>
      <w:r w:rsidRPr="006A7376">
        <w:rPr>
          <w:rFonts w:ascii="Times New Roman" w:hAnsi="Times New Roman" w:cs="Times New Roman"/>
          <w:b/>
          <w:bCs/>
          <w:sz w:val="20"/>
          <w:szCs w:val="20"/>
        </w:rPr>
        <w:br/>
        <w:t>Figure S7.</w:t>
      </w:r>
      <w:r w:rsidRPr="006A7376">
        <w:rPr>
          <w:rFonts w:ascii="Times New Roman" w:hAnsi="Times New Roman" w:cs="Times New Roman"/>
          <w:sz w:val="20"/>
          <w:szCs w:val="20"/>
        </w:rPr>
        <w:t xml:space="preserve"> Protein–protein interaction network centered on PD-L1 (CD274). Nodes represent predicted targets and seed proteins, while edges denote high-confidence protein–protein interactions. Node size reflects node degree, and edges represent experimentally supported, curated database, and co-expression interactions.</w:t>
      </w:r>
    </w:p>
    <w:p w14:paraId="41DDCCA7" w14:textId="77777777" w:rsidR="007D055B" w:rsidRPr="006A7376" w:rsidRDefault="007D055B" w:rsidP="007D055B">
      <w:pPr>
        <w:spacing w:line="360" w:lineRule="auto"/>
        <w:jc w:val="center"/>
        <w:rPr>
          <w:rFonts w:ascii="Times New Roman" w:hAnsi="Times New Roman" w:cs="Times New Roman"/>
          <w:sz w:val="20"/>
          <w:szCs w:val="20"/>
        </w:rPr>
      </w:pPr>
      <w:r w:rsidRPr="006A7376">
        <w:rPr>
          <w:noProof/>
          <w:sz w:val="20"/>
          <w:szCs w:val="20"/>
        </w:rPr>
        <w:drawing>
          <wp:inline distT="0" distB="0" distL="0" distR="0" wp14:anchorId="7E5C230B" wp14:editId="2FB967B1">
            <wp:extent cx="5041900" cy="4747260"/>
            <wp:effectExtent l="0" t="0" r="6350" b="15240"/>
            <wp:docPr id="733401217" name="Chart 1">
              <a:extLst xmlns:a="http://schemas.openxmlformats.org/drawingml/2006/main">
                <a:ext uri="{FF2B5EF4-FFF2-40B4-BE49-F238E27FC236}">
                  <a16:creationId xmlns:a16="http://schemas.microsoft.com/office/drawing/2014/main" id="{AFC0B36B-B338-EE0A-1D2D-891745E282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500F78F" w14:textId="77777777" w:rsidR="007D055B" w:rsidRPr="006A7376" w:rsidRDefault="007D055B" w:rsidP="007D055B">
      <w:pPr>
        <w:spacing w:line="360" w:lineRule="auto"/>
        <w:jc w:val="center"/>
        <w:rPr>
          <w:rFonts w:ascii="Times New Roman" w:hAnsi="Times New Roman" w:cs="Times New Roman"/>
          <w:sz w:val="20"/>
          <w:szCs w:val="20"/>
        </w:rPr>
      </w:pPr>
      <w:r w:rsidRPr="006A7376">
        <w:rPr>
          <w:noProof/>
          <w:sz w:val="20"/>
          <w:szCs w:val="20"/>
        </w:rPr>
        <w:lastRenderedPageBreak/>
        <w:drawing>
          <wp:inline distT="0" distB="0" distL="0" distR="0" wp14:anchorId="76CBAD2A" wp14:editId="7EBF297A">
            <wp:extent cx="5041900" cy="3539490"/>
            <wp:effectExtent l="0" t="0" r="6350" b="3810"/>
            <wp:docPr id="1458887196" name="Chart 1">
              <a:extLst xmlns:a="http://schemas.openxmlformats.org/drawingml/2006/main">
                <a:ext uri="{FF2B5EF4-FFF2-40B4-BE49-F238E27FC236}">
                  <a16:creationId xmlns:a16="http://schemas.microsoft.com/office/drawing/2014/main" id="{FF19763A-6E58-6A3C-2F4F-8EFB255B68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126216F" w14:textId="77777777" w:rsidR="007D055B" w:rsidRPr="006A7376" w:rsidRDefault="007D055B" w:rsidP="007D055B">
      <w:pPr>
        <w:spacing w:line="360" w:lineRule="auto"/>
        <w:jc w:val="center"/>
        <w:rPr>
          <w:rFonts w:ascii="Times New Roman" w:hAnsi="Times New Roman" w:cs="Times New Roman"/>
          <w:sz w:val="20"/>
          <w:szCs w:val="20"/>
        </w:rPr>
      </w:pPr>
      <w:r w:rsidRPr="006A7376">
        <w:rPr>
          <w:noProof/>
          <w:sz w:val="20"/>
          <w:szCs w:val="20"/>
        </w:rPr>
        <w:drawing>
          <wp:inline distT="0" distB="0" distL="0" distR="0" wp14:anchorId="06A72C07" wp14:editId="5650C203">
            <wp:extent cx="5038344" cy="2743200"/>
            <wp:effectExtent l="0" t="0" r="10160" b="0"/>
            <wp:docPr id="772836047" name="Chart 1">
              <a:extLst xmlns:a="http://schemas.openxmlformats.org/drawingml/2006/main">
                <a:ext uri="{FF2B5EF4-FFF2-40B4-BE49-F238E27FC236}">
                  <a16:creationId xmlns:a16="http://schemas.microsoft.com/office/drawing/2014/main" id="{D4A5674B-E5CD-B763-F231-F40DC5243C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6A7376">
        <w:rPr>
          <w:rFonts w:ascii="Times New Roman" w:hAnsi="Times New Roman" w:cs="Times New Roman"/>
          <w:b/>
          <w:bCs/>
          <w:sz w:val="20"/>
          <w:szCs w:val="20"/>
        </w:rPr>
        <w:br/>
        <w:t>Figure S8.</w:t>
      </w:r>
      <w:r w:rsidRPr="006A7376">
        <w:rPr>
          <w:rFonts w:ascii="Times New Roman" w:hAnsi="Times New Roman" w:cs="Times New Roman"/>
          <w:sz w:val="20"/>
          <w:szCs w:val="20"/>
        </w:rPr>
        <w:t xml:space="preserve"> Functional enrichment of the CTLA-4–centered network showing Gene Ontology Biological Process terms (A), KEGG pathways (B), and Reactome pathways (C). Bubble size corresponds to gene count, and −log10(FDR) indicates enrichment significance.</w:t>
      </w:r>
    </w:p>
    <w:p w14:paraId="6EDD7C28" w14:textId="77777777" w:rsidR="007D055B" w:rsidRPr="006A7376" w:rsidRDefault="007D055B" w:rsidP="007D055B">
      <w:pPr>
        <w:spacing w:line="360" w:lineRule="auto"/>
        <w:jc w:val="both"/>
        <w:rPr>
          <w:rFonts w:ascii="Times New Roman" w:hAnsi="Times New Roman" w:cs="Times New Roman"/>
          <w:sz w:val="20"/>
          <w:szCs w:val="20"/>
        </w:rPr>
      </w:pPr>
      <w:r w:rsidRPr="006A7376">
        <w:rPr>
          <w:noProof/>
          <w:sz w:val="20"/>
          <w:szCs w:val="20"/>
        </w:rPr>
        <w:lastRenderedPageBreak/>
        <w:drawing>
          <wp:inline distT="0" distB="0" distL="0" distR="0" wp14:anchorId="732FD324" wp14:editId="0CC3F50E">
            <wp:extent cx="5038344" cy="4099560"/>
            <wp:effectExtent l="0" t="0" r="10160" b="15240"/>
            <wp:docPr id="1041388924" name="Chart 1">
              <a:extLst xmlns:a="http://schemas.openxmlformats.org/drawingml/2006/main">
                <a:ext uri="{FF2B5EF4-FFF2-40B4-BE49-F238E27FC236}">
                  <a16:creationId xmlns:a16="http://schemas.microsoft.com/office/drawing/2014/main" id="{2E5C0B54-4783-B151-382D-2259C8CAD5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1F10CC2" w14:textId="77777777" w:rsidR="007D055B" w:rsidRPr="006A7376" w:rsidRDefault="007D055B" w:rsidP="007D055B">
      <w:pPr>
        <w:spacing w:line="360" w:lineRule="auto"/>
        <w:jc w:val="center"/>
        <w:rPr>
          <w:rFonts w:ascii="Times New Roman" w:hAnsi="Times New Roman" w:cs="Times New Roman"/>
          <w:sz w:val="20"/>
          <w:szCs w:val="20"/>
        </w:rPr>
      </w:pPr>
      <w:r w:rsidRPr="006A7376">
        <w:rPr>
          <w:noProof/>
          <w:sz w:val="20"/>
          <w:szCs w:val="20"/>
        </w:rPr>
        <w:drawing>
          <wp:inline distT="0" distB="0" distL="0" distR="0" wp14:anchorId="549CDFFE" wp14:editId="2149FF2C">
            <wp:extent cx="5038344" cy="2743200"/>
            <wp:effectExtent l="0" t="0" r="10160" b="0"/>
            <wp:docPr id="1752638870" name="Chart 1">
              <a:extLst xmlns:a="http://schemas.openxmlformats.org/drawingml/2006/main">
                <a:ext uri="{FF2B5EF4-FFF2-40B4-BE49-F238E27FC236}">
                  <a16:creationId xmlns:a16="http://schemas.microsoft.com/office/drawing/2014/main" id="{62F366E9-EF94-E76E-4104-1F21130632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57833CA0" w14:textId="77777777" w:rsidR="007D055B" w:rsidRPr="006A7376" w:rsidRDefault="007D055B" w:rsidP="007D055B">
      <w:pPr>
        <w:spacing w:line="360" w:lineRule="auto"/>
        <w:jc w:val="center"/>
        <w:rPr>
          <w:rFonts w:ascii="Times New Roman" w:hAnsi="Times New Roman" w:cs="Times New Roman"/>
          <w:sz w:val="20"/>
          <w:szCs w:val="20"/>
        </w:rPr>
      </w:pPr>
      <w:r w:rsidRPr="006A7376">
        <w:rPr>
          <w:noProof/>
          <w:sz w:val="20"/>
          <w:szCs w:val="20"/>
        </w:rPr>
        <w:lastRenderedPageBreak/>
        <w:drawing>
          <wp:inline distT="0" distB="0" distL="0" distR="0" wp14:anchorId="2ECF040A" wp14:editId="56DAD14B">
            <wp:extent cx="5038344" cy="2743200"/>
            <wp:effectExtent l="0" t="0" r="10160" b="0"/>
            <wp:docPr id="620728438" name="Chart 1">
              <a:extLst xmlns:a="http://schemas.openxmlformats.org/drawingml/2006/main">
                <a:ext uri="{FF2B5EF4-FFF2-40B4-BE49-F238E27FC236}">
                  <a16:creationId xmlns:a16="http://schemas.microsoft.com/office/drawing/2014/main" id="{591A6D5F-5263-0229-09CA-B1A8AAEC49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Pr="006A7376">
        <w:rPr>
          <w:rFonts w:ascii="Times New Roman" w:hAnsi="Times New Roman" w:cs="Times New Roman"/>
          <w:b/>
          <w:bCs/>
          <w:sz w:val="20"/>
          <w:szCs w:val="20"/>
        </w:rPr>
        <w:br/>
        <w:t>Figure S9.</w:t>
      </w:r>
      <w:r w:rsidRPr="006A7376">
        <w:rPr>
          <w:rFonts w:ascii="Times New Roman" w:hAnsi="Times New Roman" w:cs="Times New Roman"/>
          <w:sz w:val="20"/>
          <w:szCs w:val="20"/>
        </w:rPr>
        <w:t xml:space="preserve"> Functional enrichment of the PD-L1–centered network showing Gene Ontology Biological Process terms (A), KEGG pathways (B), and Reactome pathways (C). Bubble size corresponds to gene count, and −log10(FDR) indicates enrichment significance.</w:t>
      </w:r>
    </w:p>
    <w:p w14:paraId="01356C4E" w14:textId="77777777" w:rsidR="00717DF5" w:rsidRDefault="00717DF5"/>
    <w:sectPr w:rsidR="00717DF5" w:rsidSect="007D055B">
      <w:footerReference w:type="default" r:id="rId23"/>
      <w:pgSz w:w="11909" w:h="16834" w:code="9"/>
      <w:pgMar w:top="1699" w:right="1701" w:bottom="1701" w:left="226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7737662"/>
      <w:docPartObj>
        <w:docPartGallery w:val="Page Numbers (Bottom of Page)"/>
        <w:docPartUnique/>
      </w:docPartObj>
    </w:sdtPr>
    <w:sdtEndPr>
      <w:rPr>
        <w:rFonts w:ascii="Times New Roman" w:hAnsi="Times New Roman" w:cs="Times New Roman"/>
        <w:noProof/>
        <w:sz w:val="20"/>
        <w:szCs w:val="24"/>
      </w:rPr>
    </w:sdtEndPr>
    <w:sdtContent>
      <w:p w14:paraId="239C0609" w14:textId="77777777" w:rsidR="007D055B" w:rsidRPr="006A7376" w:rsidRDefault="007D055B">
        <w:pPr>
          <w:pStyle w:val="Footer"/>
          <w:jc w:val="right"/>
          <w:rPr>
            <w:rFonts w:ascii="Times New Roman" w:hAnsi="Times New Roman" w:cs="Times New Roman"/>
            <w:sz w:val="20"/>
            <w:szCs w:val="24"/>
          </w:rPr>
        </w:pPr>
        <w:r w:rsidRPr="006A7376">
          <w:rPr>
            <w:rFonts w:ascii="Times New Roman" w:hAnsi="Times New Roman" w:cs="Times New Roman"/>
            <w:sz w:val="20"/>
            <w:szCs w:val="24"/>
          </w:rPr>
          <w:fldChar w:fldCharType="begin"/>
        </w:r>
        <w:r w:rsidRPr="006A7376">
          <w:rPr>
            <w:rFonts w:ascii="Times New Roman" w:hAnsi="Times New Roman" w:cs="Times New Roman"/>
            <w:sz w:val="20"/>
            <w:szCs w:val="24"/>
          </w:rPr>
          <w:instrText xml:space="preserve"> PAGE   \* MERGEFORMAT </w:instrText>
        </w:r>
        <w:r w:rsidRPr="006A7376">
          <w:rPr>
            <w:rFonts w:ascii="Times New Roman" w:hAnsi="Times New Roman" w:cs="Times New Roman"/>
            <w:sz w:val="20"/>
            <w:szCs w:val="24"/>
          </w:rPr>
          <w:fldChar w:fldCharType="separate"/>
        </w:r>
        <w:r w:rsidRPr="006A7376">
          <w:rPr>
            <w:rFonts w:ascii="Times New Roman" w:hAnsi="Times New Roman" w:cs="Times New Roman"/>
            <w:noProof/>
            <w:sz w:val="20"/>
            <w:szCs w:val="24"/>
          </w:rPr>
          <w:t>2</w:t>
        </w:r>
        <w:r w:rsidRPr="006A7376">
          <w:rPr>
            <w:rFonts w:ascii="Times New Roman" w:hAnsi="Times New Roman" w:cs="Times New Roman"/>
            <w:noProof/>
            <w:sz w:val="20"/>
            <w:szCs w:val="24"/>
          </w:rPr>
          <w:fldChar w:fldCharType="end"/>
        </w:r>
      </w:p>
    </w:sdtContent>
  </w:sdt>
  <w:p w14:paraId="33A04E4D" w14:textId="77777777" w:rsidR="007D055B" w:rsidRDefault="007D055B">
    <w:pPr>
      <w:pStyle w:val="Footer"/>
    </w:pPr>
  </w:p>
</w:ft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BD4C3D"/>
    <w:multiLevelType w:val="multilevel"/>
    <w:tmpl w:val="0F245C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4984EE9"/>
    <w:multiLevelType w:val="multilevel"/>
    <w:tmpl w:val="F3049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9711CB"/>
    <w:multiLevelType w:val="multilevel"/>
    <w:tmpl w:val="9E1AF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943453"/>
    <w:multiLevelType w:val="multilevel"/>
    <w:tmpl w:val="41B8A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AE31DC"/>
    <w:multiLevelType w:val="multilevel"/>
    <w:tmpl w:val="0EC06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8EB1B23"/>
    <w:multiLevelType w:val="multilevel"/>
    <w:tmpl w:val="9D10F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AE73B05"/>
    <w:multiLevelType w:val="multilevel"/>
    <w:tmpl w:val="D7B85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E7F1520"/>
    <w:multiLevelType w:val="multilevel"/>
    <w:tmpl w:val="30E63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460810"/>
    <w:multiLevelType w:val="multilevel"/>
    <w:tmpl w:val="D7AEE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7F730CA"/>
    <w:multiLevelType w:val="multilevel"/>
    <w:tmpl w:val="E1A89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27262CC"/>
    <w:multiLevelType w:val="multilevel"/>
    <w:tmpl w:val="E6F28D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53F4C5D"/>
    <w:multiLevelType w:val="multilevel"/>
    <w:tmpl w:val="A6BA9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74D109E"/>
    <w:multiLevelType w:val="multilevel"/>
    <w:tmpl w:val="7C8229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5376091">
    <w:abstractNumId w:val="7"/>
  </w:num>
  <w:num w:numId="2" w16cid:durableId="1743796203">
    <w:abstractNumId w:val="8"/>
  </w:num>
  <w:num w:numId="3" w16cid:durableId="826287859">
    <w:abstractNumId w:val="9"/>
  </w:num>
  <w:num w:numId="4" w16cid:durableId="434902582">
    <w:abstractNumId w:val="12"/>
  </w:num>
  <w:num w:numId="5" w16cid:durableId="197546593">
    <w:abstractNumId w:val="6"/>
  </w:num>
  <w:num w:numId="6" w16cid:durableId="1969892364">
    <w:abstractNumId w:val="0"/>
  </w:num>
  <w:num w:numId="7" w16cid:durableId="1889878428">
    <w:abstractNumId w:val="1"/>
  </w:num>
  <w:num w:numId="8" w16cid:durableId="292373319">
    <w:abstractNumId w:val="3"/>
  </w:num>
  <w:num w:numId="9" w16cid:durableId="820271709">
    <w:abstractNumId w:val="4"/>
  </w:num>
  <w:num w:numId="10" w16cid:durableId="1827284426">
    <w:abstractNumId w:val="11"/>
  </w:num>
  <w:num w:numId="11" w16cid:durableId="955597482">
    <w:abstractNumId w:val="10"/>
  </w:num>
  <w:num w:numId="12" w16cid:durableId="898244013">
    <w:abstractNumId w:val="5"/>
  </w:num>
  <w:num w:numId="13" w16cid:durableId="1879599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055B"/>
    <w:rsid w:val="00031D7C"/>
    <w:rsid w:val="00043070"/>
    <w:rsid w:val="001C541A"/>
    <w:rsid w:val="00273EC3"/>
    <w:rsid w:val="00285AF6"/>
    <w:rsid w:val="00285E3B"/>
    <w:rsid w:val="00373494"/>
    <w:rsid w:val="004C74A5"/>
    <w:rsid w:val="00654E25"/>
    <w:rsid w:val="00702082"/>
    <w:rsid w:val="00717DF5"/>
    <w:rsid w:val="00792F74"/>
    <w:rsid w:val="007D055B"/>
    <w:rsid w:val="00916D4C"/>
    <w:rsid w:val="009C328E"/>
    <w:rsid w:val="00A34661"/>
    <w:rsid w:val="00B97648"/>
    <w:rsid w:val="00BA34DA"/>
    <w:rsid w:val="00BC3CB6"/>
    <w:rsid w:val="00CC656F"/>
    <w:rsid w:val="00CF416A"/>
    <w:rsid w:val="00D65901"/>
    <w:rsid w:val="00DB0F08"/>
    <w:rsid w:val="00DF009D"/>
    <w:rsid w:val="00EC111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034C5A"/>
  <w15:chartTrackingRefBased/>
  <w15:docId w15:val="{CA511E0F-5CE2-44E2-AF01-36901B6D16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30"/>
        <w:lang w:val="en-US" w:eastAsia="en-US" w:bidi="th-TH"/>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055B"/>
  </w:style>
  <w:style w:type="paragraph" w:styleId="Heading1">
    <w:name w:val="heading 1"/>
    <w:basedOn w:val="Normal"/>
    <w:next w:val="Normal"/>
    <w:link w:val="Heading1Char"/>
    <w:uiPriority w:val="9"/>
    <w:qFormat/>
    <w:rsid w:val="007D055B"/>
    <w:pPr>
      <w:keepNext/>
      <w:keepLines/>
      <w:spacing w:before="360" w:after="80"/>
      <w:outlineLvl w:val="0"/>
    </w:pPr>
    <w:rPr>
      <w:rFonts w:asciiTheme="majorHAnsi" w:eastAsiaTheme="majorEastAsia" w:hAnsiTheme="majorHAnsi" w:cstheme="majorBidi"/>
      <w:color w:val="2F5496" w:themeColor="accent1" w:themeShade="BF"/>
      <w:sz w:val="40"/>
      <w:szCs w:val="50"/>
    </w:rPr>
  </w:style>
  <w:style w:type="paragraph" w:styleId="Heading2">
    <w:name w:val="heading 2"/>
    <w:basedOn w:val="Normal"/>
    <w:next w:val="Normal"/>
    <w:link w:val="Heading2Char"/>
    <w:uiPriority w:val="9"/>
    <w:semiHidden/>
    <w:unhideWhenUsed/>
    <w:qFormat/>
    <w:rsid w:val="007D055B"/>
    <w:pPr>
      <w:keepNext/>
      <w:keepLines/>
      <w:spacing w:before="160" w:after="80"/>
      <w:outlineLvl w:val="1"/>
    </w:pPr>
    <w:rPr>
      <w:rFonts w:asciiTheme="majorHAnsi" w:eastAsiaTheme="majorEastAsia" w:hAnsiTheme="majorHAnsi" w:cstheme="majorBidi"/>
      <w:color w:val="2F5496" w:themeColor="accent1" w:themeShade="BF"/>
      <w:sz w:val="32"/>
      <w:szCs w:val="40"/>
    </w:rPr>
  </w:style>
  <w:style w:type="paragraph" w:styleId="Heading3">
    <w:name w:val="heading 3"/>
    <w:basedOn w:val="Normal"/>
    <w:next w:val="Normal"/>
    <w:link w:val="Heading3Char"/>
    <w:uiPriority w:val="9"/>
    <w:semiHidden/>
    <w:unhideWhenUsed/>
    <w:qFormat/>
    <w:rsid w:val="007D055B"/>
    <w:pPr>
      <w:keepNext/>
      <w:keepLines/>
      <w:spacing w:before="160" w:after="80"/>
      <w:outlineLvl w:val="2"/>
    </w:pPr>
    <w:rPr>
      <w:rFonts w:eastAsiaTheme="majorEastAsia" w:cstheme="majorBidi"/>
      <w:color w:val="2F5496" w:themeColor="accent1" w:themeShade="BF"/>
      <w:sz w:val="28"/>
      <w:szCs w:val="35"/>
    </w:rPr>
  </w:style>
  <w:style w:type="paragraph" w:styleId="Heading4">
    <w:name w:val="heading 4"/>
    <w:basedOn w:val="Normal"/>
    <w:next w:val="Normal"/>
    <w:link w:val="Heading4Char"/>
    <w:uiPriority w:val="9"/>
    <w:semiHidden/>
    <w:unhideWhenUsed/>
    <w:qFormat/>
    <w:rsid w:val="007D055B"/>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D055B"/>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D055B"/>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D055B"/>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D055B"/>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D055B"/>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055B"/>
    <w:rPr>
      <w:rFonts w:asciiTheme="majorHAnsi" w:eastAsiaTheme="majorEastAsia" w:hAnsiTheme="majorHAnsi" w:cstheme="majorBidi"/>
      <w:color w:val="2F5496" w:themeColor="accent1" w:themeShade="BF"/>
      <w:sz w:val="40"/>
      <w:szCs w:val="50"/>
    </w:rPr>
  </w:style>
  <w:style w:type="character" w:customStyle="1" w:styleId="Heading2Char">
    <w:name w:val="Heading 2 Char"/>
    <w:basedOn w:val="DefaultParagraphFont"/>
    <w:link w:val="Heading2"/>
    <w:uiPriority w:val="9"/>
    <w:semiHidden/>
    <w:rsid w:val="007D055B"/>
    <w:rPr>
      <w:rFonts w:asciiTheme="majorHAnsi" w:eastAsiaTheme="majorEastAsia" w:hAnsiTheme="majorHAnsi" w:cstheme="majorBidi"/>
      <w:color w:val="2F5496" w:themeColor="accent1" w:themeShade="BF"/>
      <w:sz w:val="32"/>
      <w:szCs w:val="40"/>
    </w:rPr>
  </w:style>
  <w:style w:type="character" w:customStyle="1" w:styleId="Heading3Char">
    <w:name w:val="Heading 3 Char"/>
    <w:basedOn w:val="DefaultParagraphFont"/>
    <w:link w:val="Heading3"/>
    <w:uiPriority w:val="9"/>
    <w:semiHidden/>
    <w:rsid w:val="007D055B"/>
    <w:rPr>
      <w:rFonts w:eastAsiaTheme="majorEastAsia" w:cstheme="majorBidi"/>
      <w:color w:val="2F5496" w:themeColor="accent1" w:themeShade="BF"/>
      <w:sz w:val="28"/>
      <w:szCs w:val="35"/>
    </w:rPr>
  </w:style>
  <w:style w:type="character" w:customStyle="1" w:styleId="Heading4Char">
    <w:name w:val="Heading 4 Char"/>
    <w:basedOn w:val="DefaultParagraphFont"/>
    <w:link w:val="Heading4"/>
    <w:uiPriority w:val="9"/>
    <w:semiHidden/>
    <w:rsid w:val="007D055B"/>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D055B"/>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D055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D055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D055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D055B"/>
    <w:rPr>
      <w:rFonts w:eastAsiaTheme="majorEastAsia" w:cstheme="majorBidi"/>
      <w:color w:val="272727" w:themeColor="text1" w:themeTint="D8"/>
    </w:rPr>
  </w:style>
  <w:style w:type="paragraph" w:styleId="Title">
    <w:name w:val="Title"/>
    <w:basedOn w:val="Normal"/>
    <w:next w:val="Normal"/>
    <w:link w:val="TitleChar"/>
    <w:uiPriority w:val="10"/>
    <w:qFormat/>
    <w:rsid w:val="007D055B"/>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7D055B"/>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7D055B"/>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7D055B"/>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7D055B"/>
    <w:pPr>
      <w:spacing w:before="160"/>
      <w:jc w:val="center"/>
    </w:pPr>
    <w:rPr>
      <w:i/>
      <w:iCs/>
      <w:color w:val="404040" w:themeColor="text1" w:themeTint="BF"/>
    </w:rPr>
  </w:style>
  <w:style w:type="character" w:customStyle="1" w:styleId="QuoteChar">
    <w:name w:val="Quote Char"/>
    <w:basedOn w:val="DefaultParagraphFont"/>
    <w:link w:val="Quote"/>
    <w:uiPriority w:val="29"/>
    <w:rsid w:val="007D055B"/>
    <w:rPr>
      <w:i/>
      <w:iCs/>
      <w:color w:val="404040" w:themeColor="text1" w:themeTint="BF"/>
    </w:rPr>
  </w:style>
  <w:style w:type="paragraph" w:styleId="ListParagraph">
    <w:name w:val="List Paragraph"/>
    <w:basedOn w:val="Normal"/>
    <w:uiPriority w:val="34"/>
    <w:qFormat/>
    <w:rsid w:val="007D055B"/>
    <w:pPr>
      <w:ind w:left="720"/>
      <w:contextualSpacing/>
    </w:pPr>
  </w:style>
  <w:style w:type="character" w:styleId="IntenseEmphasis">
    <w:name w:val="Intense Emphasis"/>
    <w:basedOn w:val="DefaultParagraphFont"/>
    <w:uiPriority w:val="21"/>
    <w:qFormat/>
    <w:rsid w:val="007D055B"/>
    <w:rPr>
      <w:i/>
      <w:iCs/>
      <w:color w:val="2F5496" w:themeColor="accent1" w:themeShade="BF"/>
    </w:rPr>
  </w:style>
  <w:style w:type="paragraph" w:styleId="IntenseQuote">
    <w:name w:val="Intense Quote"/>
    <w:basedOn w:val="Normal"/>
    <w:next w:val="Normal"/>
    <w:link w:val="IntenseQuoteChar"/>
    <w:uiPriority w:val="30"/>
    <w:qFormat/>
    <w:rsid w:val="007D055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D055B"/>
    <w:rPr>
      <w:i/>
      <w:iCs/>
      <w:color w:val="2F5496" w:themeColor="accent1" w:themeShade="BF"/>
    </w:rPr>
  </w:style>
  <w:style w:type="character" w:styleId="IntenseReference">
    <w:name w:val="Intense Reference"/>
    <w:basedOn w:val="DefaultParagraphFont"/>
    <w:uiPriority w:val="32"/>
    <w:qFormat/>
    <w:rsid w:val="007D055B"/>
    <w:rPr>
      <w:b/>
      <w:bCs/>
      <w:smallCaps/>
      <w:color w:val="2F5496" w:themeColor="accent1" w:themeShade="BF"/>
      <w:spacing w:val="5"/>
    </w:rPr>
  </w:style>
  <w:style w:type="paragraph" w:styleId="Bibliography">
    <w:name w:val="Bibliography"/>
    <w:basedOn w:val="Normal"/>
    <w:next w:val="Normal"/>
    <w:uiPriority w:val="37"/>
    <w:unhideWhenUsed/>
    <w:rsid w:val="007D055B"/>
    <w:pPr>
      <w:tabs>
        <w:tab w:val="left" w:pos="504"/>
      </w:tabs>
      <w:spacing w:after="0" w:line="240" w:lineRule="auto"/>
      <w:ind w:left="504" w:hanging="504"/>
    </w:pPr>
  </w:style>
  <w:style w:type="table" w:styleId="TableGrid">
    <w:name w:val="Table Grid"/>
    <w:basedOn w:val="TableNormal"/>
    <w:uiPriority w:val="39"/>
    <w:rsid w:val="007D05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D05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055B"/>
  </w:style>
  <w:style w:type="paragraph" w:styleId="Footer">
    <w:name w:val="footer"/>
    <w:basedOn w:val="Normal"/>
    <w:link w:val="FooterChar"/>
    <w:uiPriority w:val="99"/>
    <w:unhideWhenUsed/>
    <w:rsid w:val="007D05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055B"/>
  </w:style>
  <w:style w:type="character" w:styleId="Hyperlink">
    <w:name w:val="Hyperlink"/>
    <w:basedOn w:val="DefaultParagraphFont"/>
    <w:uiPriority w:val="99"/>
    <w:unhideWhenUsed/>
    <w:rsid w:val="007D055B"/>
    <w:rPr>
      <w:color w:val="0563C1" w:themeColor="hyperlink"/>
      <w:u w:val="single"/>
    </w:rPr>
  </w:style>
  <w:style w:type="character" w:styleId="UnresolvedMention">
    <w:name w:val="Unresolved Mention"/>
    <w:basedOn w:val="DefaultParagraphFont"/>
    <w:uiPriority w:val="99"/>
    <w:semiHidden/>
    <w:unhideWhenUsed/>
    <w:rsid w:val="007D055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customXml" Target="ink/ink2.xml"/><Relationship Id="rId13" Type="http://schemas.openxmlformats.org/officeDocument/2006/relationships/image" Target="media/image6.png"/><Relationship Id="rId18" Type="http://schemas.openxmlformats.org/officeDocument/2006/relationships/chart" Target="charts/chart3.xml"/><Relationship Id="rId3" Type="http://schemas.openxmlformats.org/officeDocument/2006/relationships/settings" Target="settings.xml"/><Relationship Id="rId21" Type="http://schemas.openxmlformats.org/officeDocument/2006/relationships/chart" Target="charts/chart6.xml"/><Relationship Id="rId7" Type="http://schemas.openxmlformats.org/officeDocument/2006/relationships/image" Target="media/image2.png"/><Relationship Id="rId12" Type="http://schemas.openxmlformats.org/officeDocument/2006/relationships/image" Target="media/image5.png"/><Relationship Id="rId17" Type="http://schemas.openxmlformats.org/officeDocument/2006/relationships/chart" Target="charts/chart2.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chart" Target="charts/chart5.xml"/><Relationship Id="rId1" Type="http://schemas.openxmlformats.org/officeDocument/2006/relationships/numbering" Target="numbering.xml"/><Relationship Id="rId6" Type="http://schemas.openxmlformats.org/officeDocument/2006/relationships/customXml" Target="ink/ink1.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chart" Target="charts/chart4.xml"/><Relationship Id="rId4" Type="http://schemas.openxmlformats.org/officeDocument/2006/relationships/webSettings" Target="webSettings.xml"/><Relationship Id="rId9" Type="http://schemas.openxmlformats.org/officeDocument/2006/relationships/customXml" Target="ink/ink3.xml"/><Relationship Id="rId14" Type="http://schemas.openxmlformats.org/officeDocument/2006/relationships/chart" Target="charts/chart1.xml"/><Relationship Id="rId22" Type="http://schemas.openxmlformats.org/officeDocument/2006/relationships/chart" Target="charts/chart7.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Fakultas%20Kedokteran\Penelitian\In%20Silico\polyphenols%20as%20dual%20modulators%20of%20PD-L1%20and%20CTLA-4\STRING\CTLA-4\Figure%20enrichment%20CTLA-4.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1.xml"/></Relationships>
</file>

<file path=word/charts/_rels/chart3.xml.rels><?xml version="1.0" encoding="UTF-8" standalone="yes"?>
<Relationships xmlns="http://schemas.openxmlformats.org/package/2006/relationships"><Relationship Id="rId3" Type="http://schemas.openxmlformats.org/officeDocument/2006/relationships/oleObject" Target="file:///D:\Fakultas%20Kedokteran\Penelitian\In%20Silico\polyphenols%20as%20dual%20modulators%20of%20PD-L1%20and%20CTLA-4\STRING\CTLA-4\Figure%20enrichment%20CTLA-4.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2.xml"/></Relationships>
</file>

<file path=word/charts/_rels/chart4.xml.rels><?xml version="1.0" encoding="UTF-8" standalone="yes"?>
<Relationships xmlns="http://schemas.openxmlformats.org/package/2006/relationships"><Relationship Id="rId3" Type="http://schemas.openxmlformats.org/officeDocument/2006/relationships/oleObject" Target="file:///D:\Fakultas%20Kedokteran\Penelitian\In%20Silico\polyphenols%20as%20dual%20modulators%20of%20PD-L1%20and%20CTLA-4\STRING\CTLA-4\Figure%20enrichment%20CTLA-4.xlsx" TargetMode="Externa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chartUserShapes" Target="../drawings/drawing3.xml"/></Relationships>
</file>

<file path=word/charts/_rels/chart5.xml.rels><?xml version="1.0" encoding="UTF-8" standalone="yes"?>
<Relationships xmlns="http://schemas.openxmlformats.org/package/2006/relationships"><Relationship Id="rId3" Type="http://schemas.openxmlformats.org/officeDocument/2006/relationships/oleObject" Target="file:///D:\Fakultas%20Kedokteran\Penelitian\In%20Silico\polyphenols%20as%20dual%20modulators%20of%20PD-L1%20and%20CTLA-4\STRING\PD-L1\Enrichment%20Table%20PD-L1.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4.xml"/></Relationships>
</file>

<file path=word/charts/_rels/chart6.xml.rels><?xml version="1.0" encoding="UTF-8" standalone="yes"?>
<Relationships xmlns="http://schemas.openxmlformats.org/package/2006/relationships"><Relationship Id="rId3" Type="http://schemas.openxmlformats.org/officeDocument/2006/relationships/oleObject" Target="file:///D:\Fakultas%20Kedokteran\Penelitian\In%20Silico\polyphenols%20as%20dual%20modulators%20of%20PD-L1%20and%20CTLA-4\STRING\PD-L1\Enrichment%20Table%20PD-L1.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5.xml"/></Relationships>
</file>

<file path=word/charts/_rels/chart7.xml.rels><?xml version="1.0" encoding="UTF-8" standalone="yes"?>
<Relationships xmlns="http://schemas.openxmlformats.org/package/2006/relationships"><Relationship Id="rId3" Type="http://schemas.openxmlformats.org/officeDocument/2006/relationships/oleObject" Target="file:///D:\Fakultas%20Kedokteran\Penelitian\In%20Silico\polyphenols%20as%20dual%20modulators%20of%20PD-L1%20and%20CTLA-4\STRING\PD-L1\Enrichment%20Table%20PD-L1.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barChart>
        <c:barDir val="bar"/>
        <c:grouping val="clustered"/>
        <c:varyColors val="0"/>
        <c:ser>
          <c:idx val="0"/>
          <c:order val="0"/>
          <c:tx>
            <c:strRef>
              <c:f>Sheet1!$C$5</c:f>
              <c:strCache>
                <c:ptCount val="1"/>
                <c:pt idx="0">
                  <c:v>Gnetin C</c:v>
                </c:pt>
              </c:strCache>
            </c:strRef>
          </c:tx>
          <c:spPr>
            <a:solidFill>
              <a:schemeClr val="dk1">
                <a:tint val="88500"/>
              </a:schemeClr>
            </a:solidFill>
            <a:ln>
              <a:noFill/>
            </a:ln>
            <a:effectLst/>
          </c:spPr>
          <c:invertIfNegative val="0"/>
          <c:cat>
            <c:strRef>
              <c:f>Sheet1!$D$4:$G$4</c:f>
              <c:strCache>
                <c:ptCount val="4"/>
                <c:pt idx="0">
                  <c:v>Nuclear receptor</c:v>
                </c:pt>
                <c:pt idx="1">
                  <c:v>Kinase</c:v>
                </c:pt>
                <c:pt idx="2">
                  <c:v>Enzyme</c:v>
                </c:pt>
                <c:pt idx="3">
                  <c:v>Other</c:v>
                </c:pt>
              </c:strCache>
            </c:strRef>
          </c:cat>
          <c:val>
            <c:numRef>
              <c:f>Sheet1!$D$5:$G$5</c:f>
              <c:numCache>
                <c:formatCode>General</c:formatCode>
                <c:ptCount val="4"/>
                <c:pt idx="0">
                  <c:v>4</c:v>
                </c:pt>
                <c:pt idx="1">
                  <c:v>4</c:v>
                </c:pt>
                <c:pt idx="2">
                  <c:v>2</c:v>
                </c:pt>
                <c:pt idx="3">
                  <c:v>0</c:v>
                </c:pt>
              </c:numCache>
            </c:numRef>
          </c:val>
          <c:extLst>
            <c:ext xmlns:c16="http://schemas.microsoft.com/office/drawing/2014/chart" uri="{C3380CC4-5D6E-409C-BE32-E72D297353CC}">
              <c16:uniqueId val="{00000000-B9F0-4BB4-A594-DC6B15E5D713}"/>
            </c:ext>
          </c:extLst>
        </c:ser>
        <c:ser>
          <c:idx val="1"/>
          <c:order val="1"/>
          <c:tx>
            <c:strRef>
              <c:f>Sheet1!$C$6</c:f>
              <c:strCache>
                <c:ptCount val="1"/>
                <c:pt idx="0">
                  <c:v>Quercetin</c:v>
                </c:pt>
              </c:strCache>
            </c:strRef>
          </c:tx>
          <c:spPr>
            <a:solidFill>
              <a:schemeClr val="dk1">
                <a:tint val="55000"/>
              </a:schemeClr>
            </a:solidFill>
            <a:ln>
              <a:noFill/>
            </a:ln>
            <a:effectLst/>
          </c:spPr>
          <c:invertIfNegative val="0"/>
          <c:cat>
            <c:strRef>
              <c:f>Sheet1!$D$4:$G$4</c:f>
              <c:strCache>
                <c:ptCount val="4"/>
                <c:pt idx="0">
                  <c:v>Nuclear receptor</c:v>
                </c:pt>
                <c:pt idx="1">
                  <c:v>Kinase</c:v>
                </c:pt>
                <c:pt idx="2">
                  <c:v>Enzyme</c:v>
                </c:pt>
                <c:pt idx="3">
                  <c:v>Other</c:v>
                </c:pt>
              </c:strCache>
            </c:strRef>
          </c:cat>
          <c:val>
            <c:numRef>
              <c:f>Sheet1!$D$6:$G$6</c:f>
              <c:numCache>
                <c:formatCode>General</c:formatCode>
                <c:ptCount val="4"/>
                <c:pt idx="0">
                  <c:v>4</c:v>
                </c:pt>
                <c:pt idx="1">
                  <c:v>4</c:v>
                </c:pt>
                <c:pt idx="2">
                  <c:v>2</c:v>
                </c:pt>
                <c:pt idx="3">
                  <c:v>0</c:v>
                </c:pt>
              </c:numCache>
            </c:numRef>
          </c:val>
          <c:extLst>
            <c:ext xmlns:c16="http://schemas.microsoft.com/office/drawing/2014/chart" uri="{C3380CC4-5D6E-409C-BE32-E72D297353CC}">
              <c16:uniqueId val="{00000001-B9F0-4BB4-A594-DC6B15E5D713}"/>
            </c:ext>
          </c:extLst>
        </c:ser>
        <c:ser>
          <c:idx val="2"/>
          <c:order val="2"/>
          <c:tx>
            <c:strRef>
              <c:f>Sheet1!$C$7</c:f>
              <c:strCache>
                <c:ptCount val="1"/>
                <c:pt idx="0">
                  <c:v>Resveratrol</c:v>
                </c:pt>
              </c:strCache>
            </c:strRef>
          </c:tx>
          <c:spPr>
            <a:solidFill>
              <a:schemeClr val="dk1">
                <a:tint val="75000"/>
              </a:schemeClr>
            </a:solidFill>
            <a:ln>
              <a:noFill/>
            </a:ln>
            <a:effectLst/>
          </c:spPr>
          <c:invertIfNegative val="0"/>
          <c:cat>
            <c:strRef>
              <c:f>Sheet1!$D$4:$G$4</c:f>
              <c:strCache>
                <c:ptCount val="4"/>
                <c:pt idx="0">
                  <c:v>Nuclear receptor</c:v>
                </c:pt>
                <c:pt idx="1">
                  <c:v>Kinase</c:v>
                </c:pt>
                <c:pt idx="2">
                  <c:v>Enzyme</c:v>
                </c:pt>
                <c:pt idx="3">
                  <c:v>Other</c:v>
                </c:pt>
              </c:strCache>
            </c:strRef>
          </c:cat>
          <c:val>
            <c:numRef>
              <c:f>Sheet1!$D$7:$G$7</c:f>
              <c:numCache>
                <c:formatCode>General</c:formatCode>
                <c:ptCount val="4"/>
                <c:pt idx="0">
                  <c:v>4</c:v>
                </c:pt>
                <c:pt idx="1">
                  <c:v>4</c:v>
                </c:pt>
                <c:pt idx="2">
                  <c:v>2</c:v>
                </c:pt>
                <c:pt idx="3">
                  <c:v>0</c:v>
                </c:pt>
              </c:numCache>
            </c:numRef>
          </c:val>
          <c:extLst>
            <c:ext xmlns:c16="http://schemas.microsoft.com/office/drawing/2014/chart" uri="{C3380CC4-5D6E-409C-BE32-E72D297353CC}">
              <c16:uniqueId val="{00000002-B9F0-4BB4-A594-DC6B15E5D713}"/>
            </c:ext>
          </c:extLst>
        </c:ser>
        <c:dLbls>
          <c:showLegendKey val="0"/>
          <c:showVal val="0"/>
          <c:showCatName val="0"/>
          <c:showSerName val="0"/>
          <c:showPercent val="0"/>
          <c:showBubbleSize val="0"/>
        </c:dLbls>
        <c:gapWidth val="182"/>
        <c:axId val="1640530095"/>
        <c:axId val="1640525775"/>
      </c:barChart>
      <c:catAx>
        <c:axId val="16405300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0525775"/>
        <c:crosses val="autoZero"/>
        <c:auto val="1"/>
        <c:lblAlgn val="ctr"/>
        <c:lblOffset val="100"/>
        <c:noMultiLvlLbl val="0"/>
      </c:catAx>
      <c:valAx>
        <c:axId val="1640525775"/>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40530095"/>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Top enriched Gene Ontology Biological Process terms in the CTLA-4–centered network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ubbleChart>
        <c:varyColors val="0"/>
        <c:ser>
          <c:idx val="0"/>
          <c:order val="0"/>
          <c:tx>
            <c:v>GO Biological Process</c:v>
          </c:tx>
          <c:spPr>
            <a:solidFill>
              <a:schemeClr val="accent1">
                <a:alpha val="75000"/>
              </a:schemeClr>
            </a:solidFill>
            <a:ln>
              <a:solidFill>
                <a:schemeClr val="accent1">
                  <a:alpha val="80000"/>
                </a:schemeClr>
              </a:solidFill>
            </a:ln>
            <a:effectLst/>
          </c:spPr>
          <c:invertIfNegative val="0"/>
          <c:dLbls>
            <c:dLbl>
              <c:idx val="0"/>
              <c:layout>
                <c:manualLayout>
                  <c:x val="-0.25692695214105793"/>
                  <c:y val="3.4777956126270736E-2"/>
                </c:manualLayout>
              </c:layout>
              <c:tx>
                <c:rich>
                  <a:bodyPr/>
                  <a:lstStyle/>
                  <a:p>
                    <a:fld id="{E9859EFF-AB03-4552-913B-830BAFC2945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0318-4531-BE1D-AB2E71A69BE8}"/>
                </c:ext>
              </c:extLst>
            </c:dLbl>
            <c:dLbl>
              <c:idx val="1"/>
              <c:layout>
                <c:manualLayout>
                  <c:x val="-9.2358294949867961E-17"/>
                  <c:y val="-0.10804148076996013"/>
                </c:manualLayout>
              </c:layout>
              <c:tx>
                <c:rich>
                  <a:bodyPr/>
                  <a:lstStyle/>
                  <a:p>
                    <a:fld id="{DB7E7464-7313-4A44-8ACA-C4EA30C76A8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0318-4531-BE1D-AB2E71A69BE8}"/>
                </c:ext>
              </c:extLst>
            </c:dLbl>
            <c:dLbl>
              <c:idx val="2"/>
              <c:layout>
                <c:manualLayout>
                  <c:x val="-0.3501259445843829"/>
                  <c:y val="3.607681062339118E-2"/>
                </c:manualLayout>
              </c:layout>
              <c:tx>
                <c:rich>
                  <a:bodyPr/>
                  <a:lstStyle/>
                  <a:p>
                    <a:fld id="{8B395A1D-B845-4A36-B73C-3A52EBCF75B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0318-4531-BE1D-AB2E71A69BE8}"/>
                </c:ext>
              </c:extLst>
            </c:dLbl>
            <c:dLbl>
              <c:idx val="3"/>
              <c:layout>
                <c:manualLayout>
                  <c:x val="-2.4920565659771212E-2"/>
                  <c:y val="-4.5478865703584802E-2"/>
                </c:manualLayout>
              </c:layout>
              <c:tx>
                <c:rich>
                  <a:bodyPr/>
                  <a:lstStyle/>
                  <a:p>
                    <a:fld id="{0D1CCF75-FFCA-4B46-9F34-197504E3D34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0318-4531-BE1D-AB2E71A69BE8}"/>
                </c:ext>
              </c:extLst>
            </c:dLbl>
            <c:dLbl>
              <c:idx val="4"/>
              <c:layout>
                <c:manualLayout>
                  <c:x val="-0.30982367758186397"/>
                  <c:y val="2.6752273943285082E-2"/>
                </c:manualLayout>
              </c:layout>
              <c:tx>
                <c:rich>
                  <a:bodyPr/>
                  <a:lstStyle/>
                  <a:p>
                    <a:fld id="{25EC092E-D462-420D-A5A7-087A3A25224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0318-4531-BE1D-AB2E71A69BE8}"/>
                </c:ext>
              </c:extLst>
            </c:dLbl>
            <c:dLbl>
              <c:idx val="5"/>
              <c:layout>
                <c:manualLayout>
                  <c:x val="-1.2594458438287154E-2"/>
                  <c:y val="-4.0128410914927817E-2"/>
                </c:manualLayout>
              </c:layout>
              <c:tx>
                <c:rich>
                  <a:bodyPr/>
                  <a:lstStyle/>
                  <a:p>
                    <a:fld id="{3E9947D7-0912-4388-8532-A5EDE2C99D1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0318-4531-BE1D-AB2E71A69BE8}"/>
                </c:ext>
              </c:extLst>
            </c:dLbl>
            <c:dLbl>
              <c:idx val="6"/>
              <c:layout>
                <c:manualLayout>
                  <c:x val="-0.33501259445843828"/>
                  <c:y val="1.0700909577314071E-2"/>
                </c:manualLayout>
              </c:layout>
              <c:tx>
                <c:rich>
                  <a:bodyPr/>
                  <a:lstStyle/>
                  <a:p>
                    <a:fld id="{C95BEA5A-F2D9-454B-9088-40C0ABF3422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0318-4531-BE1D-AB2E71A69BE8}"/>
                </c:ext>
              </c:extLst>
            </c:dLbl>
            <c:dLbl>
              <c:idx val="7"/>
              <c:layout>
                <c:manualLayout>
                  <c:x val="-7.556675062972292E-3"/>
                  <c:y val="-2.6752273943285179E-2"/>
                </c:manualLayout>
              </c:layout>
              <c:tx>
                <c:rich>
                  <a:bodyPr/>
                  <a:lstStyle/>
                  <a:p>
                    <a:fld id="{3FB5222C-7A4F-4CF9-BF0E-B4715BC69E2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0318-4531-BE1D-AB2E71A69BE8}"/>
                </c:ext>
              </c:extLst>
            </c:dLbl>
            <c:dLbl>
              <c:idx val="8"/>
              <c:layout>
                <c:manualLayout>
                  <c:x val="-0.34005037783375314"/>
                  <c:y val="1.337613697164259E-2"/>
                </c:manualLayout>
              </c:layout>
              <c:tx>
                <c:rich>
                  <a:bodyPr/>
                  <a:lstStyle/>
                  <a:p>
                    <a:fld id="{84476B90-488C-429E-BA95-A7E669BDAAD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0318-4531-BE1D-AB2E71A69BE8}"/>
                </c:ext>
              </c:extLst>
            </c:dLbl>
            <c:dLbl>
              <c:idx val="9"/>
              <c:layout>
                <c:manualLayout>
                  <c:x val="-1.5113350125944584E-2"/>
                  <c:y val="-3.2102728731942212E-2"/>
                </c:manualLayout>
              </c:layout>
              <c:tx>
                <c:rich>
                  <a:bodyPr/>
                  <a:lstStyle/>
                  <a:p>
                    <a:fld id="{8CF4A0DA-1B2B-49E0-BCD1-5387774B268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0318-4531-BE1D-AB2E71A69BE8}"/>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Sheet1!$I$31:$I$40</c:f>
              <c:numCache>
                <c:formatCode>General</c:formatCode>
                <c:ptCount val="10"/>
                <c:pt idx="0">
                  <c:v>5.9208187539523749</c:v>
                </c:pt>
                <c:pt idx="1">
                  <c:v>5.4559319556497243</c:v>
                </c:pt>
                <c:pt idx="2">
                  <c:v>5.0915149811213505</c:v>
                </c:pt>
                <c:pt idx="3">
                  <c:v>4.7212463990471711</c:v>
                </c:pt>
                <c:pt idx="4">
                  <c:v>4.5686362358410131</c:v>
                </c:pt>
                <c:pt idx="5">
                  <c:v>4.356547323513813</c:v>
                </c:pt>
                <c:pt idx="6">
                  <c:v>4.1674910872937634</c:v>
                </c:pt>
                <c:pt idx="7">
                  <c:v>3.9586073148417751</c:v>
                </c:pt>
                <c:pt idx="8">
                  <c:v>3.795880017344075</c:v>
                </c:pt>
                <c:pt idx="9">
                  <c:v>3.6382721639824069</c:v>
                </c:pt>
              </c:numCache>
            </c:numRef>
          </c:xVal>
          <c:yVal>
            <c:numRef>
              <c:f>Sheet1!$L$56:$L$65</c:f>
              <c:numCache>
                <c:formatCode>General</c:formatCode>
                <c:ptCount val="10"/>
                <c:pt idx="0">
                  <c:v>1</c:v>
                </c:pt>
                <c:pt idx="1">
                  <c:v>2</c:v>
                </c:pt>
                <c:pt idx="2">
                  <c:v>3</c:v>
                </c:pt>
                <c:pt idx="3">
                  <c:v>4</c:v>
                </c:pt>
                <c:pt idx="4">
                  <c:v>5</c:v>
                </c:pt>
                <c:pt idx="5">
                  <c:v>6</c:v>
                </c:pt>
                <c:pt idx="6">
                  <c:v>7</c:v>
                </c:pt>
                <c:pt idx="7">
                  <c:v>8</c:v>
                </c:pt>
                <c:pt idx="8">
                  <c:v>9</c:v>
                </c:pt>
                <c:pt idx="9">
                  <c:v>10</c:v>
                </c:pt>
              </c:numCache>
            </c:numRef>
          </c:yVal>
          <c:bubbleSize>
            <c:numRef>
              <c:f>Sheet1!$G$31:$G$40</c:f>
              <c:numCache>
                <c:formatCode>General</c:formatCode>
                <c:ptCount val="10"/>
                <c:pt idx="0">
                  <c:v>12</c:v>
                </c:pt>
                <c:pt idx="1">
                  <c:v>10</c:v>
                </c:pt>
                <c:pt idx="2">
                  <c:v>9</c:v>
                </c:pt>
                <c:pt idx="3">
                  <c:v>8</c:v>
                </c:pt>
                <c:pt idx="4">
                  <c:v>8</c:v>
                </c:pt>
                <c:pt idx="5">
                  <c:v>7</c:v>
                </c:pt>
                <c:pt idx="6">
                  <c:v>7</c:v>
                </c:pt>
                <c:pt idx="7">
                  <c:v>6</c:v>
                </c:pt>
                <c:pt idx="8">
                  <c:v>6</c:v>
                </c:pt>
                <c:pt idx="9">
                  <c:v>6</c:v>
                </c:pt>
              </c:numCache>
            </c:numRef>
          </c:bubbleSize>
          <c:bubble3D val="0"/>
          <c:extLst>
            <c:ext xmlns:c15="http://schemas.microsoft.com/office/drawing/2012/chart" uri="{02D57815-91ED-43cb-92C2-25804820EDAC}">
              <c15:datalabelsRange>
                <c15:f>Sheet1!$F$31:$F$40</c15:f>
                <c15:dlblRangeCache>
                  <c:ptCount val="10"/>
                  <c:pt idx="0">
                    <c:v>T cell activation</c:v>
                  </c:pt>
                  <c:pt idx="1">
                    <c:v>Regulation of immune response</c:v>
                  </c:pt>
                  <c:pt idx="2">
                    <c:v>Costimulatory signaling pathway</c:v>
                  </c:pt>
                  <c:pt idx="3">
                    <c:v>Adaptive immune response</c:v>
                  </c:pt>
                  <c:pt idx="4">
                    <c:v>Lymphocyte activation</c:v>
                  </c:pt>
                  <c:pt idx="5">
                    <c:v>Positive regulation of T cell activation</c:v>
                  </c:pt>
                  <c:pt idx="6">
                    <c:v>Immune system process</c:v>
                  </c:pt>
                  <c:pt idx="7">
                    <c:v>Cytokine-mediated signaling pathway</c:v>
                  </c:pt>
                  <c:pt idx="8">
                    <c:v>T cell receptor signaling pathway</c:v>
                  </c:pt>
                  <c:pt idx="9">
                    <c:v>Regulation of leukocyte activation</c:v>
                  </c:pt>
                </c15:dlblRangeCache>
              </c15:datalabelsRange>
            </c:ext>
            <c:ext xmlns:c16="http://schemas.microsoft.com/office/drawing/2014/chart" uri="{C3380CC4-5D6E-409C-BE32-E72D297353CC}">
              <c16:uniqueId val="{0000000A-0318-4531-BE1D-AB2E71A69BE8}"/>
            </c:ext>
          </c:extLst>
        </c:ser>
        <c:dLbls>
          <c:showLegendKey val="0"/>
          <c:showVal val="1"/>
          <c:showCatName val="0"/>
          <c:showSerName val="0"/>
          <c:showPercent val="0"/>
          <c:showBubbleSize val="0"/>
        </c:dLbls>
        <c:bubbleScale val="100"/>
        <c:showNegBubbles val="0"/>
        <c:axId val="1623173952"/>
        <c:axId val="1623172992"/>
      </c:bubbleChart>
      <c:valAx>
        <c:axId val="1623173952"/>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−log10(FDR)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one"/>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23172992"/>
        <c:crosses val="autoZero"/>
        <c:crossBetween val="midCat"/>
      </c:valAx>
      <c:valAx>
        <c:axId val="1623172992"/>
        <c:scaling>
          <c:orientation val="minMax"/>
          <c:max val="11"/>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GO Biological Process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one"/>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623173952"/>
        <c:crosses val="autoZero"/>
        <c:crossBetween val="midCat"/>
        <c:majorUnit val="1"/>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Enriched KEGG pathways in the CTLA-4–centered network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ubbleChart>
        <c:varyColors val="0"/>
        <c:ser>
          <c:idx val="0"/>
          <c:order val="0"/>
          <c:tx>
            <c:v>KEGG Pathway Enrichment</c:v>
          </c:tx>
          <c:spPr>
            <a:solidFill>
              <a:schemeClr val="accent1">
                <a:alpha val="75000"/>
              </a:schemeClr>
            </a:solidFill>
            <a:ln>
              <a:noFill/>
            </a:ln>
            <a:effectLst/>
          </c:spPr>
          <c:invertIfNegative val="0"/>
          <c:dLbls>
            <c:dLbl>
              <c:idx val="0"/>
              <c:layout>
                <c:manualLayout>
                  <c:x val="0"/>
                  <c:y val="-0.11615289208332275"/>
                </c:manualLayout>
              </c:layout>
              <c:tx>
                <c:rich>
                  <a:bodyPr/>
                  <a:lstStyle/>
                  <a:p>
                    <a:fld id="{2B1E4BF2-D001-4524-B4FC-1B2E697B5A2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44D1-4064-9791-2423D00AA2F8}"/>
                </c:ext>
              </c:extLst>
            </c:dLbl>
            <c:dLbl>
              <c:idx val="1"/>
              <c:layout>
                <c:manualLayout>
                  <c:x val="-0.32226819254646066"/>
                  <c:y val="3.5187272742683136E-2"/>
                </c:manualLayout>
              </c:layout>
              <c:tx>
                <c:rich>
                  <a:bodyPr/>
                  <a:lstStyle/>
                  <a:p>
                    <a:fld id="{E03DE7A9-7B3A-4B99-A406-34DD098D748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44D1-4064-9791-2423D00AA2F8}"/>
                </c:ext>
              </c:extLst>
            </c:dLbl>
            <c:dLbl>
              <c:idx val="2"/>
              <c:layout>
                <c:manualLayout>
                  <c:x val="-1.2594458438287154E-2"/>
                  <c:y val="-2.1528525296017224E-2"/>
                </c:manualLayout>
              </c:layout>
              <c:tx>
                <c:rich>
                  <a:bodyPr/>
                  <a:lstStyle/>
                  <a:p>
                    <a:fld id="{6AC8C7CE-42CE-425B-B3C1-6933CA4EDAA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44D1-4064-9791-2423D00AA2F8}"/>
                </c:ext>
              </c:extLst>
            </c:dLbl>
            <c:dLbl>
              <c:idx val="3"/>
              <c:layout>
                <c:manualLayout>
                  <c:x val="-0.31219272369714857"/>
                  <c:y val="2.8011204481792718E-2"/>
                </c:manualLayout>
              </c:layout>
              <c:tx>
                <c:rich>
                  <a:bodyPr/>
                  <a:lstStyle/>
                  <a:p>
                    <a:fld id="{AE02D70A-C432-42DE-8A76-1DA0B75814B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44D1-4064-9791-2423D00AA2F8}"/>
                </c:ext>
              </c:extLst>
            </c:dLbl>
            <c:dLbl>
              <c:idx val="4"/>
              <c:layout>
                <c:manualLayout>
                  <c:x val="-1.4749262536873156E-2"/>
                  <c:y val="-2.1008403361344571E-2"/>
                </c:manualLayout>
              </c:layout>
              <c:tx>
                <c:rich>
                  <a:bodyPr/>
                  <a:lstStyle/>
                  <a:p>
                    <a:fld id="{34BF1376-7D50-4B3B-B976-370A6701CFA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44D1-4064-9791-2423D00AA2F8}"/>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Sheet1!$O$32:$O$36</c:f>
              <c:numCache>
                <c:formatCode>General</c:formatCode>
                <c:ptCount val="5"/>
                <c:pt idx="0">
                  <c:v>4.6197887582883936</c:v>
                </c:pt>
                <c:pt idx="1">
                  <c:v>4.3098039199714862</c:v>
                </c:pt>
                <c:pt idx="2">
                  <c:v>4.1426675035687319</c:v>
                </c:pt>
                <c:pt idx="3">
                  <c:v>3.9208187539523753</c:v>
                </c:pt>
                <c:pt idx="4">
                  <c:v>3.7212463990471711</c:v>
                </c:pt>
              </c:numCache>
            </c:numRef>
          </c:xVal>
          <c:yVal>
            <c:numRef>
              <c:f>Sheet1!$L$56:$L$60</c:f>
              <c:numCache>
                <c:formatCode>General</c:formatCode>
                <c:ptCount val="5"/>
                <c:pt idx="0">
                  <c:v>1</c:v>
                </c:pt>
                <c:pt idx="1">
                  <c:v>2</c:v>
                </c:pt>
                <c:pt idx="2">
                  <c:v>3</c:v>
                </c:pt>
                <c:pt idx="3">
                  <c:v>4</c:v>
                </c:pt>
                <c:pt idx="4">
                  <c:v>5</c:v>
                </c:pt>
              </c:numCache>
            </c:numRef>
          </c:yVal>
          <c:bubbleSize>
            <c:numRef>
              <c:f>Sheet1!$M$32:$M$36</c:f>
              <c:numCache>
                <c:formatCode>General</c:formatCode>
                <c:ptCount val="5"/>
                <c:pt idx="0">
                  <c:v>9</c:v>
                </c:pt>
                <c:pt idx="1">
                  <c:v>8</c:v>
                </c:pt>
                <c:pt idx="2">
                  <c:v>7</c:v>
                </c:pt>
                <c:pt idx="3">
                  <c:v>6</c:v>
                </c:pt>
                <c:pt idx="4">
                  <c:v>6</c:v>
                </c:pt>
              </c:numCache>
            </c:numRef>
          </c:bubbleSize>
          <c:bubble3D val="0"/>
          <c:extLst>
            <c:ext xmlns:c15="http://schemas.microsoft.com/office/drawing/2012/chart" uri="{02D57815-91ED-43cb-92C2-25804820EDAC}">
              <c15:datalabelsRange>
                <c15:f>Sheet1!$L$32:$L$36</c15:f>
                <c15:dlblRangeCache>
                  <c:ptCount val="5"/>
                  <c:pt idx="0">
                    <c:v>T cell receptor signaling pathway</c:v>
                  </c:pt>
                  <c:pt idx="1">
                    <c:v>Th1 and Th2 cell differentiation</c:v>
                  </c:pt>
                  <c:pt idx="2">
                    <c:v>Th17 cell differentiation</c:v>
                  </c:pt>
                  <c:pt idx="3">
                    <c:v>PD-L1 expression and PD-1 checkpoint pathway</c:v>
                  </c:pt>
                  <c:pt idx="4">
                    <c:v>Cytokine–cytokine receptor interaction</c:v>
                  </c:pt>
                </c15:dlblRangeCache>
              </c15:datalabelsRange>
            </c:ext>
            <c:ext xmlns:c16="http://schemas.microsoft.com/office/drawing/2014/chart" uri="{C3380CC4-5D6E-409C-BE32-E72D297353CC}">
              <c16:uniqueId val="{00000005-44D1-4064-9791-2423D00AA2F8}"/>
            </c:ext>
          </c:extLst>
        </c:ser>
        <c:dLbls>
          <c:showLegendKey val="0"/>
          <c:showVal val="1"/>
          <c:showCatName val="0"/>
          <c:showSerName val="0"/>
          <c:showPercent val="0"/>
          <c:showBubbleSize val="0"/>
        </c:dLbls>
        <c:bubbleScale val="100"/>
        <c:showNegBubbles val="0"/>
        <c:axId val="1803017920"/>
        <c:axId val="1803024160"/>
      </c:bubbleChart>
      <c:valAx>
        <c:axId val="1803017920"/>
        <c:scaling>
          <c:orientation val="minMax"/>
        </c:scaling>
        <c:delete val="0"/>
        <c:axPos val="b"/>
        <c:minorGridlines>
          <c:spPr>
            <a:ln w="9525" cap="flat" cmpd="sng" algn="ctr">
              <a:noFill/>
              <a:round/>
            </a:ln>
            <a:effectLst/>
          </c:spPr>
        </c:min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−log10(FDR)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one"/>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03024160"/>
        <c:crosses val="autoZero"/>
        <c:crossBetween val="midCat"/>
      </c:valAx>
      <c:valAx>
        <c:axId val="1803024160"/>
        <c:scaling>
          <c:orientation val="minMax"/>
          <c:max val="6"/>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KEGG pathway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one"/>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803017920"/>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Enriched Reactome pathways in the CTLA-4–centered network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ubbleChart>
        <c:varyColors val="0"/>
        <c:ser>
          <c:idx val="0"/>
          <c:order val="0"/>
          <c:tx>
            <c:v>Reactome pathways</c:v>
          </c:tx>
          <c:spPr>
            <a:solidFill>
              <a:schemeClr val="accent1">
                <a:alpha val="75000"/>
              </a:schemeClr>
            </a:solidFill>
            <a:ln>
              <a:solidFill>
                <a:schemeClr val="accent1">
                  <a:alpha val="80000"/>
                </a:schemeClr>
              </a:solidFill>
            </a:ln>
            <a:effectLst/>
          </c:spPr>
          <c:invertIfNegative val="0"/>
          <c:dLbls>
            <c:dLbl>
              <c:idx val="0"/>
              <c:layout>
                <c:manualLayout>
                  <c:x val="-1.9444444444444545E-2"/>
                  <c:y val="-4.1666666666666664E-2"/>
                </c:manualLayout>
              </c:layout>
              <c:tx>
                <c:rich>
                  <a:bodyPr/>
                  <a:lstStyle/>
                  <a:p>
                    <a:fld id="{69D04917-E3BF-4279-A44D-70593DCBE14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97D7-4A21-B140-75422ED84861}"/>
                </c:ext>
              </c:extLst>
            </c:dLbl>
            <c:dLbl>
              <c:idx val="1"/>
              <c:layout>
                <c:manualLayout>
                  <c:x val="-0.3"/>
                  <c:y val="1.3888888888888888E-2"/>
                </c:manualLayout>
              </c:layout>
              <c:tx>
                <c:rich>
                  <a:bodyPr/>
                  <a:lstStyle/>
                  <a:p>
                    <a:fld id="{3ECEA56B-1CB9-4465-A029-B4F5309BA8F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97D7-4A21-B140-75422ED84861}"/>
                </c:ext>
              </c:extLst>
            </c:dLbl>
            <c:dLbl>
              <c:idx val="2"/>
              <c:tx>
                <c:rich>
                  <a:bodyPr/>
                  <a:lstStyle/>
                  <a:p>
                    <a:fld id="{129E7B31-38F8-4EE1-B3F6-9F1611C463D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97D7-4A21-B140-75422ED84861}"/>
                </c:ext>
              </c:extLst>
            </c:dLbl>
            <c:dLbl>
              <c:idx val="3"/>
              <c:layout>
                <c:manualLayout>
                  <c:x val="-0.30000000000000004"/>
                  <c:y val="1.8518518518518476E-2"/>
                </c:manualLayout>
              </c:layout>
              <c:tx>
                <c:rich>
                  <a:bodyPr/>
                  <a:lstStyle/>
                  <a:p>
                    <a:fld id="{B6083CC5-7584-48D3-8424-B4FFAB39D19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97D7-4A21-B140-75422ED84861}"/>
                </c:ext>
              </c:extLst>
            </c:dLbl>
            <c:dLbl>
              <c:idx val="4"/>
              <c:layout>
                <c:manualLayout>
                  <c:x val="-1.1111111111111112E-2"/>
                  <c:y val="-2.3148148148148192E-2"/>
                </c:manualLayout>
              </c:layout>
              <c:tx>
                <c:rich>
                  <a:bodyPr/>
                  <a:lstStyle/>
                  <a:p>
                    <a:fld id="{FAE87F0C-AC12-4485-9A35-BEDD3BC642F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97D7-4A21-B140-75422ED8486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Sheet1!$O$43:$O$47</c:f>
              <c:numCache>
                <c:formatCode>General</c:formatCode>
                <c:ptCount val="5"/>
                <c:pt idx="0">
                  <c:v>4.5086383061657269</c:v>
                </c:pt>
                <c:pt idx="1">
                  <c:v>4.1938200260161125</c:v>
                </c:pt>
                <c:pt idx="2">
                  <c:v>4.0132282657337548</c:v>
                </c:pt>
                <c:pt idx="3">
                  <c:v>3.8239087409443187</c:v>
                </c:pt>
                <c:pt idx="4">
                  <c:v>3.6575773191777938</c:v>
                </c:pt>
              </c:numCache>
            </c:numRef>
          </c:xVal>
          <c:yVal>
            <c:numRef>
              <c:f>Sheet1!$L$56:$L$60</c:f>
              <c:numCache>
                <c:formatCode>General</c:formatCode>
                <c:ptCount val="5"/>
                <c:pt idx="0">
                  <c:v>1</c:v>
                </c:pt>
                <c:pt idx="1">
                  <c:v>2</c:v>
                </c:pt>
                <c:pt idx="2">
                  <c:v>3</c:v>
                </c:pt>
                <c:pt idx="3">
                  <c:v>4</c:v>
                </c:pt>
                <c:pt idx="4">
                  <c:v>5</c:v>
                </c:pt>
              </c:numCache>
            </c:numRef>
          </c:yVal>
          <c:bubbleSize>
            <c:numRef>
              <c:f>Sheet1!$M$43:$M$47</c:f>
              <c:numCache>
                <c:formatCode>General</c:formatCode>
                <c:ptCount val="5"/>
                <c:pt idx="0">
                  <c:v>8</c:v>
                </c:pt>
                <c:pt idx="1">
                  <c:v>7</c:v>
                </c:pt>
                <c:pt idx="2">
                  <c:v>7</c:v>
                </c:pt>
                <c:pt idx="3">
                  <c:v>6</c:v>
                </c:pt>
                <c:pt idx="4">
                  <c:v>6</c:v>
                </c:pt>
              </c:numCache>
            </c:numRef>
          </c:bubbleSize>
          <c:bubble3D val="0"/>
          <c:extLst>
            <c:ext xmlns:c15="http://schemas.microsoft.com/office/drawing/2012/chart" uri="{02D57815-91ED-43cb-92C2-25804820EDAC}">
              <c15:datalabelsRange>
                <c15:f>Sheet1!$L$43:$L$47</c15:f>
                <c15:dlblRangeCache>
                  <c:ptCount val="5"/>
                  <c:pt idx="0">
                    <c:v>Costimulation by the CD28 family</c:v>
                  </c:pt>
                  <c:pt idx="1">
                    <c:v>Immune system</c:v>
                  </c:pt>
                  <c:pt idx="2">
                    <c:v>TCR signaling</c:v>
                  </c:pt>
                  <c:pt idx="3">
                    <c:v>Adaptive immune system</c:v>
                  </c:pt>
                  <c:pt idx="4">
                    <c:v>Interleukin signaling</c:v>
                  </c:pt>
                </c15:dlblRangeCache>
              </c15:datalabelsRange>
            </c:ext>
            <c:ext xmlns:c16="http://schemas.microsoft.com/office/drawing/2014/chart" uri="{C3380CC4-5D6E-409C-BE32-E72D297353CC}">
              <c16:uniqueId val="{00000005-97D7-4A21-B140-75422ED84861}"/>
            </c:ext>
          </c:extLst>
        </c:ser>
        <c:dLbls>
          <c:showLegendKey val="0"/>
          <c:showVal val="1"/>
          <c:showCatName val="0"/>
          <c:showSerName val="0"/>
          <c:showPercent val="0"/>
          <c:showBubbleSize val="0"/>
        </c:dLbls>
        <c:bubbleScale val="100"/>
        <c:showNegBubbles val="0"/>
        <c:axId val="1184562608"/>
        <c:axId val="1184546288"/>
      </c:bubbleChart>
      <c:valAx>
        <c:axId val="11845626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−log10(FDR)</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one"/>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4546288"/>
        <c:crosses val="autoZero"/>
        <c:crossBetween val="midCat"/>
      </c:valAx>
      <c:valAx>
        <c:axId val="1184546288"/>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Reactome pathway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one"/>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84562608"/>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Enriched Gene Ontology Biological Process terms in the PD-L1–centered network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ubbleChart>
        <c:varyColors val="0"/>
        <c:ser>
          <c:idx val="0"/>
          <c:order val="0"/>
          <c:tx>
            <c:v>Enriched Gene Ontology Biological Process terms in the CTLA-4–centered network</c:v>
          </c:tx>
          <c:spPr>
            <a:solidFill>
              <a:schemeClr val="accent1">
                <a:alpha val="75000"/>
              </a:schemeClr>
            </a:solidFill>
            <a:ln>
              <a:noFill/>
            </a:ln>
            <a:effectLst/>
          </c:spPr>
          <c:invertIfNegative val="0"/>
          <c:dLbls>
            <c:dLbl>
              <c:idx val="0"/>
              <c:layout>
                <c:manualLayout>
                  <c:x val="-0.2916666666666668"/>
                  <c:y val="3.4076827757125158E-2"/>
                </c:manualLayout>
              </c:layout>
              <c:tx>
                <c:rich>
                  <a:bodyPr/>
                  <a:lstStyle/>
                  <a:p>
                    <a:fld id="{0776B039-522D-4074-8A3F-DE77E9818E2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720B-4EAD-8218-D28C784F0FFC}"/>
                </c:ext>
              </c:extLst>
            </c:dLbl>
            <c:dLbl>
              <c:idx val="1"/>
              <c:layout>
                <c:manualLayout>
                  <c:x val="-1.0185067526415994E-16"/>
                  <c:y val="-5.2664188351920806E-2"/>
                </c:manualLayout>
              </c:layout>
              <c:tx>
                <c:rich>
                  <a:bodyPr/>
                  <a:lstStyle/>
                  <a:p>
                    <a:fld id="{DFFBB5BA-D59B-4D53-9934-C2454E45068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720B-4EAD-8218-D28C784F0FFC}"/>
                </c:ext>
              </c:extLst>
            </c:dLbl>
            <c:dLbl>
              <c:idx val="2"/>
              <c:layout>
                <c:manualLayout>
                  <c:x val="-0.31388888888888888"/>
                  <c:y val="2.4783147459727387E-2"/>
                </c:manualLayout>
              </c:layout>
              <c:tx>
                <c:rich>
                  <a:bodyPr/>
                  <a:lstStyle/>
                  <a:p>
                    <a:fld id="{86F61056-594B-4A79-831B-5E4CA780D08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720B-4EAD-8218-D28C784F0FFC}"/>
                </c:ext>
              </c:extLst>
            </c:dLbl>
            <c:dLbl>
              <c:idx val="3"/>
              <c:layout>
                <c:manualLayout>
                  <c:x val="-8.3333333333333332E-3"/>
                  <c:y val="-1.2391573729863693E-2"/>
                </c:manualLayout>
              </c:layout>
              <c:tx>
                <c:rich>
                  <a:bodyPr/>
                  <a:lstStyle/>
                  <a:p>
                    <a:fld id="{70159F64-6885-4D10-A3B9-3246891FC93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720B-4EAD-8218-D28C784F0FFC}"/>
                </c:ext>
              </c:extLst>
            </c:dLbl>
            <c:dLbl>
              <c:idx val="4"/>
              <c:layout>
                <c:manualLayout>
                  <c:x val="-0.38055555555555554"/>
                  <c:y val="1.8587360594795481E-2"/>
                </c:manualLayout>
              </c:layout>
              <c:tx>
                <c:rich>
                  <a:bodyPr/>
                  <a:lstStyle/>
                  <a:p>
                    <a:fld id="{C24E99AD-29C1-4F2C-BB33-8E09E767D0A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720B-4EAD-8218-D28C784F0FFC}"/>
                </c:ext>
              </c:extLst>
            </c:dLbl>
            <c:dLbl>
              <c:idx val="5"/>
              <c:layout>
                <c:manualLayout>
                  <c:x val="-2.7777777777778798E-3"/>
                  <c:y val="-3.717472118959108E-2"/>
                </c:manualLayout>
              </c:layout>
              <c:tx>
                <c:rich>
                  <a:bodyPr/>
                  <a:lstStyle/>
                  <a:p>
                    <a:fld id="{5B4F2303-7835-4594-AA16-EB9F8DAEAA9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720B-4EAD-8218-D28C784F0FFC}"/>
                </c:ext>
              </c:extLst>
            </c:dLbl>
            <c:dLbl>
              <c:idx val="6"/>
              <c:layout>
                <c:manualLayout>
                  <c:x val="-0.32222222222222224"/>
                  <c:y val="1.5489467162329617E-2"/>
                </c:manualLayout>
              </c:layout>
              <c:tx>
                <c:rich>
                  <a:bodyPr/>
                  <a:lstStyle/>
                  <a:p>
                    <a:fld id="{9EBBD212-DB52-4513-B380-9094CB8E67E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720B-4EAD-8218-D28C784F0FFC}"/>
                </c:ext>
              </c:extLst>
            </c:dLbl>
            <c:dLbl>
              <c:idx val="7"/>
              <c:layout>
                <c:manualLayout>
                  <c:x val="-1.6666666666666666E-2"/>
                  <c:y val="-1.8587360594795568E-2"/>
                </c:manualLayout>
              </c:layout>
              <c:tx>
                <c:rich>
                  <a:bodyPr/>
                  <a:lstStyle/>
                  <a:p>
                    <a:fld id="{B95C5E60-7810-4F0C-874B-8939D63DF88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720B-4EAD-8218-D28C784F0FF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Sheet1!$F$56:$F$63</c:f>
              <c:numCache>
                <c:formatCode>General</c:formatCode>
                <c:ptCount val="8"/>
                <c:pt idx="0">
                  <c:v>3.8860566476931631</c:v>
                </c:pt>
                <c:pt idx="1">
                  <c:v>3.8239087409443187</c:v>
                </c:pt>
                <c:pt idx="2">
                  <c:v>2.6020599913279625</c:v>
                </c:pt>
                <c:pt idx="3">
                  <c:v>2.5528419686577806</c:v>
                </c:pt>
                <c:pt idx="4">
                  <c:v>2.3010299956639813</c:v>
                </c:pt>
                <c:pt idx="5">
                  <c:v>2.1249387366082999</c:v>
                </c:pt>
                <c:pt idx="6">
                  <c:v>1.9355420107730816</c:v>
                </c:pt>
                <c:pt idx="7">
                  <c:v>1.8446639625349381</c:v>
                </c:pt>
              </c:numCache>
            </c:numRef>
          </c:xVal>
          <c:yVal>
            <c:numRef>
              <c:f>Sheet1!$D$80:$D$87</c:f>
              <c:numCache>
                <c:formatCode>General</c:formatCode>
                <c:ptCount val="8"/>
                <c:pt idx="0">
                  <c:v>1</c:v>
                </c:pt>
                <c:pt idx="1">
                  <c:v>2</c:v>
                </c:pt>
                <c:pt idx="2">
                  <c:v>3</c:v>
                </c:pt>
                <c:pt idx="3">
                  <c:v>4</c:v>
                </c:pt>
                <c:pt idx="4">
                  <c:v>5</c:v>
                </c:pt>
                <c:pt idx="5">
                  <c:v>6</c:v>
                </c:pt>
                <c:pt idx="6">
                  <c:v>7</c:v>
                </c:pt>
                <c:pt idx="7">
                  <c:v>8</c:v>
                </c:pt>
              </c:numCache>
            </c:numRef>
          </c:yVal>
          <c:bubbleSize>
            <c:numRef>
              <c:f>Sheet1!$D$56:$D$63</c:f>
              <c:numCache>
                <c:formatCode>General</c:formatCode>
                <c:ptCount val="8"/>
                <c:pt idx="0">
                  <c:v>4</c:v>
                </c:pt>
                <c:pt idx="1">
                  <c:v>3</c:v>
                </c:pt>
                <c:pt idx="2">
                  <c:v>5</c:v>
                </c:pt>
                <c:pt idx="3">
                  <c:v>5</c:v>
                </c:pt>
                <c:pt idx="4">
                  <c:v>7</c:v>
                </c:pt>
                <c:pt idx="5">
                  <c:v>3</c:v>
                </c:pt>
                <c:pt idx="6">
                  <c:v>3</c:v>
                </c:pt>
                <c:pt idx="7">
                  <c:v>4</c:v>
                </c:pt>
              </c:numCache>
            </c:numRef>
          </c:bubbleSize>
          <c:bubble3D val="0"/>
          <c:extLst>
            <c:ext xmlns:c15="http://schemas.microsoft.com/office/drawing/2012/chart" uri="{02D57815-91ED-43cb-92C2-25804820EDAC}">
              <c15:datalabelsRange>
                <c15:f>Sheet1!$C$56:$C$63</c15:f>
                <c15:dlblRangeCache>
                  <c:ptCount val="8"/>
                  <c:pt idx="0">
                    <c:v>T cell costimulation</c:v>
                  </c:pt>
                  <c:pt idx="1">
                    <c:v>Retrograde transport, vesicle recycling within Golgi</c:v>
                  </c:pt>
                  <c:pt idx="2">
                    <c:v>Positive regulation of lymphocyte activation</c:v>
                  </c:pt>
                  <c:pt idx="3">
                    <c:v>Adaptive immune response</c:v>
                  </c:pt>
                  <c:pt idx="4">
                    <c:v>Regulation of immune system process</c:v>
                  </c:pt>
                  <c:pt idx="5">
                    <c:v>Regulation of interleukin-10 production</c:v>
                  </c:pt>
                  <c:pt idx="6">
                    <c:v>Negative regulation of T cell proliferation</c:v>
                  </c:pt>
                  <c:pt idx="7">
                    <c:v>Negative regulation of cell adhesion</c:v>
                  </c:pt>
                </c15:dlblRangeCache>
              </c15:datalabelsRange>
            </c:ext>
            <c:ext xmlns:c16="http://schemas.microsoft.com/office/drawing/2014/chart" uri="{C3380CC4-5D6E-409C-BE32-E72D297353CC}">
              <c16:uniqueId val="{00000008-720B-4EAD-8218-D28C784F0FFC}"/>
            </c:ext>
          </c:extLst>
        </c:ser>
        <c:dLbls>
          <c:showLegendKey val="0"/>
          <c:showVal val="1"/>
          <c:showCatName val="0"/>
          <c:showSerName val="0"/>
          <c:showPercent val="0"/>
          <c:showBubbleSize val="0"/>
        </c:dLbls>
        <c:bubbleScale val="100"/>
        <c:showNegBubbles val="0"/>
        <c:axId val="2051246559"/>
        <c:axId val="2051230239"/>
      </c:bubbleChart>
      <c:valAx>
        <c:axId val="2051246559"/>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−log10(FDR)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one"/>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51230239"/>
        <c:crosses val="autoZero"/>
        <c:crossBetween val="midCat"/>
      </c:valAx>
      <c:valAx>
        <c:axId val="2051230239"/>
        <c:scaling>
          <c:orientation val="minMax"/>
          <c:max val="9"/>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GO Biological Process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one"/>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051246559"/>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Enriched KEGG pathways in the PD-L1–centered network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ubbleChart>
        <c:varyColors val="0"/>
        <c:ser>
          <c:idx val="0"/>
          <c:order val="0"/>
          <c:tx>
            <c:v>Enriched KEGG pathways in the CTLA-4–centered network</c:v>
          </c:tx>
          <c:spPr>
            <a:solidFill>
              <a:schemeClr val="accent1">
                <a:alpha val="75000"/>
              </a:schemeClr>
            </a:solidFill>
            <a:ln>
              <a:noFill/>
            </a:ln>
            <a:effectLst/>
          </c:spPr>
          <c:invertIfNegative val="0"/>
          <c:dLbls>
            <c:dLbl>
              <c:idx val="0"/>
              <c:layout>
                <c:manualLayout>
                  <c:x val="-0.30524960848257976"/>
                  <c:y val="1.3888888888888805E-2"/>
                </c:manualLayout>
              </c:layout>
              <c:tx>
                <c:rich>
                  <a:bodyPr/>
                  <a:lstStyle/>
                  <a:p>
                    <a:fld id="{9BABA0A2-3255-4595-9874-4D5CB74727C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7E74-4667-BB75-BFB1B83804FB}"/>
                </c:ext>
              </c:extLst>
            </c:dLbl>
            <c:dLbl>
              <c:idx val="1"/>
              <c:layout>
                <c:manualLayout>
                  <c:x val="-0.25712125031509958"/>
                  <c:y val="0"/>
                </c:manualLayout>
              </c:layout>
              <c:tx>
                <c:rich>
                  <a:bodyPr/>
                  <a:lstStyle/>
                  <a:p>
                    <a:fld id="{066BF362-9E39-4395-B505-B0495AA6094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7E74-4667-BB75-BFB1B83804FB}"/>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yVal>
            <c:numRef>
              <c:f>Sheet1!$D$80:$D$81</c:f>
              <c:numCache>
                <c:formatCode>General</c:formatCode>
                <c:ptCount val="2"/>
                <c:pt idx="0">
                  <c:v>1</c:v>
                </c:pt>
                <c:pt idx="1">
                  <c:v>2</c:v>
                </c:pt>
              </c:numCache>
            </c:numRef>
          </c:yVal>
          <c:bubbleSize>
            <c:numRef>
              <c:f>Sheet1!$D$66:$D$67</c:f>
              <c:numCache>
                <c:formatCode>General</c:formatCode>
                <c:ptCount val="2"/>
                <c:pt idx="0">
                  <c:v>4</c:v>
                </c:pt>
                <c:pt idx="1">
                  <c:v>4</c:v>
                </c:pt>
              </c:numCache>
            </c:numRef>
          </c:bubbleSize>
          <c:bubble3D val="0"/>
          <c:extLst>
            <c:ext xmlns:c15="http://schemas.microsoft.com/office/drawing/2012/chart" uri="{02D57815-91ED-43cb-92C2-25804820EDAC}">
              <c15:datalabelsRange>
                <c15:f>Sheet1!$C$66:$C$67</c15:f>
                <c15:dlblRangeCache>
                  <c:ptCount val="2"/>
                  <c:pt idx="0">
                    <c:v>PD-L1 expression and PD-1 checkpoint pathway in cancer</c:v>
                  </c:pt>
                  <c:pt idx="1">
                    <c:v>Cell adhesion molecules</c:v>
                  </c:pt>
                </c15:dlblRangeCache>
              </c15:datalabelsRange>
            </c:ext>
            <c:ext xmlns:c16="http://schemas.microsoft.com/office/drawing/2014/chart" uri="{C3380CC4-5D6E-409C-BE32-E72D297353CC}">
              <c16:uniqueId val="{00000002-7E74-4667-BB75-BFB1B83804FB}"/>
            </c:ext>
          </c:extLst>
        </c:ser>
        <c:dLbls>
          <c:showLegendKey val="0"/>
          <c:showVal val="1"/>
          <c:showCatName val="0"/>
          <c:showSerName val="0"/>
          <c:showPercent val="0"/>
          <c:showBubbleSize val="0"/>
        </c:dLbls>
        <c:bubbleScale val="100"/>
        <c:showNegBubbles val="0"/>
        <c:axId val="434209775"/>
        <c:axId val="434205935"/>
      </c:bubbleChart>
      <c:valAx>
        <c:axId val="434209775"/>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−log10(FDR)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one"/>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34205935"/>
        <c:crosses val="autoZero"/>
        <c:crossBetween val="midCat"/>
      </c:valAx>
      <c:valAx>
        <c:axId val="434205935"/>
        <c:scaling>
          <c:orientation val="minMax"/>
          <c:max val="3"/>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KEGG Pathway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one"/>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34209775"/>
        <c:crosses val="autoZero"/>
        <c:crossBetween val="midCat"/>
        <c:majorUnit val="1"/>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Enriched Reactome pathways in the PD-L1–centered network</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ubbleChart>
        <c:varyColors val="0"/>
        <c:ser>
          <c:idx val="0"/>
          <c:order val="0"/>
          <c:tx>
            <c:v>Enriched Reactome pathways in the CTLA-4–centered network</c:v>
          </c:tx>
          <c:spPr>
            <a:solidFill>
              <a:schemeClr val="accent1">
                <a:alpha val="75000"/>
              </a:schemeClr>
            </a:solidFill>
            <a:ln>
              <a:noFill/>
            </a:ln>
            <a:effectLst/>
          </c:spPr>
          <c:invertIfNegative val="0"/>
          <c:dLbls>
            <c:dLbl>
              <c:idx val="0"/>
              <c:layout>
                <c:manualLayout>
                  <c:x val="-0.2777777777777779"/>
                  <c:y val="1.3888888888888805E-2"/>
                </c:manualLayout>
              </c:layout>
              <c:tx>
                <c:rich>
                  <a:bodyPr/>
                  <a:lstStyle/>
                  <a:p>
                    <a:fld id="{2F882A55-0913-4F38-8BAE-FBCDDD4E833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1426-42CE-8E2E-A0AAB5B402D3}"/>
                </c:ext>
              </c:extLst>
            </c:dLbl>
            <c:dLbl>
              <c:idx val="1"/>
              <c:layout>
                <c:manualLayout>
                  <c:x val="-0.27500000000000002"/>
                  <c:y val="9.2592592592592587E-3"/>
                </c:manualLayout>
              </c:layout>
              <c:tx>
                <c:rich>
                  <a:bodyPr/>
                  <a:lstStyle/>
                  <a:p>
                    <a:fld id="{ECF343F5-36F0-4CDB-ABA1-8306CB91C77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1426-42CE-8E2E-A0AAB5B402D3}"/>
                </c:ext>
              </c:extLst>
            </c:dLbl>
            <c:dLbl>
              <c:idx val="2"/>
              <c:layout>
                <c:manualLayout>
                  <c:x val="-1.1111111111111162E-2"/>
                  <c:y val="4.6296296296296294E-2"/>
                </c:manualLayout>
              </c:layout>
              <c:tx>
                <c:rich>
                  <a:bodyPr/>
                  <a:lstStyle/>
                  <a:p>
                    <a:fld id="{D91D0728-E6E9-470D-90B0-A0B00077678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1426-42CE-8E2E-A0AAB5B402D3}"/>
                </c:ext>
              </c:extLst>
            </c:dLbl>
            <c:dLbl>
              <c:idx val="3"/>
              <c:tx>
                <c:rich>
                  <a:bodyPr/>
                  <a:lstStyle/>
                  <a:p>
                    <a:fld id="{A88D5743-A922-43F1-8B20-DDA4AC286B7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1426-42CE-8E2E-A0AAB5B402D3}"/>
                </c:ext>
              </c:extLst>
            </c:dLbl>
            <c:dLbl>
              <c:idx val="4"/>
              <c:layout>
                <c:manualLayout>
                  <c:x val="-1.1111111111111112E-2"/>
                  <c:y val="-4.6296296296296335E-2"/>
                </c:manualLayout>
              </c:layout>
              <c:tx>
                <c:rich>
                  <a:bodyPr/>
                  <a:lstStyle/>
                  <a:p>
                    <a:fld id="{344EC3A1-E056-4832-8A63-A1523EA05C8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1426-42CE-8E2E-A0AAB5B402D3}"/>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xVal>
            <c:numRef>
              <c:f>Sheet1!$F$71:$F$75</c:f>
              <c:numCache>
                <c:formatCode>General</c:formatCode>
                <c:ptCount val="5"/>
                <c:pt idx="0">
                  <c:v>6.2636034977233574</c:v>
                </c:pt>
                <c:pt idx="1">
                  <c:v>6.1985962899826452</c:v>
                </c:pt>
                <c:pt idx="2">
                  <c:v>2.8239087409443187</c:v>
                </c:pt>
                <c:pt idx="3">
                  <c:v>2.795880017344075</c:v>
                </c:pt>
                <c:pt idx="4">
                  <c:v>2.0705810742857071</c:v>
                </c:pt>
              </c:numCache>
            </c:numRef>
          </c:xVal>
          <c:yVal>
            <c:numRef>
              <c:f>Sheet1!$D$80:$D$84</c:f>
              <c:numCache>
                <c:formatCode>General</c:formatCode>
                <c:ptCount val="5"/>
                <c:pt idx="0">
                  <c:v>1</c:v>
                </c:pt>
                <c:pt idx="1">
                  <c:v>2</c:v>
                </c:pt>
                <c:pt idx="2">
                  <c:v>3</c:v>
                </c:pt>
                <c:pt idx="3">
                  <c:v>4</c:v>
                </c:pt>
                <c:pt idx="4">
                  <c:v>5</c:v>
                </c:pt>
              </c:numCache>
            </c:numRef>
          </c:yVal>
          <c:bubbleSize>
            <c:numRef>
              <c:f>Sheet1!$D$71:$D$75</c:f>
              <c:numCache>
                <c:formatCode>General</c:formatCode>
                <c:ptCount val="5"/>
                <c:pt idx="0">
                  <c:v>5</c:v>
                </c:pt>
                <c:pt idx="1">
                  <c:v>4</c:v>
                </c:pt>
                <c:pt idx="2">
                  <c:v>3</c:v>
                </c:pt>
                <c:pt idx="3">
                  <c:v>3</c:v>
                </c:pt>
                <c:pt idx="4">
                  <c:v>2</c:v>
                </c:pt>
              </c:numCache>
            </c:numRef>
          </c:bubbleSize>
          <c:bubble3D val="0"/>
          <c:extLst>
            <c:ext xmlns:c15="http://schemas.microsoft.com/office/drawing/2012/chart" uri="{02D57815-91ED-43cb-92C2-25804820EDAC}">
              <c15:datalabelsRange>
                <c15:f>Sheet1!$C$71:$C$75</c15:f>
                <c15:dlblRangeCache>
                  <c:ptCount val="5"/>
                  <c:pt idx="0">
                    <c:v>Costimulation by the CD28 family</c:v>
                  </c:pt>
                  <c:pt idx="1">
                    <c:v>PD-1 signaling</c:v>
                  </c:pt>
                  <c:pt idx="2">
                    <c:v>Intra-Golgi traffic</c:v>
                  </c:pt>
                  <c:pt idx="3">
                    <c:v>Retrograde transport at the Trans-Golgi-Network</c:v>
                  </c:pt>
                  <c:pt idx="4">
                    <c:v>Interleukin-6 signaling</c:v>
                  </c:pt>
                </c15:dlblRangeCache>
              </c15:datalabelsRange>
            </c:ext>
            <c:ext xmlns:c16="http://schemas.microsoft.com/office/drawing/2014/chart" uri="{C3380CC4-5D6E-409C-BE32-E72D297353CC}">
              <c16:uniqueId val="{00000005-1426-42CE-8E2E-A0AAB5B402D3}"/>
            </c:ext>
          </c:extLst>
        </c:ser>
        <c:dLbls>
          <c:showLegendKey val="0"/>
          <c:showVal val="1"/>
          <c:showCatName val="0"/>
          <c:showSerName val="0"/>
          <c:showPercent val="0"/>
          <c:showBubbleSize val="0"/>
        </c:dLbls>
        <c:bubbleScale val="100"/>
        <c:showNegBubbles val="0"/>
        <c:axId val="434240015"/>
        <c:axId val="434245295"/>
      </c:bubbleChart>
      <c:valAx>
        <c:axId val="434240015"/>
        <c:scaling>
          <c:orientation val="minMax"/>
        </c:scaling>
        <c:delete val="0"/>
        <c:axPos val="b"/>
        <c:majorGridlines>
          <c:spPr>
            <a:ln w="9525" cap="flat" cmpd="sng" algn="ctr">
              <a:no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−log10(FDR) </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one"/>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34245295"/>
        <c:crosses val="autoZero"/>
        <c:crossBetween val="midCat"/>
      </c:valAx>
      <c:valAx>
        <c:axId val="434245295"/>
        <c:scaling>
          <c:orientation val="minMax"/>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Reactome Pathway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one"/>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434240015"/>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9">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alpha val="75000"/>
        </a:schemeClr>
      </a:solidFill>
    </cs:spPr>
  </cs:dataPoint>
  <cs:dataPoint3D>
    <cs:lnRef idx="0"/>
    <cs:fillRef idx="1">
      <cs:styleClr val="auto"/>
    </cs:fillRef>
    <cs:effectRef idx="0"/>
    <cs:fontRef idx="minor">
      <a:schemeClr val="tx1"/>
    </cs:fontRef>
    <cs:spPr>
      <a:solidFill>
        <a:schemeClr val="phClr">
          <a:alpha val="75000"/>
        </a:schemeClr>
      </a:solidFill>
    </cs:spPr>
  </cs:dataPoint3D>
  <cs:dataPointLine>
    <cs:lnRef idx="0">
      <cs:styleClr val="auto"/>
    </cs:lnRef>
    <cs:fillRef idx="1"/>
    <cs:effectRef idx="0"/>
    <cs:fontRef idx="minor">
      <a:schemeClr val="tx1"/>
    </cs:fontRef>
    <cs:spPr>
      <a:ln w="19050" cap="rnd">
        <a:solidFill>
          <a:schemeClr val="phClr">
            <a:alpha val="50000"/>
          </a:scheme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0.14178</cdr:x>
      <cdr:y>0.92511</cdr:y>
    </cdr:from>
    <cdr:to>
      <cdr:x>0.22315</cdr:x>
      <cdr:y>1</cdr:y>
    </cdr:to>
    <cdr:sp macro="" textlink="">
      <cdr:nvSpPr>
        <cdr:cNvPr id="2" name="TextBox 1">
          <a:extLst xmlns:a="http://schemas.openxmlformats.org/drawingml/2006/main">
            <a:ext uri="{FF2B5EF4-FFF2-40B4-BE49-F238E27FC236}">
              <a16:creationId xmlns:a16="http://schemas.microsoft.com/office/drawing/2014/main" id="{1FAC4B8E-6AAA-6E49-802F-FCC3CBCE9261}"/>
            </a:ext>
          </a:extLst>
        </cdr:cNvPr>
        <cdr:cNvSpPr txBox="1"/>
      </cdr:nvSpPr>
      <cdr:spPr>
        <a:xfrm xmlns:a="http://schemas.openxmlformats.org/drawingml/2006/main">
          <a:off x="1287780" y="3451860"/>
          <a:ext cx="739140" cy="25908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kern="1200"/>
        </a:p>
      </cdr:txBody>
    </cdr:sp>
  </cdr:relSizeAnchor>
  <cdr:relSizeAnchor xmlns:cdr="http://schemas.openxmlformats.org/drawingml/2006/chartDrawing">
    <cdr:from>
      <cdr:x>0.05551</cdr:x>
      <cdr:y>0.13064</cdr:y>
    </cdr:from>
    <cdr:to>
      <cdr:x>0.22263</cdr:x>
      <cdr:y>0.28825</cdr:y>
    </cdr:to>
    <cdr:sp macro="" textlink="">
      <cdr:nvSpPr>
        <cdr:cNvPr id="4" name="TextBox 3">
          <a:extLst xmlns:a="http://schemas.openxmlformats.org/drawingml/2006/main">
            <a:ext uri="{FF2B5EF4-FFF2-40B4-BE49-F238E27FC236}">
              <a16:creationId xmlns:a16="http://schemas.microsoft.com/office/drawing/2014/main" id="{EDC08B20-FAF6-CEEF-8629-F557DB50018E}"/>
            </a:ext>
          </a:extLst>
        </cdr:cNvPr>
        <cdr:cNvSpPr txBox="1"/>
      </cdr:nvSpPr>
      <cdr:spPr>
        <a:xfrm xmlns:a="http://schemas.openxmlformats.org/drawingml/2006/main">
          <a:off x="279896" y="620205"/>
          <a:ext cx="842603" cy="7482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pPr algn="ctr"/>
          <a:r>
            <a:rPr lang="en-US" sz="1100" kern="1200"/>
            <a:t>Bubble size represents gene count</a:t>
          </a:r>
        </a:p>
        <a:p xmlns:a="http://schemas.openxmlformats.org/drawingml/2006/main">
          <a:pPr algn="ctr"/>
          <a:endParaRPr lang="en-US" sz="1100" kern="1200"/>
        </a:p>
      </cdr:txBody>
    </cdr:sp>
  </cdr:relSizeAnchor>
  <cdr:relSizeAnchor xmlns:cdr="http://schemas.openxmlformats.org/drawingml/2006/chartDrawing">
    <cdr:from>
      <cdr:x>0</cdr:x>
      <cdr:y>0</cdr:y>
    </cdr:from>
    <cdr:to>
      <cdr:x>0.08403</cdr:x>
      <cdr:y>0.06251</cdr:y>
    </cdr:to>
    <cdr:sp macro="" textlink="">
      <cdr:nvSpPr>
        <cdr:cNvPr id="3" name="TextBox 3"/>
        <cdr:cNvSpPr txBox="1"/>
      </cdr:nvSpPr>
      <cdr:spPr>
        <a:xfrm xmlns:a="http://schemas.openxmlformats.org/drawingml/2006/main">
          <a:off x="-1440180" y="-4274820"/>
          <a:ext cx="423683" cy="2967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kern="1200">
              <a:latin typeface="Times New Roman" panose="02020603050405020304" pitchFamily="18" charset="0"/>
              <a:cs typeface="Times New Roman" panose="02020603050405020304" pitchFamily="18" charset="0"/>
            </a:rPr>
            <a:t>(A)</a:t>
          </a:r>
        </a:p>
      </cdr:txBody>
    </cdr:sp>
  </cdr:relSizeAnchor>
</c:userShapes>
</file>

<file path=word/drawings/drawing2.xml><?xml version="1.0" encoding="utf-8"?>
<c:userShapes xmlns:c="http://schemas.openxmlformats.org/drawingml/2006/chart">
  <cdr:relSizeAnchor xmlns:cdr="http://schemas.openxmlformats.org/drawingml/2006/chartDrawing">
    <cdr:from>
      <cdr:x>0.03321</cdr:x>
      <cdr:y>0.17813</cdr:y>
    </cdr:from>
    <cdr:to>
      <cdr:x>0.25995</cdr:x>
      <cdr:y>0.3609</cdr:y>
    </cdr:to>
    <cdr:sp macro="" textlink="">
      <cdr:nvSpPr>
        <cdr:cNvPr id="2" name="TextBox 1">
          <a:extLst xmlns:a="http://schemas.openxmlformats.org/drawingml/2006/main">
            <a:ext uri="{FF2B5EF4-FFF2-40B4-BE49-F238E27FC236}">
              <a16:creationId xmlns:a16="http://schemas.microsoft.com/office/drawing/2014/main" id="{82E737BA-CE1B-8BB7-75F4-837008AFBC19}"/>
            </a:ext>
          </a:extLst>
        </cdr:cNvPr>
        <cdr:cNvSpPr txBox="1"/>
      </cdr:nvSpPr>
      <cdr:spPr>
        <a:xfrm xmlns:a="http://schemas.openxmlformats.org/drawingml/2006/main">
          <a:off x="167453" y="630504"/>
          <a:ext cx="1143188" cy="64691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kern="1200">
              <a:latin typeface="Arial" panose="020B0604020202020204" pitchFamily="34" charset="0"/>
              <a:cs typeface="Arial" panose="020B0604020202020204" pitchFamily="34" charset="0"/>
            </a:rPr>
            <a:t>Bubble size represents gene count</a:t>
          </a:r>
        </a:p>
        <a:p xmlns:a="http://schemas.openxmlformats.org/drawingml/2006/main">
          <a:pPr algn="ctr"/>
          <a:endParaRPr lang="en-US" sz="1100" kern="12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cdr:x>
      <cdr:y>0</cdr:y>
    </cdr:from>
    <cdr:to>
      <cdr:x>0.08403</cdr:x>
      <cdr:y>0.08384</cdr:y>
    </cdr:to>
    <cdr:sp macro="" textlink="">
      <cdr:nvSpPr>
        <cdr:cNvPr id="3" name="TextBox 3"/>
        <cdr:cNvSpPr txBox="1"/>
      </cdr:nvSpPr>
      <cdr:spPr>
        <a:xfrm xmlns:a="http://schemas.openxmlformats.org/drawingml/2006/main">
          <a:off x="-1440180" y="-1082040"/>
          <a:ext cx="423683" cy="2967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kern="1200">
              <a:latin typeface="Times New Roman" panose="02020603050405020304" pitchFamily="18" charset="0"/>
              <a:cs typeface="Times New Roman" panose="02020603050405020304" pitchFamily="18" charset="0"/>
            </a:rPr>
            <a:t>(B)</a:t>
          </a:r>
        </a:p>
      </cdr:txBody>
    </cdr:sp>
  </cdr:relSizeAnchor>
</c:userShapes>
</file>

<file path=word/drawings/drawing3.xml><?xml version="1.0" encoding="utf-8"?>
<c:userShapes xmlns:c="http://schemas.openxmlformats.org/drawingml/2006/chart">
  <cdr:relSizeAnchor xmlns:cdr="http://schemas.openxmlformats.org/drawingml/2006/chartDrawing">
    <cdr:from>
      <cdr:x>0.03518</cdr:x>
      <cdr:y>0.24074</cdr:y>
    </cdr:from>
    <cdr:to>
      <cdr:x>0.242</cdr:x>
      <cdr:y>0.48241</cdr:y>
    </cdr:to>
    <cdr:sp macro="" textlink="">
      <cdr:nvSpPr>
        <cdr:cNvPr id="2" name="TextBox 1">
          <a:extLst xmlns:a="http://schemas.openxmlformats.org/drawingml/2006/main">
            <a:ext uri="{FF2B5EF4-FFF2-40B4-BE49-F238E27FC236}">
              <a16:creationId xmlns:a16="http://schemas.microsoft.com/office/drawing/2014/main" id="{3216139D-1D5B-B70C-6095-69EB38F3B695}"/>
            </a:ext>
          </a:extLst>
        </cdr:cNvPr>
        <cdr:cNvSpPr txBox="1"/>
      </cdr:nvSpPr>
      <cdr:spPr>
        <a:xfrm xmlns:a="http://schemas.openxmlformats.org/drawingml/2006/main">
          <a:off x="177265" y="660395"/>
          <a:ext cx="1041935" cy="66294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kern="1200"/>
            <a:t>Bubble size represents gene count</a:t>
          </a:r>
        </a:p>
        <a:p xmlns:a="http://schemas.openxmlformats.org/drawingml/2006/main">
          <a:pPr algn="ctr"/>
          <a:endParaRPr lang="en-US" sz="1100" kern="1200"/>
        </a:p>
      </cdr:txBody>
    </cdr:sp>
  </cdr:relSizeAnchor>
  <cdr:relSizeAnchor xmlns:cdr="http://schemas.openxmlformats.org/drawingml/2006/chartDrawing">
    <cdr:from>
      <cdr:x>0</cdr:x>
      <cdr:y>0</cdr:y>
    </cdr:from>
    <cdr:to>
      <cdr:x>0.0841</cdr:x>
      <cdr:y>0.10817</cdr:y>
    </cdr:to>
    <cdr:sp macro="" textlink="">
      <cdr:nvSpPr>
        <cdr:cNvPr id="3" name="TextBox 3"/>
        <cdr:cNvSpPr txBox="1"/>
      </cdr:nvSpPr>
      <cdr:spPr>
        <a:xfrm xmlns:a="http://schemas.openxmlformats.org/drawingml/2006/main">
          <a:off x="-1440180" y="-4815840"/>
          <a:ext cx="423683" cy="2967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kern="1200">
              <a:latin typeface="Times New Roman" panose="02020603050405020304" pitchFamily="18" charset="0"/>
              <a:cs typeface="Times New Roman" panose="02020603050405020304" pitchFamily="18" charset="0"/>
            </a:rPr>
            <a:t>(C)</a:t>
          </a:r>
        </a:p>
      </cdr:txBody>
    </cdr:sp>
  </cdr:relSizeAnchor>
</c:userShapes>
</file>

<file path=word/drawings/drawing4.xml><?xml version="1.0" encoding="utf-8"?>
<c:userShapes xmlns:c="http://schemas.openxmlformats.org/drawingml/2006/chart">
  <cdr:relSizeAnchor xmlns:cdr="http://schemas.openxmlformats.org/drawingml/2006/chartDrawing">
    <cdr:from>
      <cdr:x>0.0377</cdr:x>
      <cdr:y>0.14891</cdr:y>
    </cdr:from>
    <cdr:to>
      <cdr:x>0.22199</cdr:x>
      <cdr:y>0.29832</cdr:y>
    </cdr:to>
    <cdr:sp macro="" textlink="">
      <cdr:nvSpPr>
        <cdr:cNvPr id="2" name="TextBox 3">
          <a:extLst xmlns:a="http://schemas.openxmlformats.org/drawingml/2006/main">
            <a:ext uri="{FF2B5EF4-FFF2-40B4-BE49-F238E27FC236}">
              <a16:creationId xmlns:a16="http://schemas.microsoft.com/office/drawing/2014/main" id="{8D2CC3A1-A370-E9D0-30EE-D41EE5D2E370}"/>
            </a:ext>
          </a:extLst>
        </cdr:cNvPr>
        <cdr:cNvSpPr txBox="1"/>
      </cdr:nvSpPr>
      <cdr:spPr>
        <a:xfrm xmlns:a="http://schemas.openxmlformats.org/drawingml/2006/main">
          <a:off x="189939" y="610450"/>
          <a:ext cx="928469" cy="612516"/>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900" kern="1200">
              <a:latin typeface="Arial" panose="020B0604020202020204" pitchFamily="34" charset="0"/>
              <a:cs typeface="Arial" panose="020B0604020202020204" pitchFamily="34" charset="0"/>
            </a:rPr>
            <a:t>Bubble size represents gene count</a:t>
          </a:r>
        </a:p>
        <a:p xmlns:a="http://schemas.openxmlformats.org/drawingml/2006/main">
          <a:pPr algn="ctr"/>
          <a:endParaRPr lang="en-US" sz="900" kern="12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cdr:x>
      <cdr:y>0</cdr:y>
    </cdr:from>
    <cdr:to>
      <cdr:x>0.0841</cdr:x>
      <cdr:y>0.07238</cdr:y>
    </cdr:to>
    <cdr:sp macro="" textlink="">
      <cdr:nvSpPr>
        <cdr:cNvPr id="3" name="TextBox 3"/>
        <cdr:cNvSpPr txBox="1"/>
      </cdr:nvSpPr>
      <cdr:spPr>
        <a:xfrm xmlns:a="http://schemas.openxmlformats.org/drawingml/2006/main">
          <a:off x="-1440180" y="-4274820"/>
          <a:ext cx="423683" cy="2967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kern="1200">
              <a:latin typeface="Times New Roman" panose="02020603050405020304" pitchFamily="18" charset="0"/>
              <a:cs typeface="Times New Roman" panose="02020603050405020304" pitchFamily="18" charset="0"/>
            </a:rPr>
            <a:t>(A)</a:t>
          </a:r>
        </a:p>
      </cdr:txBody>
    </cdr:sp>
  </cdr:relSizeAnchor>
</c:userShapes>
</file>

<file path=word/drawings/drawing5.xml><?xml version="1.0" encoding="utf-8"?>
<c:userShapes xmlns:c="http://schemas.openxmlformats.org/drawingml/2006/chart">
  <cdr:relSizeAnchor xmlns:cdr="http://schemas.openxmlformats.org/drawingml/2006/chartDrawing">
    <cdr:from>
      <cdr:x>0.04083</cdr:x>
      <cdr:y>0.22408</cdr:y>
    </cdr:from>
    <cdr:to>
      <cdr:x>0.22513</cdr:x>
      <cdr:y>0.44736</cdr:y>
    </cdr:to>
    <cdr:sp macro="" textlink="">
      <cdr:nvSpPr>
        <cdr:cNvPr id="2" name="TextBox 3">
          <a:extLst xmlns:a="http://schemas.openxmlformats.org/drawingml/2006/main">
            <a:ext uri="{FF2B5EF4-FFF2-40B4-BE49-F238E27FC236}">
              <a16:creationId xmlns:a16="http://schemas.microsoft.com/office/drawing/2014/main" id="{48C96540-A788-E3B8-6FA6-1E1B473FCF32}"/>
            </a:ext>
          </a:extLst>
        </cdr:cNvPr>
        <cdr:cNvSpPr txBox="1"/>
      </cdr:nvSpPr>
      <cdr:spPr>
        <a:xfrm xmlns:a="http://schemas.openxmlformats.org/drawingml/2006/main">
          <a:off x="205694" y="614684"/>
          <a:ext cx="928520" cy="612502"/>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900" kern="1200">
              <a:latin typeface="Arial" panose="020B0604020202020204" pitchFamily="34" charset="0"/>
              <a:cs typeface="Arial" panose="020B0604020202020204" pitchFamily="34" charset="0"/>
            </a:rPr>
            <a:t>Bubble size represents gene count</a:t>
          </a:r>
        </a:p>
        <a:p xmlns:a="http://schemas.openxmlformats.org/drawingml/2006/main">
          <a:pPr algn="ctr"/>
          <a:endParaRPr lang="en-US" sz="900" kern="12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cdr:x>
      <cdr:y>0</cdr:y>
    </cdr:from>
    <cdr:to>
      <cdr:x>0.0841</cdr:x>
      <cdr:y>0.10817</cdr:y>
    </cdr:to>
    <cdr:sp macro="" textlink="">
      <cdr:nvSpPr>
        <cdr:cNvPr id="3" name="TextBox 3"/>
        <cdr:cNvSpPr txBox="1"/>
      </cdr:nvSpPr>
      <cdr:spPr>
        <a:xfrm xmlns:a="http://schemas.openxmlformats.org/drawingml/2006/main">
          <a:off x="-1440180" y="-1082040"/>
          <a:ext cx="423683" cy="2967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kern="1200">
              <a:latin typeface="Times New Roman" panose="02020603050405020304" pitchFamily="18" charset="0"/>
              <a:cs typeface="Times New Roman" panose="02020603050405020304" pitchFamily="18" charset="0"/>
            </a:rPr>
            <a:t>(B)</a:t>
          </a:r>
        </a:p>
      </cdr:txBody>
    </cdr:sp>
  </cdr:relSizeAnchor>
</c:userShapes>
</file>

<file path=word/drawings/drawing6.xml><?xml version="1.0" encoding="utf-8"?>
<c:userShapes xmlns:c="http://schemas.openxmlformats.org/drawingml/2006/chart">
  <cdr:relSizeAnchor xmlns:cdr="http://schemas.openxmlformats.org/drawingml/2006/chartDrawing">
    <cdr:from>
      <cdr:x>0.05444</cdr:x>
      <cdr:y>0.1963</cdr:y>
    </cdr:from>
    <cdr:to>
      <cdr:x>0.23874</cdr:x>
      <cdr:y>0.41958</cdr:y>
    </cdr:to>
    <cdr:sp macro="" textlink="">
      <cdr:nvSpPr>
        <cdr:cNvPr id="2" name="TextBox 3">
          <a:extLst xmlns:a="http://schemas.openxmlformats.org/drawingml/2006/main">
            <a:ext uri="{FF2B5EF4-FFF2-40B4-BE49-F238E27FC236}">
              <a16:creationId xmlns:a16="http://schemas.microsoft.com/office/drawing/2014/main" id="{FB197EC5-6425-B907-0D5D-B2785BD5E9A6}"/>
            </a:ext>
          </a:extLst>
        </cdr:cNvPr>
        <cdr:cNvSpPr txBox="1"/>
      </cdr:nvSpPr>
      <cdr:spPr>
        <a:xfrm xmlns:a="http://schemas.openxmlformats.org/drawingml/2006/main">
          <a:off x="248920" y="538480"/>
          <a:ext cx="842603" cy="612504"/>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900" kern="1200">
              <a:latin typeface="Arial" panose="020B0604020202020204" pitchFamily="34" charset="0"/>
              <a:cs typeface="Arial" panose="020B0604020202020204" pitchFamily="34" charset="0"/>
            </a:rPr>
            <a:t>Bubble size represents gene count</a:t>
          </a:r>
        </a:p>
        <a:p xmlns:a="http://schemas.openxmlformats.org/drawingml/2006/main">
          <a:pPr algn="ctr"/>
          <a:endParaRPr lang="en-US" sz="900" kern="1200">
            <a:latin typeface="Arial" panose="020B0604020202020204" pitchFamily="34" charset="0"/>
            <a:cs typeface="Arial" panose="020B0604020202020204" pitchFamily="34" charset="0"/>
          </a:endParaRPr>
        </a:p>
      </cdr:txBody>
    </cdr:sp>
  </cdr:relSizeAnchor>
  <cdr:relSizeAnchor xmlns:cdr="http://schemas.openxmlformats.org/drawingml/2006/chartDrawing">
    <cdr:from>
      <cdr:x>0</cdr:x>
      <cdr:y>0</cdr:y>
    </cdr:from>
    <cdr:to>
      <cdr:x>0.0841</cdr:x>
      <cdr:y>0.10817</cdr:y>
    </cdr:to>
    <cdr:sp macro="" textlink="">
      <cdr:nvSpPr>
        <cdr:cNvPr id="3" name="TextBox 3"/>
        <cdr:cNvSpPr txBox="1"/>
      </cdr:nvSpPr>
      <cdr:spPr>
        <a:xfrm xmlns:a="http://schemas.openxmlformats.org/drawingml/2006/main">
          <a:off x="-1440180" y="-4015740"/>
          <a:ext cx="423683" cy="29673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r>
            <a:rPr lang="en-US" sz="1100" kern="1200">
              <a:latin typeface="Times New Roman" panose="02020603050405020304" pitchFamily="18" charset="0"/>
              <a:cs typeface="Times New Roman" panose="02020603050405020304" pitchFamily="18" charset="0"/>
            </a:rPr>
            <a:t>(C)</a:t>
          </a:r>
        </a:p>
      </cdr:txBody>
    </cdr:sp>
  </cdr:relSizeAnchor>
</c:userShape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25T02:24:33.171"/>
    </inkml:context>
    <inkml:brush xml:id="br0">
      <inkml:brushProperty name="width" value="0.05" units="cm"/>
      <inkml:brushProperty name="height" value="0.05" units="cm"/>
      <inkml:brushProperty name="color" value="#FFFFFF"/>
    </inkml:brush>
  </inkml:definitions>
  <inkml:trace contextRef="#ctx0" brushRef="#br0">0 4 24575,'0'-4'0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25T02:24:32.363"/>
    </inkml:context>
    <inkml:brush xml:id="br0">
      <inkml:brushProperty name="width" value="0.05" units="cm"/>
      <inkml:brushProperty name="height" value="0.05" units="cm"/>
      <inkml:brushProperty name="color" value="#FFFFFF"/>
    </inkml:brush>
  </inkml:definitions>
  <inkml:trace contextRef="#ctx0" brushRef="#br0">0 4 24575,'0'-4'0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1-25T02:24:27.911"/>
    </inkml:context>
    <inkml:brush xml:id="br0">
      <inkml:brushProperty name="width" value="0.05" units="cm"/>
      <inkml:brushProperty name="height" value="0.05" units="cm"/>
      <inkml:brushProperty name="color" value="#FFFFFF"/>
    </inkml:brush>
  </inkml:definitions>
  <inkml:trace contextRef="#ctx0" brushRef="#br0">142 245 24575,'30'0'0,"-16"1"0,0-1 0,0 0 0,17-4 0,-26 3 0,-1 0 0,1 0 0,0-1 0,-1 0 0,0 0 0,1 0 0,-1 0 0,0-1 0,0 1 0,0-1 0,-1 0 0,1 0 0,4-6 0,-3 4 0,0 0 0,-1 0 0,0-1 0,0 0 0,-1 0 0,1 0 0,-1 0 0,0 0 0,-1-1 0,0 1 0,0-1 0,0 0 0,-1 1 0,0-1 0,0 0 0,0 0 0,-1 0 0,0 0 0,-1 0 0,0 0 0,0 1 0,0-1 0,-1 0 0,1 0 0,-2 1 0,1-1 0,-7-10 0,9 16 0,0 0 0,-1 0 0,1 0 0,-1 0 0,0 0 0,1 0 0,-1 1 0,0-1 0,1 0 0,-1 0 0,0 1 0,0-1 0,1 0 0,-1 1 0,0-1 0,0 1 0,0-1 0,0 1 0,0 0 0,0-1 0,0 1 0,0 0 0,0-1 0,0 1 0,-2 0 0,2 1 0,-1-1 0,1 1 0,0 0 0,-1-1 0,1 1 0,0 0 0,0 0 0,0 0 0,-1 0 0,1 0 0,0 0 0,0 0 0,1 0 0,-1 0 0,0 1 0,-1 0 0,-4 10 0,1 1 0,0-1 0,-5 17 0,7-20 0,-1 8 0,0-1 0,1 1 0,-1 22 0,-1 0 0,5-38 0,0 1 0,-1-1 0,1 0 0,0 0 0,0 0 0,0 0 0,0 1 0,0-1 0,0 0 0,0 0 0,0 0 0,1 0 0,-1 0 0,0 1 0,1-1 0,0 1 0,-1-2 0,1 0 0,-1 0 0,0 1 0,1-1 0,-1 0 0,0 0 0,1 0 0,-1 0 0,1 0 0,-1 0 0,0 0 0,1 0 0,-1 0 0,1 0 0,-1 0 0,0 0 0,1 0 0,-1 0 0,1 0 0,-1 0 0,0-1 0,1 1 0,-1 0 0,0 0 0,1 0 0,-1-1 0,0 1 0,1 0 0,-1-1 0,29-27 0,-25 24 0,-3 3 0,0 0 0,-1 0 0,1 0 0,0 0 0,0 0 0,0 0 0,0 0 0,0 0 0,0 0 0,0 0 0,0 1 0,0-1 0,0 1 0,1-1 0,-1 1 0,0-1 0,0 1 0,1-1 0,-1 1 0,0 0 0,0 0 0,1 0 0,-1 0 0,0 0 0,1 0 0,-1 0 0,0 0 0,1 0 0,-1 1 0,0-1 0,0 0 0,1 1 0,-1-1 0,0 1 0,0 0 0,0-1 0,0 1 0,0 0 0,0 0 0,0 0 0,0-1 0,0 1 0,1 1 0,4 6 0,-1 0 0,0 0 0,0 0 0,-1 0 0,4 11 0,1 0 0,24 63 0,-31-81 0,-1-8 0,-4-12 0,0 12 0,0 0 0,-1 0 0,1 1 0,-2-1 0,1 1 0,-1 0 0,0 0 0,0 0 0,-10-8 0,12 12 0,0-1 0,-1 1 0,1 0 0,-1 0 0,0 1 0,1-1 0,-1 1 0,0-1 0,0 1 0,0 1 0,0-1 0,0 0 0,0 1 0,0 0 0,0 0 0,0 0 0,0 0 0,-1 1 0,-6 2 0,9-3 0,1 1 0,-1-1 0,0 1 0,0-1 0,0 0 0,1 1 0,-1-1 0,0 0 0,0 0 0,0 0 0,0 0 0,0-1 0,1 1 0,-1 0 0,0-1 0,0 0 0,1 1 0,-1-1 0,0 0 0,1 0 0,-1 0 0,0 0 0,-2-2 0,1-1 0,0-1 0,0 0 0,0 1 0,0-1 0,1 0 0,-4-11 0,6 16 0,-11-18 0,9 21 0,7 10 0,4 3 0,3 5 0,-1 2 0,-1-1 0,-1 2 0,7 26 0,-14-45 0,0 1 0,0-1 0,1 0 0,0 0 0,-1 0 0,2 0 0,-1 0 0,1-1 0,7 8 0,-10-11 0,0 0 0,0 0 0,0 0 0,0 0 0,0 0 0,0-1 0,0 1 0,0 0 0,1-1 0,-1 1 0,0-1 0,1 1 0,-1-1 0,0 0 0,1 0 0,-1 1 0,0-1 0,3 0 0,-3-1 0,0 1 0,0-1 0,0 0 0,1 1 0,-1-1 0,0 0 0,0 0 0,0 1 0,0-1 0,-1 0 0,1 0 0,0 0 0,0 0 0,0-1 0,-1 1 0,1 0 0,-1 0 0,1 0 0,-1 0 0,1-1 0,-1 1 0,1 0 0,-1-3 0,46-183 0,-46 196 0,0-1 0,1 1 0,0-1 0,0 1 0,1-1 0,0 1 0,0-1 0,1 0 0,7 14 0,-10-21 0,0-1 0,1 1 0,-1 0 0,0-1 0,0 1 0,1-1 0,-1 1 0,0-1 0,1 1 0,-1-1 0,0 0 0,1 1 0,-1-1 0,1 1 0,-1-1 0,1 0 0,-1 1 0,1-1 0,-1 0 0,1 0 0,-1 1 0,1-1 0,-1 0 0,1 0 0,0 0 0,-1 0 0,1 0 0,-1 1 0,1-1 0,-1 0 0,1 0 0,0-1 0,-1 1 0,1 0 0,-1 0 0,1 0 0,-1 0 0,1 0 0,0-1 0,-1 1 0,1 0 0,-1 0 0,1-1 0,-1 1 0,1 0 0,-1-1 0,0 1 0,1-1 0,-1 1 0,1-1 0,-1 1 0,0 0 0,1-1 0,-1 1 0,0-1 0,0 0 0,1 0 0,0-2 0,0 0 0,1 0 0,-2 0 0,1 0 0,0-1 0,-1 1 0,1 0 0,-1-6 0,0 5 0,0 1 0,0 0 0,-1 0 0,0 0 0,1 0 0,-1 0 0,0 0 0,0 0 0,0 1 0,-1-1 0,1 0 0,-1 0 0,0 1 0,1-1 0,-1 1 0,0 0 0,0-1 0,-1 1 0,1 0 0,0 0 0,-1 0 0,1 1 0,-1-1 0,0 0 0,1 1 0,-1 0 0,0 0 0,-5-2 0,0 2 0,1 0 0,-1 0 0,0 0 0,1 1 0,-1 0 0,0 1 0,1-1 0,-1 2 0,0-1 0,-12 5 0,17-5 0,1-1 0,-1 1 0,1 0 0,-1-1 0,0 0 0,1 0 0,-1 0 0,1 0 0,-1 0 0,0 0 0,1-1 0,-1 1 0,1-1 0,-4 0 0,0-1 0,5 2 0,0 0 0,0 0 0,1 0 0,-1 0 0,0 0 0,1 1 0,-1-1 0,0 0 0,1 0 0,-1 1 0,1-1 0,-1 0 0,0 1 0,1-1 0,-1 1 0,1-1 0,-1 1 0,1-1 0,-1 1 0,1-1 0,0 1 0,-1-1 0,1 1 0,-1 0 0,1-1 0,0 1 0,0 0 0,-1-1 0,1 1 0,0 0 0,0-1 0,0 2 0,-6 22 0,6-23 0,0 6 0,-1 1 0,1-1 0,0 1 0,0-1 0,1 1 0,0-1 0,2 9 0,-2-13 0,0 0 0,0 0 0,0 0 0,0-1 0,1 1 0,-1 0 0,1-1 0,-1 1 0,1 0 0,0-1 0,0 0 0,0 0 0,0 1 0,1-1 0,-1 0 0,0-1 0,1 1 0,-1 0 0,1-1 0,4 2 0,-6-2 0,0-1 0,0 0 0,0 0 0,0 0 0,1 0 0,-1 0 0,0 0 0,0 0 0,0 0 0,0 0 0,0 0 0,0-1 0,0 1 0,0 0 0,1-1 0,-1 1 0,0-1 0,0 1 0,-1-1 0,1 1 0,0-1 0,0 0 0,0 0 0,0 1 0,0-1 0,-1 0 0,1 0 0,0 0 0,-1 0 0,1 0 0,-1 0 0,1 0 0,-1 0 0,1 0 0,-1 0 0,0 0 0,1-2 0,-1 2 0,1-1 0,-1 1 0,1-1 0,-1 1 0,0-1 0,0 1 0,0-1 0,0 1 0,0-1 0,0 1 0,0-1 0,0 1 0,-1-1 0,1 1 0,0-1 0,-1 1 0,1-1 0,-1 1 0,0 0 0,0-1 0,1 1 0,-1 0 0,0 0 0,0-1 0,0 1 0,0 0 0,-2-2 0,-2 0 0,0-1 0,1 0 0,-1 0 0,1 0 0,0 0 0,-4-6 0,5 5 0,0 1 0,-1 0 0,1 0 0,-1 1 0,0-1 0,0 1 0,-8-6 0,10 9 0,1-1 0,-1 1 0,0-1 0,0 1 0,0 0 0,1 0 0,-1 0 0,0 0 0,0 0 0,0 0 0,1 0 0,-1 0 0,0 1 0,0-1 0,1 1 0,-1-1 0,0 1 0,1 0 0,-1 0 0,0-1 0,1 1 0,-1 0 0,1 1 0,0-1 0,-1 0 0,1 0 0,-3 3 0,-24 32 0,24-29 0,-1-1 0,1 0 0,-1-1 0,0 1 0,0-1 0,-9 7 0,11-14 0,4-8 0,4-13 0,-5 20 0,2-4 0,0 0 0,-1 0 0,0 0 0,0 0 0,0 0 0,-1 0 0,0-11 0,0 18 0,0 0 0,0 0 0,0-1 0,-1 1 0,1 0 0,0 0 0,0 0 0,0 0 0,0 0 0,0 0 0,0 0 0,0 0 0,0 0 0,0 0 0,0-1 0,0 1 0,1 0 0,-1 0 0,0 0 0,0 0 0,0 0 0,0 0 0,0 0 0,0 0 0,0 0 0,0 0 0,0 0 0,0-1 0,0 1 0,0 0 0,0 0 0,0 0 0,0 0 0,0 0 0,1 0 0,-1 0 0,0 0 0,0 0 0,0 0 0,0 0 0,0 0 0,0 0 0,0 0 0,0 0 0,0 0 0,0 0 0,1 0 0,-1 0 0,0 0 0,0 0 0,0 0 0,0 0 0,0 0 0,0 0 0,0 0 0,0 0 0,0 0 0,0 0 0,0 0 0,1 0 0,-1 0 0,0 0 0,0 0 0,0 1 0,0-1 0,0 0 0,10 7 0,8 12 0,-9 1 0,19 30 0,-26-47 0,0 0 0,0-1 0,0 1 0,0 0 0,1-1 0,-1 0 0,1 1 0,0-1 0,0 0 0,0 0 0,0-1 0,0 1 0,4 1 0,-7-3 0,1 0 0,0 0 0,-1 1 0,1-1 0,-1 0 0,1 0 0,0 0 0,-1 0 0,1 0 0,-1 0 0,1 0 0,0 0 0,-1-1 0,1 1 0,-1 0 0,1 0 0,-1 0 0,1-1 0,-1 1 0,1 0 0,-1 0 0,1-1 0,-1 1 0,1-1 0,-1 1 0,1 0 0,-1-1 0,1 1 0,-1-1 0,1 0 0,5-23 0,-5 17 0,-1-1 0,0 0 0,-1 1 0,-1-11 0,-3-6 0,4 17 0,1 1 0,-2-1 0,1 1 0,-1-1 0,0 1 0,0 0 0,-1 0 0,1 0 0,-1 0 0,-7-9 0,9 14 0,0 0 0,-1 1 0,1-1 0,0 0 0,-1 0 0,1 1 0,-1-1 0,1 1 0,-1-1 0,0 1 0,1 0 0,-1 0 0,1 0 0,-1 0 0,0 0 0,1 0 0,-1 0 0,1 0 0,-1 0 0,1 1 0,-1-1 0,0 1 0,1-1 0,-1 1 0,1 0 0,0-1 0,-1 1 0,1 0 0,0 0 0,-1 0 0,1 0 0,0 0 0,0 0 0,-2 3 0,-3 2 0,1 0 0,0 0 0,0 0 0,1 1 0,-6 10 0,7-11 0,0 0 0,0-1 0,-1 0 0,1 0 0,-6 6 0,8-10 0,1-1 0,0 1 0,-1-1 0,1 0 0,0 1 0,-1-1 0,1 0 0,0 0 0,-1 1 0,1-1 0,-1 0 0,1 0 0,-1 0 0,1 1 0,-1-1 0,1 0 0,-1 0 0,1 0 0,0 0 0,-1 0 0,1 0 0,-1 0 0,1 0 0,-1 0 0,1 0 0,-1 0 0,1 0 0,-2-1 0,1 0 0,1 0 0,-1 0 0,0 0 0,0-1 0,0 1 0,1 0 0,-1 0 0,1-1 0,-1 1 0,1 0 0,-1-1 0,1 1 0,0-1 0,0 1 0,0-3 0,-2-30 0,3 29 0,-1-1 0,0 0 0,0 0 0,-1 1 0,1-1 0,-1 0 0,-1 1 0,1-1 0,-4-7 0,5 13 0,0-1 0,0 1 0,-1 0 0,1-1 0,0 1 0,0 0 0,0 0 0,-1-1 0,1 1 0,0 0 0,0 0 0,-1-1 0,1 1 0,0 0 0,0 0 0,-1 0 0,1 0 0,0-1 0,-1 1 0,1 0 0,0 0 0,-1 0 0,1 0 0,0 0 0,-1 0 0,1 0 0,0 0 0,-1 0 0,1 0 0,0 0 0,-1 0 0,1 0 0,0 0 0,-1 0 0,1 0 0,-1 1 0,-11 10 0,-5 19 0,12-18 0,0 0 0,1 0 0,0 0 0,1 1 0,0 0 0,-2 20 0,5-27 0,0 0 0,1 0 0,-1 1 0,1-1 0,0 0 0,1 0 0,0 0 0,0 0 0,0 0 0,0 0 0,1-1 0,0 1 0,0-1 0,1 0 0,5 7 0,-3-5 0,0-1 0,1 0 0,0-1 0,-1 1 0,2-1 0,-1-1 0,12 6 0,-15-7 0,0-1 0,1-1 0,-1 1 0,1 0 0,-1-1 0,1 0 0,-1 0 0,1-1 0,0 1 0,-1-1 0,1 0 0,0 0 0,-1-1 0,1 1 0,7-3 0,-11 3 0,1-1 0,-1 1 0,1-1 0,-1 0 0,0 0 0,1 0 0,-1 0 0,0 0 0,0 0 0,0 0 0,1 0 0,-1 0 0,0 0 0,0-1 0,-1 1 0,1 0 0,0-1 0,0 1 0,-1-1 0,1 1 0,-1-1 0,1 1 0,-1-1 0,1 1 0,-1-1 0,0 0 0,0 1 0,0-1 0,0 1 0,0-1 0,0 0 0,-1 1 0,1-1 0,0 1 0,-1-1 0,1 1 0,-1-1 0,0 1 0,1-1 0,-1 1 0,-1-2 0,-1-2 0,1 0 0,-1 0 0,0 0 0,-1 0 0,1 1 0,-1-1 0,0 1 0,0 0 0,-1 0 0,-6-4 0,-25-8 0,30 15 0,1-1 0,0 0 0,0 0 0,0-1 0,-8-5 0,11 6 0,0 0 0,0 0 0,0 0 0,1 0 0,-1 0 0,1 0 0,-1 0 0,1-1 0,0 1 0,0-1 0,0 1 0,0-1 0,0 1 0,1-1 0,-1 1 0,1-5 0,-2-3 0,1-1 0,1 0 0,0 0 0,0 1 0,3-12 0,-3 21 0,0 0 0,0 0 0,0 0 0,1 0 0,-1 1 0,1-1 0,-1 0 0,0 0 0,1 0 0,-1 1 0,1-1 0,0 0 0,-1 0 0,1 1 0,0-1 0,-1 1 0,1-1 0,0 1 0,0-1 0,-1 1 0,1-1 0,0 1 0,0-1 0,0 1 0,0 0 0,0 0 0,-1-1 0,1 1 0,0 0 0,0 0 0,0 0 0,0 0 0,0 0 0,0 0 0,0 0 0,0 0 0,0 1 0,-1-1 0,1 0 0,0 0 0,0 1 0,0-1 0,0 1 0,0-1 0,-1 1 0,1-1 0,0 1 0,0-1 0,-1 1 0,1 0 0,-1-1 0,1 1 0,0 0 0,-1-1 0,1 1 0,-1 0 0,1 0 0,-1 0 0,1 1 0,3 28 0,-4-24 0,1 0 0,0 0 0,0 0 0,0 0 0,1 0 0,-1 0 0,4 6 0,-4-11 0,-1-1 0,1 1 0,-1 0 0,1-1 0,-1 1 0,1 0 0,0-1 0,-1 1 0,1-1 0,0 1 0,-1-1 0,1 1 0,0-1 0,0 1 0,0-1 0,-1 0 0,1 1 0,0-1 0,0 0 0,0 0 0,1 0 0,0 0 0,0 0 0,1-1 0,-1 1 0,0-1 0,0 1 0,0-1 0,1 0 0,-1 0 0,0 0 0,0 0 0,0 0 0,1-2 0,2-1 0,0-1 0,0 1 0,-1-1 0,1 0 0,5-10 0,-33 38 0,16-17 0,0 1 0,0 0 0,-8 12 0,13-17 0,1 1 0,-1-1 0,1 1 0,0-1 0,0 1 0,0 0 0,0-1 0,0 1 0,1 0 0,-1-1 0,1 1 0,0 0 0,0 0 0,0 0 0,0-1 0,1 7 0,-1-9 0,0 1 0,1 0 0,-1 0 0,0 0 0,0 0 0,0 0 0,1 0 0,-1 0 0,1-1 0,-1 1 0,0 0 0,1 0 0,0 0 0,-1-1 0,1 1 0,-1 0 0,1-1 0,0 1 0,-1-1 0,1 1 0,0 0 0,0-1 0,-1 0 0,1 1 0,0-1 0,0 1 0,0-1 0,0 0 0,0 0 0,0 1 0,-1-1 0,1 0 0,0 0 0,0 0 0,0 0 0,0 0 0,0 0 0,0 0 0,0-1 0,0 1 0,0 0 0,-1 0 0,1-1 0,0 1 0,0 0 0,1-2 0,2 1 0,-1-1 0,0 0 0,0 0 0,0 0 0,0-1 0,-1 1 0,1-1 0,-1 1 0,1-1 0,3-6 0,11-36 0,-15 37 0,1 0 0,0 0 0,0 0 0,7-12 0,23-45 0,-13 24 0,-20 41 0,0 1 0,0-1 0,0 0 0,0 0 0,0 0 0,0 0 0,0 0 0,0 0 0,0 0 0,0 0 0,0 0 0,0 1 0,1-1 0,-1 0 0,0 0 0,0 0 0,0 0 0,0 0 0,0 0 0,0 0 0,0 0 0,0 0 0,0 0 0,0 0 0,0 0 0,1 0 0,-1 0 0,0 0 0,0 0 0,0 0 0,0 0 0,0 0 0,0 0 0,0 0 0,0 0 0,1 0 0,-1 0 0,0 0 0,0 0 0,0 0 0,0 0 0,0 0 0,0 0 0,0 0 0,0 0 0,0 0 0,1 0 0,-1 0 0,0 0 0,0 0 0,0 0 0,0 0 0,0 0 0,0 0 0,0 0 0,0 0 0,0-1 0,0 1 0,0 0 0,0 0 0,0 0 0,0 0 0,0 0 0,1 0 0,-1 0 0,0-1 0,2 16 0,0 17 0,-2 25 0,-3 63 0,3-119 0,1 0 0,-1 0 0,-1 0 0,1 0 0,0 0 0,0 0 0,0 0 0,0 0 0,-1 0 0,1 0 0,0 0 0,-1 0 0,1 0 0,-1 0 0,1 0 0,-1-1 0,1 1 0,-1 0 0,0 0 0,1-1 0,-1 1 0,0 0 0,0-1 0,1 1 0,-1-1 0,0 1 0,0-1 0,-2 2 0,2-3 0,0 1 0,0 0 0,0 0 0,0-1 0,1 1 0,-1-1 0,0 1 0,0-1 0,0 1 0,0-1 0,0 1 0,1-1 0,-1 0 0,0 0 0,0 1 0,1-1 0,-1 0 0,1 0 0,-1 0 0,0 0 0,1 1 0,0-1 0,-1 0 0,1 0 0,0 0 0,-1 0 0,1 0 0,0-2 0,-12-54 0,11 47 0,-1 0 0,0-1 0,0 1 0,-1 1 0,0-1 0,-1 0 0,0 1 0,-8-13 0,0 2-88,11 17 24,-1-1 1,1 1-1,-1 0 0,0 0 0,1 0 0,-2 0 0,1 1 0,0-1 0,0 1 1,-1-1-1,0 1 0,1 0 0,-1-1 0,0 1 0,0 1 0,0-1 1,0 0-1,0 1 0,-6-2 0,-2 3-6762</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28</Pages>
  <Words>4977</Words>
  <Characters>28375</Characters>
  <Application>Microsoft Office Word</Application>
  <DocSecurity>0</DocSecurity>
  <Lines>236</Lines>
  <Paragraphs>66</Paragraphs>
  <ScaleCrop>false</ScaleCrop>
  <Company/>
  <LinksUpToDate>false</LinksUpToDate>
  <CharactersWithSpaces>33286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Rafif Pratama</dc:creator>
  <cp:keywords/>
  <dc:description/>
  <cp:lastModifiedBy>Rafif Pratama</cp:lastModifiedBy>
  <cp:revision>3</cp:revision>
  <cp:lastPrinted>2026-01-27T07:11:00Z</cp:lastPrinted>
  <dcterms:created xsi:type="dcterms:W3CDTF">2026-01-27T07:01:00Z</dcterms:created>
  <dcterms:modified xsi:type="dcterms:W3CDTF">2026-01-27T07:13:00Z</dcterms:modified>
</cp:coreProperties>
</file>