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7FE2" w14:textId="77777777" w:rsidR="0027462B" w:rsidRPr="0027462B" w:rsidRDefault="0027462B" w:rsidP="0027462B">
      <w:pPr>
        <w:keepNext/>
        <w:keepLines/>
        <w:spacing w:before="360" w:after="80" w:line="276" w:lineRule="auto"/>
        <w:ind w:left="432" w:hanging="432"/>
        <w:outlineLvl w:val="0"/>
        <w:rPr>
          <w:rFonts w:ascii="Times New Roman" w:eastAsiaTheme="majorEastAsia" w:hAnsi="Times New Roman" w:cs="Times New Roman"/>
          <w:sz w:val="36"/>
          <w:szCs w:val="36"/>
        </w:rPr>
      </w:pPr>
      <w:bookmarkStart w:id="0" w:name="_Toc209092875"/>
      <w:r w:rsidRPr="0027462B">
        <w:rPr>
          <w:rFonts w:ascii="Times New Roman" w:eastAsiaTheme="majorEastAsia" w:hAnsi="Times New Roman" w:cs="Times New Roman"/>
          <w:sz w:val="36"/>
          <w:szCs w:val="36"/>
        </w:rPr>
        <w:t>Supplementary materials</w:t>
      </w:r>
      <w:bookmarkEnd w:id="0"/>
    </w:p>
    <w:p w14:paraId="5A59FCBC" w14:textId="77777777" w:rsidR="0027462B" w:rsidRPr="0027462B" w:rsidRDefault="0027462B" w:rsidP="0027462B">
      <w:pPr>
        <w:spacing w:after="200" w:line="276" w:lineRule="auto"/>
        <w:rPr>
          <w:rFonts w:ascii="Times New Roman" w:eastAsiaTheme="minorEastAsia" w:hAnsi="Times New Roman"/>
        </w:rPr>
      </w:pPr>
    </w:p>
    <w:p w14:paraId="4941926F" w14:textId="77777777" w:rsidR="0027462B" w:rsidRPr="0027462B" w:rsidRDefault="0027462B" w:rsidP="0027462B">
      <w:pPr>
        <w:keepNext/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Cs w:val="16"/>
        </w:rPr>
      </w:pPr>
      <w:bookmarkStart w:id="1" w:name="_Toc209092989"/>
      <w:r w:rsidRPr="0027462B">
        <w:rPr>
          <w:rFonts w:ascii="Times New Roman" w:eastAsiaTheme="minorEastAsia" w:hAnsi="Times New Roman" w:cs="Times New Roman"/>
          <w:bCs/>
          <w:i/>
          <w:szCs w:val="16"/>
        </w:rPr>
        <w:t xml:space="preserve">Supplementary Table </w:t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fldChar w:fldCharType="begin"/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instrText xml:space="preserve"> SEQ Supplementary_Table \* ARABIC </w:instrText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fldChar w:fldCharType="separate"/>
      </w:r>
      <w:r w:rsidRPr="0027462B">
        <w:rPr>
          <w:rFonts w:ascii="Times New Roman" w:eastAsiaTheme="minorEastAsia" w:hAnsi="Times New Roman" w:cs="Times New Roman"/>
          <w:bCs/>
          <w:i/>
          <w:noProof/>
          <w:szCs w:val="16"/>
        </w:rPr>
        <w:t>1</w:t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fldChar w:fldCharType="end"/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t xml:space="preserve"> Condition-specific parameter estimates (β) from each ROI for the contrasts where the schooling group exhibited more positive activation than the non-schooling group.</w:t>
      </w:r>
      <w:bookmarkEnd w:id="1"/>
    </w:p>
    <w:tbl>
      <w:tblPr>
        <w:tblStyle w:val="TableGrid"/>
        <w:tblW w:w="987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048"/>
        <w:gridCol w:w="1639"/>
        <w:gridCol w:w="1639"/>
      </w:tblGrid>
      <w:tr w:rsidR="0027462B" w:rsidRPr="0027462B" w14:paraId="1D0B68ED" w14:textId="77777777" w:rsidTr="00CD755C">
        <w:trPr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B99D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Contrast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AC8EB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Area of activation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AF2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b/>
                <w:bCs/>
                <w:lang w:val="es-ES"/>
              </w:rPr>
              <w:t>Mean beta (NS)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14:paraId="090EEF9F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27462B">
              <w:rPr>
                <w:rFonts w:ascii="Times New Roman" w:hAnsi="Times New Roman" w:cs="Times New Roman"/>
                <w:b/>
                <w:bCs/>
                <w:lang w:val="es-ES"/>
              </w:rPr>
              <w:t>Mean beta (S)</w:t>
            </w:r>
          </w:p>
        </w:tc>
      </w:tr>
      <w:tr w:rsidR="0027462B" w:rsidRPr="0027462B" w14:paraId="74D48679" w14:textId="77777777" w:rsidTr="00CD755C">
        <w:trPr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9C50E7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Words -</w:t>
            </w:r>
          </w:p>
          <w:p w14:paraId="77C9825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Fixation</w:t>
            </w:r>
          </w:p>
        </w:tc>
        <w:tc>
          <w:tcPr>
            <w:tcW w:w="5048" w:type="dxa"/>
            <w:tcBorders>
              <w:top w:val="single" w:sz="4" w:space="0" w:color="auto"/>
              <w:bottom w:val="nil"/>
            </w:tcBorders>
          </w:tcPr>
          <w:p w14:paraId="089A0E8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</w:rPr>
              <w:t>Left supplementary motor area</w:t>
            </w:r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</w:tcPr>
          <w:p w14:paraId="192C69D3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</w:tcPr>
          <w:p w14:paraId="57E48523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0.16</w:t>
            </w:r>
          </w:p>
        </w:tc>
      </w:tr>
      <w:tr w:rsidR="0027462B" w:rsidRPr="0027462B" w14:paraId="7A3AD759" w14:textId="77777777" w:rsidTr="00CD755C">
        <w:trPr>
          <w:jc w:val="center"/>
        </w:trPr>
        <w:tc>
          <w:tcPr>
            <w:tcW w:w="1548" w:type="dxa"/>
            <w:vMerge/>
            <w:tcBorders>
              <w:top w:val="nil"/>
              <w:bottom w:val="nil"/>
            </w:tcBorders>
            <w:vAlign w:val="center"/>
          </w:tcPr>
          <w:p w14:paraId="1837CC57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2FA6ED2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</w:rPr>
              <w:t>Left fusiform gyrus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1E529A5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F7B5A0F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0.53</w:t>
            </w:r>
          </w:p>
        </w:tc>
      </w:tr>
      <w:tr w:rsidR="0027462B" w:rsidRPr="0027462B" w14:paraId="34FCE4A7" w14:textId="77777777" w:rsidTr="00CD755C">
        <w:trPr>
          <w:jc w:val="center"/>
        </w:trPr>
        <w:tc>
          <w:tcPr>
            <w:tcW w:w="154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E6472B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  <w:tcBorders>
              <w:top w:val="nil"/>
              <w:bottom w:val="single" w:sz="4" w:space="0" w:color="auto"/>
            </w:tcBorders>
          </w:tcPr>
          <w:p w14:paraId="2E926473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</w:rPr>
              <w:t>Left middle frontal cortex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14:paraId="4124549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14:paraId="29CCE86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0.04</w:t>
            </w:r>
          </w:p>
        </w:tc>
      </w:tr>
      <w:tr w:rsidR="0027462B" w:rsidRPr="0027462B" w14:paraId="274FE0FB" w14:textId="77777777" w:rsidTr="00CD755C">
        <w:trPr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4DCB2B5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Numbers – Fixation</w:t>
            </w:r>
          </w:p>
        </w:tc>
        <w:tc>
          <w:tcPr>
            <w:tcW w:w="5048" w:type="dxa"/>
            <w:tcBorders>
              <w:top w:val="single" w:sz="4" w:space="0" w:color="auto"/>
              <w:bottom w:val="nil"/>
            </w:tcBorders>
          </w:tcPr>
          <w:p w14:paraId="01C0B402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lang w:val="es-ES"/>
              </w:rPr>
              <w:t xml:space="preserve">Right inferior parietal </w:t>
            </w:r>
            <w:proofErr w:type="spellStart"/>
            <w:r w:rsidRPr="0027462B">
              <w:rPr>
                <w:rFonts w:ascii="Times New Roman" w:hAnsi="Times New Roman" w:cs="Times New Roman"/>
                <w:lang w:val="es-ES"/>
              </w:rPr>
              <w:t>cortex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</w:tcPr>
          <w:p w14:paraId="58C65391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  <w:lang w:val="es-ES"/>
              </w:rPr>
              <w:t>-0.37</w:t>
            </w:r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</w:tcPr>
          <w:p w14:paraId="4B80CD4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  <w:lang w:val="es-ES"/>
              </w:rPr>
              <w:t>0.08</w:t>
            </w:r>
          </w:p>
        </w:tc>
      </w:tr>
      <w:tr w:rsidR="0027462B" w:rsidRPr="0027462B" w14:paraId="042F98E5" w14:textId="77777777" w:rsidTr="00CD755C">
        <w:trPr>
          <w:jc w:val="center"/>
        </w:trPr>
        <w:tc>
          <w:tcPr>
            <w:tcW w:w="1548" w:type="dxa"/>
            <w:vMerge/>
            <w:tcBorders>
              <w:top w:val="nil"/>
              <w:bottom w:val="nil"/>
            </w:tcBorders>
            <w:vAlign w:val="center"/>
          </w:tcPr>
          <w:p w14:paraId="3E76BBE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  <w:tcBorders>
              <w:top w:val="nil"/>
              <w:bottom w:val="nil"/>
            </w:tcBorders>
          </w:tcPr>
          <w:p w14:paraId="6C1341A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</w:rPr>
              <w:t>Left superior frontal cortex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9CB122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-0.24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 w14:paraId="3E84B56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0.13</w:t>
            </w:r>
          </w:p>
        </w:tc>
      </w:tr>
      <w:tr w:rsidR="0027462B" w:rsidRPr="0027462B" w14:paraId="5BD87EA9" w14:textId="77777777" w:rsidTr="00CD755C">
        <w:trPr>
          <w:jc w:val="center"/>
        </w:trPr>
        <w:tc>
          <w:tcPr>
            <w:tcW w:w="154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1093B52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  <w:tcBorders>
              <w:top w:val="nil"/>
              <w:bottom w:val="single" w:sz="4" w:space="0" w:color="auto"/>
            </w:tcBorders>
          </w:tcPr>
          <w:p w14:paraId="4A35801F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insula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14:paraId="0180FC1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  <w:lang w:val="es-ES"/>
              </w:rPr>
              <w:t>-0.40</w:t>
            </w:r>
          </w:p>
        </w:tc>
        <w:tc>
          <w:tcPr>
            <w:tcW w:w="1639" w:type="dxa"/>
            <w:tcBorders>
              <w:top w:val="nil"/>
              <w:bottom w:val="single" w:sz="4" w:space="0" w:color="auto"/>
            </w:tcBorders>
          </w:tcPr>
          <w:p w14:paraId="4C545F4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27462B">
              <w:rPr>
                <w:rFonts w:ascii="Times New Roman" w:hAnsi="Times New Roman" w:cs="Times New Roman"/>
                <w:lang w:val="es-ES"/>
              </w:rPr>
              <w:t>-0.13</w:t>
            </w:r>
          </w:p>
        </w:tc>
      </w:tr>
      <w:tr w:rsidR="0027462B" w:rsidRPr="0027462B" w14:paraId="040D388D" w14:textId="77777777" w:rsidTr="00CD755C">
        <w:trPr>
          <w:jc w:val="center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00A77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Words -</w:t>
            </w:r>
          </w:p>
          <w:p w14:paraId="1A1E2E61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Numbers</w:t>
            </w: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14:paraId="12E60D18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fusiform gyrus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14:paraId="1E90FAA2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14:paraId="3AEBD312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0.23</w:t>
            </w:r>
          </w:p>
        </w:tc>
      </w:tr>
      <w:tr w:rsidR="0027462B" w:rsidRPr="0027462B" w14:paraId="74D8BE60" w14:textId="77777777" w:rsidTr="00CD755C">
        <w:trPr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</w:tcBorders>
            <w:vAlign w:val="center"/>
          </w:tcPr>
          <w:p w14:paraId="0A3F38F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Numbers -</w:t>
            </w:r>
          </w:p>
          <w:p w14:paraId="367A0B7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Words</w:t>
            </w:r>
          </w:p>
        </w:tc>
        <w:tc>
          <w:tcPr>
            <w:tcW w:w="5048" w:type="dxa"/>
            <w:tcBorders>
              <w:top w:val="single" w:sz="4" w:space="0" w:color="auto"/>
            </w:tcBorders>
          </w:tcPr>
          <w:p w14:paraId="0317A27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 xml:space="preserve">Right cuneus/ </w:t>
            </w:r>
            <w:proofErr w:type="spellStart"/>
            <w:r w:rsidRPr="0027462B">
              <w:rPr>
                <w:rFonts w:ascii="Times New Roman" w:hAnsi="Times New Roman" w:cs="Times New Roman"/>
                <w:lang w:val="fr-FR"/>
              </w:rPr>
              <w:t>superior</w:t>
            </w:r>
            <w:proofErr w:type="spellEnd"/>
            <w:r w:rsidRPr="0027462B">
              <w:rPr>
                <w:rFonts w:ascii="Times New Roman" w:hAnsi="Times New Roman" w:cs="Times New Roman"/>
                <w:lang w:val="fr-FR"/>
              </w:rPr>
              <w:t xml:space="preserve"> occipital/ calcarine cortex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14:paraId="3CC1545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14:paraId="5FCDCA5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0.34</w:t>
            </w:r>
          </w:p>
        </w:tc>
      </w:tr>
      <w:tr w:rsidR="0027462B" w:rsidRPr="0027462B" w14:paraId="76C9CA9C" w14:textId="77777777" w:rsidTr="00CD755C">
        <w:trPr>
          <w:jc w:val="center"/>
        </w:trPr>
        <w:tc>
          <w:tcPr>
            <w:tcW w:w="1548" w:type="dxa"/>
            <w:vMerge/>
          </w:tcPr>
          <w:p w14:paraId="3A0C675B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</w:tcPr>
          <w:p w14:paraId="08E5D8E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</w:rPr>
              <w:t>Right supramarginal gyrus</w:t>
            </w:r>
          </w:p>
        </w:tc>
        <w:tc>
          <w:tcPr>
            <w:tcW w:w="1639" w:type="dxa"/>
          </w:tcPr>
          <w:p w14:paraId="74BF4E17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639" w:type="dxa"/>
          </w:tcPr>
          <w:p w14:paraId="6A23B453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0.09</w:t>
            </w:r>
          </w:p>
        </w:tc>
      </w:tr>
      <w:tr w:rsidR="0027462B" w:rsidRPr="0027462B" w14:paraId="3B14677D" w14:textId="77777777" w:rsidTr="00CD755C">
        <w:trPr>
          <w:jc w:val="center"/>
        </w:trPr>
        <w:tc>
          <w:tcPr>
            <w:tcW w:w="1548" w:type="dxa"/>
            <w:vMerge/>
          </w:tcPr>
          <w:p w14:paraId="366EC98B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</w:tcPr>
          <w:p w14:paraId="5336B189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middle cingulate cortex</w:t>
            </w:r>
          </w:p>
        </w:tc>
        <w:tc>
          <w:tcPr>
            <w:tcW w:w="1639" w:type="dxa"/>
          </w:tcPr>
          <w:p w14:paraId="7445BF0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639" w:type="dxa"/>
          </w:tcPr>
          <w:p w14:paraId="32BDEC0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0.03</w:t>
            </w:r>
          </w:p>
        </w:tc>
      </w:tr>
      <w:tr w:rsidR="0027462B" w:rsidRPr="0027462B" w14:paraId="2D5E9516" w14:textId="77777777" w:rsidTr="00CD755C">
        <w:trPr>
          <w:jc w:val="center"/>
        </w:trPr>
        <w:tc>
          <w:tcPr>
            <w:tcW w:w="1548" w:type="dxa"/>
            <w:vMerge/>
          </w:tcPr>
          <w:p w14:paraId="18D300E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</w:tcPr>
          <w:p w14:paraId="71D747C1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Right superior frontal cortex</w:t>
            </w:r>
          </w:p>
        </w:tc>
        <w:tc>
          <w:tcPr>
            <w:tcW w:w="1639" w:type="dxa"/>
          </w:tcPr>
          <w:p w14:paraId="6AE8B823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1639" w:type="dxa"/>
          </w:tcPr>
          <w:p w14:paraId="7CED0ED2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0.21</w:t>
            </w:r>
          </w:p>
        </w:tc>
      </w:tr>
      <w:tr w:rsidR="0027462B" w:rsidRPr="0027462B" w14:paraId="0FF91EAA" w14:textId="77777777" w:rsidTr="00CD755C">
        <w:trPr>
          <w:jc w:val="center"/>
        </w:trPr>
        <w:tc>
          <w:tcPr>
            <w:tcW w:w="1548" w:type="dxa"/>
            <w:vMerge/>
          </w:tcPr>
          <w:p w14:paraId="208A3E2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</w:tcPr>
          <w:p w14:paraId="727EBA0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cuneus/occipital cortex</w:t>
            </w:r>
          </w:p>
        </w:tc>
        <w:tc>
          <w:tcPr>
            <w:tcW w:w="1639" w:type="dxa"/>
          </w:tcPr>
          <w:p w14:paraId="02B46FC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1639" w:type="dxa"/>
          </w:tcPr>
          <w:p w14:paraId="5F31AE5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0.06</w:t>
            </w:r>
          </w:p>
        </w:tc>
      </w:tr>
      <w:tr w:rsidR="0027462B" w:rsidRPr="0027462B" w14:paraId="71F6C20A" w14:textId="77777777" w:rsidTr="00CD755C">
        <w:trPr>
          <w:jc w:val="center"/>
        </w:trPr>
        <w:tc>
          <w:tcPr>
            <w:tcW w:w="1548" w:type="dxa"/>
            <w:vMerge/>
          </w:tcPr>
          <w:p w14:paraId="631A23F1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48" w:type="dxa"/>
          </w:tcPr>
          <w:p w14:paraId="7CE1B9A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superior/middle frontal cortex</w:t>
            </w:r>
          </w:p>
        </w:tc>
        <w:tc>
          <w:tcPr>
            <w:tcW w:w="1639" w:type="dxa"/>
          </w:tcPr>
          <w:p w14:paraId="7A9B3099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1639" w:type="dxa"/>
          </w:tcPr>
          <w:p w14:paraId="2EA458F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0.19</w:t>
            </w:r>
          </w:p>
        </w:tc>
      </w:tr>
    </w:tbl>
    <w:p w14:paraId="227EFB90" w14:textId="77777777" w:rsidR="0027462B" w:rsidRPr="0027462B" w:rsidRDefault="0027462B" w:rsidP="0027462B">
      <w:pPr>
        <w:spacing w:after="200" w:line="276" w:lineRule="auto"/>
        <w:jc w:val="both"/>
        <w:rPr>
          <w:rFonts w:ascii="Times New Roman" w:eastAsiaTheme="minorEastAsia" w:hAnsi="Times New Roman" w:cs="Times New Roman"/>
          <w:i/>
          <w:iCs/>
        </w:rPr>
      </w:pPr>
      <w:r w:rsidRPr="0027462B">
        <w:rPr>
          <w:rFonts w:ascii="Times New Roman" w:eastAsiaTheme="minorEastAsia" w:hAnsi="Times New Roman" w:cs="Times New Roman"/>
          <w:i/>
          <w:iCs/>
        </w:rPr>
        <w:t>Note. NS = non-schooling group; S = schooling group. Positive beta values indicate activation, while negative beta values indicate deactivation relative to baseline.</w:t>
      </w:r>
    </w:p>
    <w:p w14:paraId="7C857596" w14:textId="77777777" w:rsidR="0027462B" w:rsidRPr="0027462B" w:rsidRDefault="0027462B" w:rsidP="0027462B">
      <w:pPr>
        <w:keepNext/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Cs w:val="16"/>
        </w:rPr>
      </w:pPr>
      <w:bookmarkStart w:id="2" w:name="_Toc209092990"/>
      <w:r w:rsidRPr="0027462B">
        <w:rPr>
          <w:rFonts w:ascii="Times New Roman" w:eastAsiaTheme="minorEastAsia" w:hAnsi="Times New Roman" w:cs="Times New Roman"/>
          <w:bCs/>
          <w:i/>
          <w:szCs w:val="16"/>
        </w:rPr>
        <w:t xml:space="preserve">Supplementary Table </w:t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fldChar w:fldCharType="begin"/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instrText xml:space="preserve"> SEQ Supplementary_Table \* ARABIC </w:instrText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fldChar w:fldCharType="separate"/>
      </w:r>
      <w:r w:rsidRPr="0027462B">
        <w:rPr>
          <w:rFonts w:ascii="Times New Roman" w:eastAsiaTheme="minorEastAsia" w:hAnsi="Times New Roman" w:cs="Times New Roman"/>
          <w:bCs/>
          <w:i/>
          <w:noProof/>
          <w:szCs w:val="16"/>
        </w:rPr>
        <w:t>2</w:t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fldChar w:fldCharType="end"/>
      </w:r>
      <w:r w:rsidRPr="0027462B">
        <w:rPr>
          <w:rFonts w:ascii="Times New Roman" w:eastAsiaTheme="minorEastAsia" w:hAnsi="Times New Roman" w:cs="Times New Roman"/>
          <w:bCs/>
          <w:i/>
          <w:szCs w:val="16"/>
        </w:rPr>
        <w:t xml:space="preserve"> Condition-specific parameter estimates (β) from each ROI for the contrasts where the non-schooling group exhibited more positive activation than the schooling group.</w:t>
      </w:r>
      <w:bookmarkEnd w:id="2"/>
    </w:p>
    <w:tbl>
      <w:tblPr>
        <w:tblStyle w:val="TableGrid"/>
        <w:tblW w:w="972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093"/>
        <w:gridCol w:w="1396"/>
        <w:gridCol w:w="1537"/>
      </w:tblGrid>
      <w:tr w:rsidR="0027462B" w:rsidRPr="0027462B" w14:paraId="2FA7B7EB" w14:textId="77777777" w:rsidTr="00CD755C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FCF72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Contrast</w:t>
            </w:r>
          </w:p>
        </w:tc>
        <w:tc>
          <w:tcPr>
            <w:tcW w:w="5093" w:type="dxa"/>
            <w:tcBorders>
              <w:bottom w:val="single" w:sz="4" w:space="0" w:color="auto"/>
            </w:tcBorders>
            <w:vAlign w:val="center"/>
          </w:tcPr>
          <w:p w14:paraId="51A1556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Area of activation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14:paraId="35551A0B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Mean beta (NS)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1CD4ED7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Mean beta (S)</w:t>
            </w:r>
          </w:p>
        </w:tc>
      </w:tr>
      <w:tr w:rsidR="0027462B" w:rsidRPr="0027462B" w14:paraId="4A96FD2F" w14:textId="77777777" w:rsidTr="00CD755C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76E3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Words – Fixation</w:t>
            </w:r>
          </w:p>
        </w:tc>
        <w:tc>
          <w:tcPr>
            <w:tcW w:w="5093" w:type="dxa"/>
            <w:tcBorders>
              <w:top w:val="single" w:sz="4" w:space="0" w:color="auto"/>
              <w:bottom w:val="single" w:sz="4" w:space="0" w:color="auto"/>
            </w:tcBorders>
          </w:tcPr>
          <w:p w14:paraId="5F5CF905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 xml:space="preserve">Right cuneus/ </w:t>
            </w:r>
            <w:proofErr w:type="spellStart"/>
            <w:r w:rsidRPr="0027462B">
              <w:rPr>
                <w:rFonts w:ascii="Times New Roman" w:hAnsi="Times New Roman" w:cs="Times New Roman"/>
                <w:lang w:val="fr-FR"/>
              </w:rPr>
              <w:t>superior</w:t>
            </w:r>
            <w:proofErr w:type="spellEnd"/>
            <w:r w:rsidRPr="0027462B">
              <w:rPr>
                <w:rFonts w:ascii="Times New Roman" w:hAnsi="Times New Roman" w:cs="Times New Roman"/>
                <w:lang w:val="fr-FR"/>
              </w:rPr>
              <w:t xml:space="preserve"> occipital/ calcarine cortex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0CCA0D03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3E61D78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0.43</w:t>
            </w:r>
          </w:p>
        </w:tc>
      </w:tr>
      <w:tr w:rsidR="0027462B" w:rsidRPr="0027462B" w14:paraId="09B05CF5" w14:textId="77777777" w:rsidTr="00CD755C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BE06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Numbers – Fixation</w:t>
            </w:r>
          </w:p>
        </w:tc>
        <w:tc>
          <w:tcPr>
            <w:tcW w:w="5093" w:type="dxa"/>
            <w:tcBorders>
              <w:top w:val="single" w:sz="4" w:space="0" w:color="auto"/>
              <w:bottom w:val="single" w:sz="4" w:space="0" w:color="auto"/>
            </w:tcBorders>
          </w:tcPr>
          <w:p w14:paraId="345D5BB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27462B">
              <w:rPr>
                <w:rFonts w:ascii="Times New Roman" w:hAnsi="Times New Roman" w:cs="Times New Roman"/>
                <w:i/>
                <w:iCs/>
                <w:lang w:val="fr-FR"/>
              </w:rPr>
              <w:t xml:space="preserve">No </w:t>
            </w:r>
            <w:proofErr w:type="spellStart"/>
            <w:r w:rsidRPr="0027462B">
              <w:rPr>
                <w:rFonts w:ascii="Times New Roman" w:hAnsi="Times New Roman" w:cs="Times New Roman"/>
                <w:i/>
                <w:iCs/>
                <w:lang w:val="fr-FR"/>
              </w:rPr>
              <w:t>significant</w:t>
            </w:r>
            <w:proofErr w:type="spellEnd"/>
            <w:r w:rsidRPr="0027462B">
              <w:rPr>
                <w:rFonts w:ascii="Times New Roman" w:hAnsi="Times New Roman" w:cs="Times New Roman"/>
                <w:i/>
                <w:iCs/>
                <w:lang w:val="fr-FR"/>
              </w:rPr>
              <w:t xml:space="preserve"> clusters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7C952697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0F67342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/</w:t>
            </w:r>
          </w:p>
        </w:tc>
      </w:tr>
      <w:tr w:rsidR="0027462B" w:rsidRPr="0027462B" w14:paraId="4B40A856" w14:textId="77777777" w:rsidTr="00CD755C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4DEADC6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Words - Numbers</w:t>
            </w: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46161FA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 xml:space="preserve">Right cuneus/ </w:t>
            </w:r>
            <w:proofErr w:type="spellStart"/>
            <w:r w:rsidRPr="0027462B">
              <w:rPr>
                <w:rFonts w:ascii="Times New Roman" w:hAnsi="Times New Roman" w:cs="Times New Roman"/>
                <w:lang w:val="fr-FR"/>
              </w:rPr>
              <w:t>superior</w:t>
            </w:r>
            <w:proofErr w:type="spellEnd"/>
            <w:r w:rsidRPr="0027462B">
              <w:rPr>
                <w:rFonts w:ascii="Times New Roman" w:hAnsi="Times New Roman" w:cs="Times New Roman"/>
                <w:lang w:val="fr-FR"/>
              </w:rPr>
              <w:t xml:space="preserve"> occipital/ calcarine cortex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59C8ABFF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0.20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027B322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-0.34</w:t>
            </w:r>
          </w:p>
        </w:tc>
      </w:tr>
      <w:tr w:rsidR="0027462B" w:rsidRPr="0027462B" w14:paraId="2644BEB6" w14:textId="77777777" w:rsidTr="00CD755C">
        <w:trPr>
          <w:jc w:val="center"/>
        </w:trPr>
        <w:tc>
          <w:tcPr>
            <w:tcW w:w="1701" w:type="dxa"/>
            <w:vMerge/>
            <w:vAlign w:val="center"/>
          </w:tcPr>
          <w:p w14:paraId="0A86C9BC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3" w:type="dxa"/>
          </w:tcPr>
          <w:p w14:paraId="6FF5D748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Right supramarginal gyrus</w:t>
            </w:r>
          </w:p>
        </w:tc>
        <w:tc>
          <w:tcPr>
            <w:tcW w:w="1396" w:type="dxa"/>
          </w:tcPr>
          <w:p w14:paraId="4550E8E1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0.08</w:t>
            </w:r>
          </w:p>
        </w:tc>
        <w:tc>
          <w:tcPr>
            <w:tcW w:w="1537" w:type="dxa"/>
          </w:tcPr>
          <w:p w14:paraId="4C02E62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-0.09</w:t>
            </w:r>
          </w:p>
        </w:tc>
      </w:tr>
      <w:tr w:rsidR="0027462B" w:rsidRPr="0027462B" w14:paraId="28678185" w14:textId="77777777" w:rsidTr="00CD755C">
        <w:trPr>
          <w:jc w:val="center"/>
        </w:trPr>
        <w:tc>
          <w:tcPr>
            <w:tcW w:w="1701" w:type="dxa"/>
            <w:vMerge/>
            <w:vAlign w:val="center"/>
          </w:tcPr>
          <w:p w14:paraId="365523B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3" w:type="dxa"/>
          </w:tcPr>
          <w:p w14:paraId="7B47BD8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middle cingulate cortex</w:t>
            </w:r>
          </w:p>
        </w:tc>
        <w:tc>
          <w:tcPr>
            <w:tcW w:w="1396" w:type="dxa"/>
          </w:tcPr>
          <w:p w14:paraId="0A3FD285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0.07</w:t>
            </w:r>
          </w:p>
        </w:tc>
        <w:tc>
          <w:tcPr>
            <w:tcW w:w="1537" w:type="dxa"/>
          </w:tcPr>
          <w:p w14:paraId="4D7BFB6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-0.03</w:t>
            </w:r>
          </w:p>
        </w:tc>
      </w:tr>
      <w:tr w:rsidR="0027462B" w:rsidRPr="0027462B" w14:paraId="31D51F33" w14:textId="77777777" w:rsidTr="00CD755C">
        <w:trPr>
          <w:jc w:val="center"/>
        </w:trPr>
        <w:tc>
          <w:tcPr>
            <w:tcW w:w="1701" w:type="dxa"/>
            <w:vMerge/>
            <w:vAlign w:val="center"/>
          </w:tcPr>
          <w:p w14:paraId="25E09785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3" w:type="dxa"/>
          </w:tcPr>
          <w:p w14:paraId="342198B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</w:rPr>
              <w:t>Right superior frontal cortex</w:t>
            </w:r>
          </w:p>
        </w:tc>
        <w:tc>
          <w:tcPr>
            <w:tcW w:w="1396" w:type="dxa"/>
          </w:tcPr>
          <w:p w14:paraId="07ED792F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0.20</w:t>
            </w:r>
          </w:p>
        </w:tc>
        <w:tc>
          <w:tcPr>
            <w:tcW w:w="1537" w:type="dxa"/>
          </w:tcPr>
          <w:p w14:paraId="3C4EB07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-0.21</w:t>
            </w:r>
          </w:p>
        </w:tc>
      </w:tr>
      <w:tr w:rsidR="0027462B" w:rsidRPr="0027462B" w14:paraId="6F535AAE" w14:textId="77777777" w:rsidTr="00CD755C">
        <w:trPr>
          <w:jc w:val="center"/>
        </w:trPr>
        <w:tc>
          <w:tcPr>
            <w:tcW w:w="1701" w:type="dxa"/>
            <w:vMerge/>
            <w:vAlign w:val="center"/>
          </w:tcPr>
          <w:p w14:paraId="581AAA1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3" w:type="dxa"/>
          </w:tcPr>
          <w:p w14:paraId="11FB0D0B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</w:rPr>
              <w:t>Left cuneus/occipital cortex</w:t>
            </w:r>
          </w:p>
        </w:tc>
        <w:tc>
          <w:tcPr>
            <w:tcW w:w="1396" w:type="dxa"/>
          </w:tcPr>
          <w:p w14:paraId="673021AE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0.22</w:t>
            </w:r>
          </w:p>
        </w:tc>
        <w:tc>
          <w:tcPr>
            <w:tcW w:w="1537" w:type="dxa"/>
          </w:tcPr>
          <w:p w14:paraId="3C890360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-0.06</w:t>
            </w:r>
          </w:p>
        </w:tc>
      </w:tr>
      <w:tr w:rsidR="0027462B" w:rsidRPr="0027462B" w14:paraId="3B15E1D1" w14:textId="77777777" w:rsidTr="00CD755C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BCAB91F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5B2CDA7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superior/middle frontal cortex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14:paraId="62C5D8F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0.07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5B21CF2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-0.19</w:t>
            </w:r>
          </w:p>
        </w:tc>
      </w:tr>
      <w:tr w:rsidR="0027462B" w:rsidRPr="0027462B" w14:paraId="4508FDEE" w14:textId="77777777" w:rsidTr="00CD755C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184DB0D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462B">
              <w:rPr>
                <w:rFonts w:ascii="Times New Roman" w:hAnsi="Times New Roman" w:cs="Times New Roman"/>
                <w:b/>
                <w:bCs/>
              </w:rPr>
              <w:t>Numbers - Words</w:t>
            </w:r>
          </w:p>
        </w:tc>
        <w:tc>
          <w:tcPr>
            <w:tcW w:w="5093" w:type="dxa"/>
            <w:tcBorders>
              <w:top w:val="single" w:sz="4" w:space="0" w:color="auto"/>
              <w:bottom w:val="nil"/>
            </w:tcBorders>
          </w:tcPr>
          <w:p w14:paraId="70D4708A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Left fusiform gyrus</w:t>
            </w:r>
          </w:p>
        </w:tc>
        <w:tc>
          <w:tcPr>
            <w:tcW w:w="1396" w:type="dxa"/>
            <w:tcBorders>
              <w:top w:val="single" w:sz="4" w:space="0" w:color="auto"/>
              <w:bottom w:val="nil"/>
            </w:tcBorders>
          </w:tcPr>
          <w:p w14:paraId="20EE50C6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0.18</w:t>
            </w:r>
          </w:p>
        </w:tc>
        <w:tc>
          <w:tcPr>
            <w:tcW w:w="1537" w:type="dxa"/>
            <w:tcBorders>
              <w:top w:val="single" w:sz="4" w:space="0" w:color="auto"/>
              <w:bottom w:val="nil"/>
            </w:tcBorders>
          </w:tcPr>
          <w:p w14:paraId="719D9278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-0.23</w:t>
            </w:r>
          </w:p>
        </w:tc>
      </w:tr>
      <w:tr w:rsidR="0027462B" w:rsidRPr="0027462B" w14:paraId="7EF0606C" w14:textId="77777777" w:rsidTr="00CD755C">
        <w:trPr>
          <w:jc w:val="center"/>
        </w:trPr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0502628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3" w:type="dxa"/>
            <w:tcBorders>
              <w:top w:val="nil"/>
              <w:bottom w:val="single" w:sz="4" w:space="0" w:color="auto"/>
            </w:tcBorders>
          </w:tcPr>
          <w:p w14:paraId="478A074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7462B">
              <w:rPr>
                <w:rFonts w:ascii="Times New Roman" w:hAnsi="Times New Roman" w:cs="Times New Roman"/>
              </w:rPr>
              <w:t>Right postcentral cortex</w:t>
            </w:r>
          </w:p>
        </w:tc>
        <w:tc>
          <w:tcPr>
            <w:tcW w:w="1396" w:type="dxa"/>
            <w:tcBorders>
              <w:top w:val="nil"/>
              <w:bottom w:val="single" w:sz="4" w:space="0" w:color="auto"/>
            </w:tcBorders>
          </w:tcPr>
          <w:p w14:paraId="1545A714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-0.02</w:t>
            </w:r>
          </w:p>
        </w:tc>
        <w:tc>
          <w:tcPr>
            <w:tcW w:w="1537" w:type="dxa"/>
            <w:tcBorders>
              <w:top w:val="nil"/>
              <w:bottom w:val="single" w:sz="4" w:space="0" w:color="auto"/>
            </w:tcBorders>
          </w:tcPr>
          <w:p w14:paraId="2C2768E8" w14:textId="77777777" w:rsidR="0027462B" w:rsidRPr="0027462B" w:rsidRDefault="0027462B" w:rsidP="0027462B">
            <w:pPr>
              <w:spacing w:line="276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27462B">
              <w:rPr>
                <w:rFonts w:ascii="Times New Roman" w:hAnsi="Times New Roman" w:cs="Times New Roman"/>
                <w:lang w:val="fr-FR"/>
              </w:rPr>
              <w:t>-0.10</w:t>
            </w:r>
          </w:p>
        </w:tc>
      </w:tr>
    </w:tbl>
    <w:p w14:paraId="66B00EC3" w14:textId="77777777" w:rsidR="0027462B" w:rsidRPr="0027462B" w:rsidRDefault="0027462B" w:rsidP="0027462B">
      <w:pPr>
        <w:spacing w:after="200" w:line="276" w:lineRule="auto"/>
        <w:jc w:val="both"/>
        <w:rPr>
          <w:rFonts w:ascii="Times New Roman" w:eastAsiaTheme="minorEastAsia" w:hAnsi="Times New Roman" w:cs="Times New Roman"/>
        </w:rPr>
      </w:pPr>
      <w:r w:rsidRPr="0027462B">
        <w:rPr>
          <w:rFonts w:ascii="Times New Roman" w:eastAsiaTheme="minorEastAsia" w:hAnsi="Times New Roman" w:cs="Times New Roman"/>
          <w:i/>
          <w:iCs/>
        </w:rPr>
        <w:t xml:space="preserve">Note. NS = non-schooling group; S = schooling group. Positive beta values indicate activation, while negative beta values indicate deactivation relative to baseline. </w:t>
      </w:r>
    </w:p>
    <w:p w14:paraId="0B332EAD" w14:textId="77777777" w:rsidR="0027462B" w:rsidRPr="0027462B" w:rsidRDefault="0027462B" w:rsidP="0027462B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14:paraId="2BBB7B35" w14:textId="77777777" w:rsidR="00011F91" w:rsidRDefault="00011F91"/>
    <w:sectPr w:rsidR="0001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2B"/>
    <w:rsid w:val="00011F91"/>
    <w:rsid w:val="00184164"/>
    <w:rsid w:val="0027462B"/>
    <w:rsid w:val="002862B5"/>
    <w:rsid w:val="003B443B"/>
    <w:rsid w:val="003D2E5F"/>
    <w:rsid w:val="004128E3"/>
    <w:rsid w:val="00506201"/>
    <w:rsid w:val="00666DB2"/>
    <w:rsid w:val="00855FB3"/>
    <w:rsid w:val="008B21CA"/>
    <w:rsid w:val="008D59FA"/>
    <w:rsid w:val="008E1723"/>
    <w:rsid w:val="00AD3523"/>
    <w:rsid w:val="00B247EE"/>
    <w:rsid w:val="00C25062"/>
    <w:rsid w:val="00C87B49"/>
    <w:rsid w:val="00D67C59"/>
    <w:rsid w:val="00E04C9D"/>
    <w:rsid w:val="00E203AF"/>
    <w:rsid w:val="00EE4356"/>
    <w:rsid w:val="00F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FB3A"/>
  <w15:chartTrackingRefBased/>
  <w15:docId w15:val="{D65978FD-96AD-4D77-A5C6-E7574D12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6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6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62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62B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62B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62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62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62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62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7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62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62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7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62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74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6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62B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746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462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1726</Characters>
  <Application>Microsoft Office Word</Application>
  <DocSecurity>0</DocSecurity>
  <Lines>14</Lines>
  <Paragraphs>4</Paragraphs>
  <ScaleCrop>false</ScaleCrop>
  <Company>KU Leuven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Vandecruys</dc:creator>
  <cp:keywords/>
  <dc:description/>
  <cp:lastModifiedBy>Floor Vandecruys</cp:lastModifiedBy>
  <cp:revision>1</cp:revision>
  <dcterms:created xsi:type="dcterms:W3CDTF">2026-01-30T13:45:00Z</dcterms:created>
  <dcterms:modified xsi:type="dcterms:W3CDTF">2026-01-30T13:46:00Z</dcterms:modified>
</cp:coreProperties>
</file>