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FE6C3" w14:textId="77777777" w:rsidR="002A28A1" w:rsidRDefault="002A28A1" w:rsidP="002A28A1">
      <w:pPr>
        <w:pStyle w:val="Title"/>
        <w:rPr>
          <w:sz w:val="20"/>
          <w:szCs w:val="20"/>
        </w:rPr>
      </w:pPr>
      <w:r>
        <w:rPr>
          <w:sz w:val="36"/>
          <w:szCs w:val="36"/>
        </w:rPr>
        <w:t>Supplementary Figure</w:t>
      </w:r>
    </w:p>
    <w:p w14:paraId="68347CF0" w14:textId="77777777" w:rsidR="002A28A1" w:rsidRDefault="002A28A1" w:rsidP="002A28A1">
      <w:pPr>
        <w:keepNext/>
        <w:spacing w:after="0"/>
        <w:rPr>
          <w:b/>
          <w:bCs/>
        </w:rPr>
      </w:pPr>
      <w:r>
        <w:rPr>
          <w:noProof/>
        </w:rPr>
        <w:drawing>
          <wp:inline distT="0" distB="0" distL="0" distR="0" wp14:anchorId="5065DDA5" wp14:editId="6EF4DE47">
            <wp:extent cx="5760410" cy="2882900"/>
            <wp:effectExtent l="0" t="0" r="0" b="0"/>
            <wp:docPr id="179435636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8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Supplementary Figure 1. Adaptation vs. baseline decoding.</w:t>
      </w:r>
    </w:p>
    <w:p w14:paraId="40A9E292" w14:textId="77777777" w:rsidR="002A28A1" w:rsidRDefault="002A28A1" w:rsidP="002A28A1">
      <w:pPr>
        <w:keepNext/>
        <w:spacing w:after="0"/>
        <w:rPr>
          <w:sz w:val="20"/>
          <w:szCs w:val="20"/>
        </w:rPr>
      </w:pPr>
      <w:r>
        <w:t>Mean decoding accuracies for the motor planning (blue) component in the adaptation vs. baseline contrast across participants for each ROI. The dotted line marks the theoretical decoding chance accuracy (50%, two visuomotor rotations), and error bars indicate SEM across participants. Significant above-chance decoding accuracy (randomization analysis, Holm-Bonferroni correction) is indicated with asterisks (** &lt; 0.01, *** &lt; 0.001). Abbreviations: R (right), L (left), M1 (left primary motor area), S1 (left primary somatosensory area), SMA (supplementary motor area), SPL (superior parietal lobule), IPL (inferior parietal lobule), VIS (early visual area – Brodmann 17 &amp; 18), CB6/CB8 (right cerebellar lobules VI and VIII, respectively).</w:t>
      </w:r>
    </w:p>
    <w:p w14:paraId="722137D9" w14:textId="77777777" w:rsidR="00F553FF" w:rsidRDefault="00F553FF"/>
    <w:sectPr w:rsidR="00F553FF" w:rsidSect="002A28A1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8A1"/>
    <w:rsid w:val="002A28A1"/>
    <w:rsid w:val="003C2EF4"/>
    <w:rsid w:val="00446799"/>
    <w:rsid w:val="006A7E07"/>
    <w:rsid w:val="00701021"/>
    <w:rsid w:val="00914B3B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032BD"/>
  <w15:chartTrackingRefBased/>
  <w15:docId w15:val="{F5A63103-03AD-44B5-AE6A-6D0153E6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8A1"/>
    <w:rPr>
      <w:rFonts w:ascii="Aptos" w:eastAsia="Aptos" w:hAnsi="Aptos" w:cs="Aptos"/>
      <w:kern w:val="0"/>
      <w:lang w:val="en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2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8A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8A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8A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8A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8A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8A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8A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8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28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28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28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28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8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28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28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28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2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8A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2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8A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28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8A1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28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8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8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8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700</Characters>
  <Application>Microsoft Office Word</Application>
  <DocSecurity>0</DocSecurity>
  <Lines>15</Lines>
  <Paragraphs>6</Paragraphs>
  <ScaleCrop>false</ScaleCrop>
  <Company>Springer Nature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2026-03-24T09:09:00Z</dcterms:created>
  <dcterms:modified xsi:type="dcterms:W3CDTF">2026-03-24T09:09:00Z</dcterms:modified>
</cp:coreProperties>
</file>