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E85ED">
      <w:pPr>
        <w:spacing w:line="480" w:lineRule="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 xml:space="preserve"> Detailed Methodology for the Quantification of Serum Bisphenols via LLE-UHPLC-MS/MS</w:t>
      </w:r>
    </w:p>
    <w:p w14:paraId="47B7E0D6">
      <w:pPr>
        <w:spacing w:line="480" w:lineRule="auto"/>
        <w:rPr>
          <w:rFonts w:hint="default" w:ascii="Times New Roman" w:hAnsi="Times New Roman" w:cs="Times New Roman"/>
          <w:b/>
          <w:bCs/>
          <w:sz w:val="21"/>
          <w:szCs w:val="21"/>
          <w:lang w:val="en-US" w:eastAsia="zh-CN"/>
        </w:rPr>
      </w:pPr>
    </w:p>
    <w:p w14:paraId="3126DE2D">
      <w:pPr>
        <w:spacing w:line="480" w:lineRule="auto"/>
        <w:rPr>
          <w:rFonts w:hint="default" w:ascii="Times New Roman" w:hAnsi="Times New Roman" w:cs="Times New Roman"/>
          <w:b/>
          <w:bCs/>
          <w:sz w:val="21"/>
          <w:szCs w:val="21"/>
        </w:rPr>
      </w:pPr>
      <w:r>
        <w:rPr>
          <w:rFonts w:hint="default" w:ascii="Times New Roman" w:hAnsi="Times New Roman" w:cs="Times New Roman"/>
          <w:b/>
          <w:bCs/>
          <w:sz w:val="21"/>
          <w:szCs w:val="21"/>
          <w:lang w:val="en-US" w:eastAsia="zh-CN"/>
        </w:rPr>
        <w:t>1.</w:t>
      </w:r>
      <w:r>
        <w:rPr>
          <w:rFonts w:hint="default" w:ascii="Times New Roman" w:hAnsi="Times New Roman" w:cs="Times New Roman"/>
          <w:b/>
          <w:bCs/>
          <w:sz w:val="21"/>
          <w:szCs w:val="21"/>
        </w:rPr>
        <w:t xml:space="preserve"> Detection of Serum </w:t>
      </w:r>
      <w:r>
        <w:rPr>
          <w:rStyle w:val="6"/>
          <w:rFonts w:hint="default" w:ascii="Times New Roman" w:hAnsi="Times New Roman" w:eastAsia="Segoe UI" w:cs="Times New Roman"/>
          <w:b/>
          <w:bCs/>
          <w:i w:val="0"/>
          <w:iCs w:val="0"/>
          <w:caps w:val="0"/>
          <w:color w:val="0F1115"/>
          <w:spacing w:val="0"/>
          <w:sz w:val="19"/>
          <w:szCs w:val="19"/>
          <w:shd w:val="clear" w:fill="FFFFFF"/>
        </w:rPr>
        <w:t>Bisphenols</w:t>
      </w:r>
      <w:r>
        <w:rPr>
          <w:rFonts w:hint="default" w:ascii="Times New Roman" w:hAnsi="Times New Roman" w:cs="Times New Roman"/>
          <w:b/>
          <w:bCs/>
          <w:sz w:val="21"/>
          <w:szCs w:val="21"/>
        </w:rPr>
        <w:t xml:space="preserve"> in Pregnant Women</w:t>
      </w:r>
    </w:p>
    <w:p w14:paraId="38DBF0D7">
      <w:pPr>
        <w:spacing w:line="480" w:lineRule="auto"/>
        <w:rPr>
          <w:rFonts w:hint="default" w:ascii="Times New Roman" w:hAnsi="Times New Roman" w:cs="Times New Roman"/>
          <w:color w:val="auto"/>
          <w:sz w:val="21"/>
          <w:szCs w:val="21"/>
          <w:u w:val="single"/>
        </w:rPr>
      </w:pPr>
      <w:r>
        <w:rPr>
          <w:rFonts w:hint="default" w:ascii="Times New Roman" w:hAnsi="Times New Roman" w:cs="Times New Roman"/>
          <w:color w:val="auto"/>
          <w:sz w:val="21"/>
          <w:szCs w:val="21"/>
        </w:rPr>
        <w:t xml:space="preserve">Serum </w:t>
      </w:r>
      <w:r>
        <w:rPr>
          <w:rFonts w:hint="default" w:ascii="Times New Roman" w:hAnsi="Times New Roman" w:cs="Times New Roman"/>
          <w:color w:val="auto"/>
          <w:sz w:val="21"/>
          <w:szCs w:val="21"/>
          <w:lang w:val="en-US" w:eastAsia="zh-CN"/>
        </w:rPr>
        <w:t xml:space="preserve">BPA, BPS, </w:t>
      </w:r>
      <w:r>
        <w:rPr>
          <w:rFonts w:hint="default" w:ascii="Times New Roman" w:hAnsi="Times New Roman" w:cs="Times New Roman"/>
          <w:color w:val="auto"/>
          <w:sz w:val="21"/>
          <w:szCs w:val="21"/>
        </w:rPr>
        <w:t>BPF</w:t>
      </w:r>
      <w:r>
        <w:rPr>
          <w:rFonts w:hint="default" w:ascii="Times New Roman" w:hAnsi="Times New Roman" w:cs="Times New Roman"/>
          <w:color w:val="auto"/>
          <w:sz w:val="21"/>
          <w:szCs w:val="21"/>
          <w:lang w:val="en-US" w:eastAsia="zh-CN"/>
        </w:rPr>
        <w:t xml:space="preserve"> and BPAF</w:t>
      </w:r>
      <w:r>
        <w:rPr>
          <w:rFonts w:hint="default" w:ascii="Times New Roman" w:hAnsi="Times New Roman" w:cs="Times New Roman"/>
          <w:color w:val="auto"/>
          <w:sz w:val="21"/>
          <w:szCs w:val="21"/>
        </w:rPr>
        <w:t xml:space="preserve"> concentrations were determined using liquid-liquid extraction coupled with ultra-high-performance liquid chromatography-tandem mass spectrometry (LLE-UHPLC-MS/MS)</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rPr>
        <w:t>].</w:t>
      </w:r>
      <w:r>
        <w:rPr>
          <w:rFonts w:hint="default" w:ascii="Times New Roman" w:hAnsi="Times New Roman" w:cs="Times New Roman"/>
          <w:b/>
          <w:bCs/>
          <w:color w:val="auto"/>
          <w:sz w:val="21"/>
          <w:szCs w:val="21"/>
        </w:rPr>
        <w:t xml:space="preserve"> </w:t>
      </w:r>
      <w:r>
        <w:rPr>
          <w:rFonts w:hint="default" w:ascii="Times New Roman" w:hAnsi="Times New Roman" w:cs="Times New Roman"/>
          <w:color w:val="auto"/>
          <w:sz w:val="21"/>
          <w:szCs w:val="21"/>
          <w:u w:val="single"/>
        </w:rPr>
        <w:t>.</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57"/>
        <w:gridCol w:w="2892"/>
        <w:gridCol w:w="2037"/>
        <w:gridCol w:w="1936"/>
      </w:tblGrid>
      <w:tr w14:paraId="51074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5000" w:type="pct"/>
            <w:gridSpan w:val="4"/>
            <w:tcBorders>
              <w:top w:val="nil"/>
              <w:left w:val="nil"/>
              <w:bottom w:val="single" w:color="auto" w:sz="4" w:space="0"/>
              <w:right w:val="nil"/>
            </w:tcBorders>
            <w:shd w:val="clear" w:color="auto" w:fill="auto"/>
            <w:vAlign w:val="center"/>
          </w:tcPr>
          <w:p w14:paraId="27B86401">
            <w:pPr>
              <w:spacing w:line="480" w:lineRule="auto"/>
              <w:jc w:val="center"/>
              <w:rPr>
                <w:rFonts w:hint="default" w:ascii="Times New Roman" w:hAnsi="Times New Roman" w:eastAsia="宋体" w:cs="Times New Roman"/>
                <w:b/>
                <w:bCs/>
                <w:i w:val="0"/>
                <w:iCs w:val="0"/>
                <w:color w:val="204060"/>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Table S1.1 The 4 BPs detected in this study</w:t>
            </w:r>
          </w:p>
        </w:tc>
      </w:tr>
      <w:tr w14:paraId="7A9AF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 w:hRule="atLeast"/>
        </w:trPr>
        <w:tc>
          <w:tcPr>
            <w:tcW w:w="972" w:type="pct"/>
            <w:tcBorders>
              <w:top w:val="single" w:color="auto" w:sz="4" w:space="0"/>
              <w:left w:val="nil"/>
              <w:bottom w:val="single" w:color="auto" w:sz="4" w:space="0"/>
              <w:right w:val="nil"/>
            </w:tcBorders>
            <w:shd w:val="clear" w:color="auto" w:fill="auto"/>
            <w:vAlign w:val="center"/>
          </w:tcPr>
          <w:p w14:paraId="139BCF2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Style w:val="6"/>
                <w:rFonts w:hint="default" w:ascii="Times New Roman" w:hAnsi="Times New Roman" w:eastAsia="Segoe UI" w:cs="Times New Roman"/>
                <w:b/>
                <w:bCs/>
                <w:i w:val="0"/>
                <w:iCs w:val="0"/>
                <w:caps w:val="0"/>
                <w:color w:val="0F1115"/>
                <w:spacing w:val="0"/>
                <w:sz w:val="21"/>
                <w:szCs w:val="21"/>
                <w:shd w:val="clear" w:fill="FFFFFF"/>
              </w:rPr>
              <w:t>Bisphenols</w:t>
            </w:r>
          </w:p>
        </w:tc>
        <w:tc>
          <w:tcPr>
            <w:tcW w:w="1697" w:type="pct"/>
            <w:tcBorders>
              <w:top w:val="single" w:color="auto" w:sz="4" w:space="0"/>
              <w:left w:val="nil"/>
              <w:bottom w:val="single" w:color="auto" w:sz="4" w:space="0"/>
              <w:right w:val="nil"/>
            </w:tcBorders>
            <w:shd w:val="clear" w:color="auto" w:fill="auto"/>
            <w:vAlign w:val="center"/>
          </w:tcPr>
          <w:p w14:paraId="2621F2BD">
            <w:pPr>
              <w:keepNext w:val="0"/>
              <w:keepLines w:val="0"/>
              <w:widowControl/>
              <w:suppressLineNumbers w:val="0"/>
              <w:ind w:firstLineChars="100"/>
              <w:jc w:val="center"/>
              <w:textAlignment w:val="center"/>
              <w:rPr>
                <w:rFonts w:hint="default" w:ascii="Times New Roman" w:hAnsi="Times New Roman" w:eastAsia="宋体" w:cs="Times New Roman"/>
                <w:b/>
                <w:bCs/>
                <w:i w:val="0"/>
                <w:iCs w:val="0"/>
                <w:color w:val="000000"/>
                <w:sz w:val="21"/>
                <w:szCs w:val="21"/>
                <w:u w:val="none"/>
              </w:rPr>
            </w:pPr>
            <w:r>
              <w:rPr>
                <w:rStyle w:val="6"/>
                <w:rFonts w:hint="default" w:ascii="Times New Roman" w:hAnsi="Times New Roman" w:eastAsia="Segoe UI" w:cs="Times New Roman"/>
                <w:b/>
                <w:bCs/>
                <w:i w:val="0"/>
                <w:iCs w:val="0"/>
                <w:caps w:val="0"/>
                <w:color w:val="0F1115"/>
                <w:spacing w:val="0"/>
                <w:sz w:val="21"/>
                <w:szCs w:val="21"/>
                <w:shd w:val="clear" w:fill="FFFFFF"/>
              </w:rPr>
              <w:t>Bisphenols</w:t>
            </w:r>
          </w:p>
        </w:tc>
        <w:tc>
          <w:tcPr>
            <w:tcW w:w="1195" w:type="pct"/>
            <w:tcBorders>
              <w:top w:val="single" w:color="auto" w:sz="4" w:space="0"/>
              <w:left w:val="nil"/>
              <w:bottom w:val="single" w:color="auto" w:sz="4" w:space="0"/>
              <w:right w:val="nil"/>
            </w:tcBorders>
            <w:shd w:val="clear" w:color="auto" w:fill="auto"/>
            <w:vAlign w:val="center"/>
          </w:tcPr>
          <w:p w14:paraId="497782E4">
            <w:pPr>
              <w:keepNext w:val="0"/>
              <w:keepLines w:val="0"/>
              <w:widowControl/>
              <w:suppressLineNumbers w:val="0"/>
              <w:ind w:firstLineChars="10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Segoe UI" w:cs="Times New Roman"/>
                <w:i w:val="0"/>
                <w:iCs w:val="0"/>
                <w:caps w:val="0"/>
                <w:color w:val="0F1115"/>
                <w:spacing w:val="0"/>
                <w:sz w:val="21"/>
                <w:szCs w:val="21"/>
                <w:shd w:val="clear" w:fill="FFFFFF"/>
              </w:rPr>
              <w:t>Molecular Formula</w:t>
            </w:r>
          </w:p>
        </w:tc>
        <w:tc>
          <w:tcPr>
            <w:tcW w:w="1134" w:type="pct"/>
            <w:tcBorders>
              <w:top w:val="single" w:color="auto" w:sz="4" w:space="0"/>
              <w:left w:val="nil"/>
              <w:bottom w:val="single" w:color="auto" w:sz="4" w:space="0"/>
              <w:right w:val="nil"/>
            </w:tcBorders>
            <w:shd w:val="clear" w:color="auto" w:fill="auto"/>
            <w:vAlign w:val="center"/>
          </w:tcPr>
          <w:p w14:paraId="1F47648E">
            <w:pPr>
              <w:keepNext w:val="0"/>
              <w:keepLines w:val="0"/>
              <w:widowControl/>
              <w:suppressLineNumbers w:val="0"/>
              <w:ind w:firstLineChars="10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Segoe UI" w:cs="Times New Roman"/>
                <w:i w:val="0"/>
                <w:iCs w:val="0"/>
                <w:caps w:val="0"/>
                <w:color w:val="0F1115"/>
                <w:spacing w:val="0"/>
                <w:sz w:val="21"/>
                <w:szCs w:val="21"/>
                <w:shd w:val="clear" w:fill="FFFFFF"/>
              </w:rPr>
              <w:t>Molecular Weight</w:t>
            </w:r>
          </w:p>
        </w:tc>
      </w:tr>
      <w:tr w14:paraId="7A22F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972" w:type="pct"/>
            <w:tcBorders>
              <w:top w:val="single" w:color="auto" w:sz="4" w:space="0"/>
              <w:left w:val="nil"/>
              <w:bottom w:val="nil"/>
              <w:right w:val="nil"/>
            </w:tcBorders>
            <w:shd w:val="clear" w:color="auto" w:fill="auto"/>
            <w:vAlign w:val="center"/>
          </w:tcPr>
          <w:p w14:paraId="4D46277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Bisphenol A</w:t>
            </w:r>
          </w:p>
        </w:tc>
        <w:tc>
          <w:tcPr>
            <w:tcW w:w="1697" w:type="pct"/>
            <w:tcBorders>
              <w:top w:val="single" w:color="auto" w:sz="4" w:space="0"/>
              <w:left w:val="nil"/>
              <w:bottom w:val="nil"/>
              <w:right w:val="nil"/>
            </w:tcBorders>
            <w:shd w:val="clear" w:color="auto" w:fill="auto"/>
            <w:vAlign w:val="center"/>
          </w:tcPr>
          <w:p w14:paraId="0CFACE7F">
            <w:pPr>
              <w:keepNext w:val="0"/>
              <w:keepLines w:val="0"/>
              <w:widowControl/>
              <w:suppressLineNumbers w:val="0"/>
              <w:ind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BPA</w:t>
            </w:r>
          </w:p>
        </w:tc>
        <w:tc>
          <w:tcPr>
            <w:tcW w:w="1195" w:type="pct"/>
            <w:tcBorders>
              <w:top w:val="single" w:color="auto" w:sz="4" w:space="0"/>
              <w:left w:val="nil"/>
              <w:bottom w:val="nil"/>
              <w:right w:val="nil"/>
            </w:tcBorders>
            <w:shd w:val="clear" w:color="auto" w:fill="auto"/>
            <w:vAlign w:val="center"/>
          </w:tcPr>
          <w:p w14:paraId="1B3FA9E4">
            <w:pPr>
              <w:keepNext w:val="0"/>
              <w:keepLines w:val="0"/>
              <w:widowControl/>
              <w:suppressLineNumbers w:val="0"/>
              <w:ind w:firstLineChars="10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C₁₅H₁₆O₂</w:t>
            </w:r>
          </w:p>
        </w:tc>
        <w:tc>
          <w:tcPr>
            <w:tcW w:w="1134" w:type="pct"/>
            <w:tcBorders>
              <w:top w:val="single" w:color="auto" w:sz="4" w:space="0"/>
              <w:left w:val="nil"/>
              <w:bottom w:val="nil"/>
              <w:right w:val="nil"/>
            </w:tcBorders>
            <w:shd w:val="clear" w:color="auto" w:fill="auto"/>
            <w:vAlign w:val="center"/>
          </w:tcPr>
          <w:p w14:paraId="23E89351">
            <w:pPr>
              <w:keepNext w:val="0"/>
              <w:keepLines w:val="0"/>
              <w:widowControl/>
              <w:suppressLineNumbers w:val="0"/>
              <w:ind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228.29</w:t>
            </w:r>
          </w:p>
        </w:tc>
      </w:tr>
      <w:tr w14:paraId="0606B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972" w:type="pct"/>
            <w:tcBorders>
              <w:top w:val="nil"/>
              <w:left w:val="nil"/>
              <w:bottom w:val="nil"/>
              <w:right w:val="nil"/>
            </w:tcBorders>
            <w:shd w:val="clear" w:color="auto" w:fill="auto"/>
            <w:vAlign w:val="center"/>
          </w:tcPr>
          <w:p w14:paraId="5582E0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Bisphenol S</w:t>
            </w:r>
          </w:p>
        </w:tc>
        <w:tc>
          <w:tcPr>
            <w:tcW w:w="1697" w:type="pct"/>
            <w:tcBorders>
              <w:top w:val="nil"/>
              <w:left w:val="nil"/>
              <w:bottom w:val="nil"/>
              <w:right w:val="nil"/>
            </w:tcBorders>
            <w:shd w:val="clear" w:color="auto" w:fill="auto"/>
            <w:vAlign w:val="center"/>
          </w:tcPr>
          <w:p w14:paraId="05AE6A87">
            <w:pPr>
              <w:keepNext w:val="0"/>
              <w:keepLines w:val="0"/>
              <w:widowControl/>
              <w:suppressLineNumbers w:val="0"/>
              <w:ind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BPS</w:t>
            </w:r>
          </w:p>
        </w:tc>
        <w:tc>
          <w:tcPr>
            <w:tcW w:w="1195" w:type="pct"/>
            <w:tcBorders>
              <w:top w:val="nil"/>
              <w:left w:val="nil"/>
              <w:bottom w:val="nil"/>
              <w:right w:val="nil"/>
            </w:tcBorders>
            <w:shd w:val="clear" w:color="auto" w:fill="auto"/>
            <w:vAlign w:val="center"/>
          </w:tcPr>
          <w:p w14:paraId="2EE8C7F0">
            <w:pPr>
              <w:keepNext w:val="0"/>
              <w:keepLines w:val="0"/>
              <w:widowControl/>
              <w:suppressLineNumbers w:val="0"/>
              <w:ind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C1₂H₁₀O₄S</w:t>
            </w:r>
          </w:p>
        </w:tc>
        <w:tc>
          <w:tcPr>
            <w:tcW w:w="1134" w:type="pct"/>
            <w:tcBorders>
              <w:top w:val="nil"/>
              <w:left w:val="nil"/>
              <w:bottom w:val="nil"/>
              <w:right w:val="nil"/>
            </w:tcBorders>
            <w:shd w:val="clear" w:color="auto" w:fill="auto"/>
            <w:vAlign w:val="center"/>
          </w:tcPr>
          <w:p w14:paraId="0B891F5C">
            <w:pPr>
              <w:keepNext w:val="0"/>
              <w:keepLines w:val="0"/>
              <w:widowControl/>
              <w:suppressLineNumbers w:val="0"/>
              <w:ind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250.28</w:t>
            </w:r>
          </w:p>
        </w:tc>
      </w:tr>
      <w:tr w14:paraId="3CC6F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972" w:type="pct"/>
            <w:tcBorders>
              <w:top w:val="nil"/>
              <w:left w:val="nil"/>
              <w:bottom w:val="nil"/>
              <w:right w:val="nil"/>
            </w:tcBorders>
            <w:shd w:val="clear" w:color="auto" w:fill="auto"/>
            <w:vAlign w:val="center"/>
          </w:tcPr>
          <w:p w14:paraId="43082A8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Bisphenol F</w:t>
            </w:r>
          </w:p>
        </w:tc>
        <w:tc>
          <w:tcPr>
            <w:tcW w:w="1697" w:type="pct"/>
            <w:tcBorders>
              <w:top w:val="nil"/>
              <w:left w:val="nil"/>
              <w:bottom w:val="nil"/>
              <w:right w:val="nil"/>
            </w:tcBorders>
            <w:shd w:val="clear" w:color="auto" w:fill="auto"/>
            <w:vAlign w:val="center"/>
          </w:tcPr>
          <w:p w14:paraId="1149D32F">
            <w:pPr>
              <w:keepNext w:val="0"/>
              <w:keepLines w:val="0"/>
              <w:widowControl/>
              <w:suppressLineNumbers w:val="0"/>
              <w:ind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BPF</w:t>
            </w:r>
          </w:p>
        </w:tc>
        <w:tc>
          <w:tcPr>
            <w:tcW w:w="1195" w:type="pct"/>
            <w:tcBorders>
              <w:top w:val="nil"/>
              <w:left w:val="nil"/>
              <w:bottom w:val="nil"/>
              <w:right w:val="nil"/>
            </w:tcBorders>
            <w:shd w:val="clear" w:color="auto" w:fill="auto"/>
            <w:vAlign w:val="center"/>
          </w:tcPr>
          <w:p w14:paraId="11DEEB14">
            <w:pPr>
              <w:keepNext w:val="0"/>
              <w:keepLines w:val="0"/>
              <w:widowControl/>
              <w:suppressLineNumbers w:val="0"/>
              <w:ind w:firstLineChars="10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C₁₃H₁₂O₂</w:t>
            </w:r>
          </w:p>
        </w:tc>
        <w:tc>
          <w:tcPr>
            <w:tcW w:w="1134" w:type="pct"/>
            <w:tcBorders>
              <w:top w:val="nil"/>
              <w:left w:val="nil"/>
              <w:bottom w:val="nil"/>
              <w:right w:val="nil"/>
            </w:tcBorders>
            <w:shd w:val="clear" w:color="auto" w:fill="auto"/>
            <w:vAlign w:val="center"/>
          </w:tcPr>
          <w:p w14:paraId="029ED710">
            <w:pPr>
              <w:keepNext w:val="0"/>
              <w:keepLines w:val="0"/>
              <w:widowControl/>
              <w:suppressLineNumbers w:val="0"/>
              <w:ind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200.24</w:t>
            </w:r>
          </w:p>
        </w:tc>
      </w:tr>
      <w:tr w14:paraId="23C59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72" w:type="pct"/>
            <w:tcBorders>
              <w:top w:val="nil"/>
              <w:left w:val="nil"/>
              <w:bottom w:val="single" w:color="auto" w:sz="4" w:space="0"/>
              <w:right w:val="nil"/>
            </w:tcBorders>
            <w:shd w:val="clear" w:color="auto" w:fill="auto"/>
            <w:vAlign w:val="center"/>
          </w:tcPr>
          <w:p w14:paraId="1BD0E2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Bisphenol AF</w:t>
            </w:r>
          </w:p>
        </w:tc>
        <w:tc>
          <w:tcPr>
            <w:tcW w:w="1697" w:type="pct"/>
            <w:tcBorders>
              <w:top w:val="nil"/>
              <w:left w:val="nil"/>
              <w:bottom w:val="single" w:color="auto" w:sz="4" w:space="0"/>
              <w:right w:val="nil"/>
            </w:tcBorders>
            <w:shd w:val="clear" w:color="auto" w:fill="auto"/>
            <w:vAlign w:val="center"/>
          </w:tcPr>
          <w:p w14:paraId="2092692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BPAF</w:t>
            </w:r>
          </w:p>
        </w:tc>
        <w:tc>
          <w:tcPr>
            <w:tcW w:w="1195" w:type="pct"/>
            <w:tcBorders>
              <w:top w:val="nil"/>
              <w:left w:val="nil"/>
              <w:bottom w:val="single" w:color="auto" w:sz="4" w:space="0"/>
              <w:right w:val="nil"/>
            </w:tcBorders>
            <w:shd w:val="clear" w:color="auto" w:fill="auto"/>
            <w:vAlign w:val="center"/>
          </w:tcPr>
          <w:p w14:paraId="1501BC45">
            <w:pPr>
              <w:keepNext w:val="0"/>
              <w:keepLines w:val="0"/>
              <w:widowControl/>
              <w:suppressLineNumbers w:val="0"/>
              <w:ind w:firstLineChars="10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C₁₅H₁₀F₆O₂</w:t>
            </w:r>
          </w:p>
        </w:tc>
        <w:tc>
          <w:tcPr>
            <w:tcW w:w="1134" w:type="pct"/>
            <w:tcBorders>
              <w:top w:val="nil"/>
              <w:left w:val="nil"/>
              <w:bottom w:val="single" w:color="auto" w:sz="4" w:space="0"/>
              <w:right w:val="nil"/>
            </w:tcBorders>
            <w:shd w:val="clear" w:color="auto" w:fill="auto"/>
            <w:vAlign w:val="center"/>
          </w:tcPr>
          <w:p w14:paraId="0B36F01C">
            <w:pPr>
              <w:keepNext w:val="0"/>
              <w:keepLines w:val="0"/>
              <w:widowControl/>
              <w:suppressLineNumbers w:val="0"/>
              <w:ind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336.23</w:t>
            </w:r>
          </w:p>
        </w:tc>
      </w:tr>
    </w:tbl>
    <w:p w14:paraId="2705E7DC">
      <w:pPr>
        <w:spacing w:line="480" w:lineRule="auto"/>
        <w:rPr>
          <w:rFonts w:hint="default" w:ascii="Times New Roman" w:hAnsi="Times New Roman" w:cs="Times New Roman"/>
          <w:b/>
          <w:bCs/>
          <w:sz w:val="21"/>
          <w:szCs w:val="21"/>
          <w:lang w:val="en-US" w:eastAsia="zh-CN"/>
        </w:rPr>
      </w:pPr>
    </w:p>
    <w:p w14:paraId="550E2159">
      <w:pPr>
        <w:spacing w:line="480" w:lineRule="auto"/>
        <w:rPr>
          <w:rFonts w:hint="default" w:ascii="Times New Roman" w:hAnsi="Times New Roman" w:cs="Times New Roman"/>
          <w:b/>
          <w:bCs/>
          <w:sz w:val="21"/>
          <w:szCs w:val="21"/>
        </w:rPr>
      </w:pPr>
      <w:r>
        <w:rPr>
          <w:rFonts w:hint="default" w:ascii="Times New Roman" w:hAnsi="Times New Roman" w:cs="Times New Roman"/>
          <w:b/>
          <w:bCs/>
          <w:sz w:val="21"/>
          <w:szCs w:val="21"/>
          <w:lang w:val="en-US" w:eastAsia="zh-CN"/>
        </w:rPr>
        <w:t>2.</w:t>
      </w:r>
      <w:r>
        <w:rPr>
          <w:rFonts w:hint="default" w:ascii="Times New Roman" w:hAnsi="Times New Roman" w:cs="Times New Roman"/>
          <w:b/>
          <w:bCs/>
          <w:sz w:val="21"/>
          <w:szCs w:val="21"/>
        </w:rPr>
        <w:t xml:space="preserve"> Laboratory Instruments and Consumables</w:t>
      </w:r>
    </w:p>
    <w:p w14:paraId="5328247F">
      <w:pPr>
        <w:spacing w:line="480" w:lineRule="auto"/>
        <w:jc w:val="center"/>
        <w:rPr>
          <w:rFonts w:hint="default" w:ascii="Times New Roman" w:hAnsi="Times New Roman" w:cs="Times New Roman"/>
          <w:b/>
          <w:bCs/>
          <w:sz w:val="21"/>
          <w:szCs w:val="21"/>
        </w:rPr>
      </w:pPr>
      <w:r>
        <w:rPr>
          <w:rFonts w:hint="default" w:ascii="Times New Roman" w:hAnsi="Times New Roman" w:cs="Times New Roman"/>
          <w:b/>
          <w:bCs/>
          <w:sz w:val="21"/>
          <w:szCs w:val="21"/>
        </w:rPr>
        <w:t>Table S1.2 Main Instruments</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2796"/>
        <w:gridCol w:w="2097"/>
        <w:gridCol w:w="2409"/>
        <w:gridCol w:w="1196"/>
      </w:tblGrid>
      <w:tr w14:paraId="4BD15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Header/>
        </w:trPr>
        <w:tc>
          <w:tcPr>
            <w:tcW w:w="0" w:type="auto"/>
            <w:tcBorders>
              <w:top w:val="single" w:color="auto" w:sz="4" w:space="0"/>
              <w:left w:val="nil"/>
              <w:bottom w:val="single" w:color="auto" w:sz="4" w:space="0"/>
              <w:right w:val="nil"/>
            </w:tcBorders>
            <w:shd w:val="clear" w:color="auto" w:fill="auto"/>
            <w:tcMar>
              <w:top w:w="120" w:type="dxa"/>
              <w:left w:w="0" w:type="dxa"/>
              <w:bottom w:w="120" w:type="dxa"/>
              <w:right w:w="192" w:type="dxa"/>
            </w:tcMar>
            <w:vAlign w:val="center"/>
          </w:tcPr>
          <w:p w14:paraId="72B40C1D">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Laboratory Instruments</w:t>
            </w:r>
          </w:p>
        </w:tc>
        <w:tc>
          <w:tcPr>
            <w:tcW w:w="0" w:type="auto"/>
            <w:tcBorders>
              <w:top w:val="single" w:color="auto" w:sz="4" w:space="0"/>
              <w:left w:val="nil"/>
              <w:bottom w:val="single" w:color="auto" w:sz="4" w:space="0"/>
              <w:right w:val="nil"/>
            </w:tcBorders>
            <w:shd w:val="clear" w:color="auto" w:fill="auto"/>
            <w:tcMar>
              <w:top w:w="120" w:type="dxa"/>
              <w:left w:w="192" w:type="dxa"/>
              <w:bottom w:w="120" w:type="dxa"/>
              <w:right w:w="192" w:type="dxa"/>
            </w:tcMar>
            <w:vAlign w:val="center"/>
          </w:tcPr>
          <w:p w14:paraId="6D6568C3">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Model</w:t>
            </w:r>
          </w:p>
        </w:tc>
        <w:tc>
          <w:tcPr>
            <w:tcW w:w="0" w:type="auto"/>
            <w:tcBorders>
              <w:top w:val="single" w:color="auto" w:sz="4" w:space="0"/>
              <w:left w:val="nil"/>
              <w:bottom w:val="single" w:color="auto" w:sz="4" w:space="0"/>
              <w:right w:val="nil"/>
            </w:tcBorders>
            <w:shd w:val="clear" w:color="auto" w:fill="auto"/>
            <w:tcMar>
              <w:top w:w="120" w:type="dxa"/>
              <w:left w:w="192" w:type="dxa"/>
              <w:bottom w:w="120" w:type="dxa"/>
              <w:right w:w="192" w:type="dxa"/>
            </w:tcMar>
            <w:vAlign w:val="center"/>
          </w:tcPr>
          <w:p w14:paraId="116E9105">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Manufacturer</w:t>
            </w:r>
          </w:p>
        </w:tc>
        <w:tc>
          <w:tcPr>
            <w:tcW w:w="0" w:type="auto"/>
            <w:tcBorders>
              <w:top w:val="single" w:color="auto" w:sz="4" w:space="0"/>
              <w:left w:val="nil"/>
              <w:bottom w:val="single" w:color="auto" w:sz="4" w:space="0"/>
              <w:right w:val="nil"/>
            </w:tcBorders>
            <w:shd w:val="clear" w:color="auto" w:fill="auto"/>
            <w:tcMar>
              <w:top w:w="120" w:type="dxa"/>
              <w:left w:w="192" w:type="dxa"/>
              <w:bottom w:w="120" w:type="dxa"/>
              <w:right w:w="192" w:type="dxa"/>
            </w:tcMar>
            <w:vAlign w:val="center"/>
          </w:tcPr>
          <w:p w14:paraId="7B05F5D5">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Country</w:t>
            </w:r>
          </w:p>
        </w:tc>
      </w:tr>
      <w:tr w14:paraId="02D08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tcBorders>
              <w:top w:val="nil"/>
              <w:left w:val="nil"/>
              <w:bottom w:val="nil"/>
              <w:right w:val="nil"/>
            </w:tcBorders>
            <w:shd w:val="clear" w:color="auto" w:fill="auto"/>
            <w:tcMar>
              <w:top w:w="120" w:type="dxa"/>
              <w:left w:w="0" w:type="dxa"/>
              <w:bottom w:w="120" w:type="dxa"/>
              <w:right w:w="192" w:type="dxa"/>
            </w:tcMar>
            <w:vAlign w:val="center"/>
          </w:tcPr>
          <w:p w14:paraId="476DBEEC">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Ultra-High Performance Liquid Chromatograph</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54DC1E3F">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Nexera X2</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3D860303">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SHIMADZU</w:t>
            </w:r>
          </w:p>
        </w:tc>
        <w:tc>
          <w:tcPr>
            <w:tcW w:w="0" w:type="auto"/>
            <w:tcBorders>
              <w:top w:val="nil"/>
              <w:left w:val="nil"/>
              <w:bottom w:val="nil"/>
              <w:right w:val="nil"/>
            </w:tcBorders>
            <w:shd w:val="clear" w:color="auto" w:fill="auto"/>
            <w:tcMar>
              <w:top w:w="120" w:type="dxa"/>
              <w:left w:w="192" w:type="dxa"/>
              <w:bottom w:w="120" w:type="dxa"/>
              <w:right w:w="0" w:type="dxa"/>
            </w:tcMar>
            <w:vAlign w:val="center"/>
          </w:tcPr>
          <w:p w14:paraId="36F36010">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Japan</w:t>
            </w:r>
          </w:p>
        </w:tc>
      </w:tr>
      <w:tr w14:paraId="6CED2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tcBorders>
              <w:top w:val="nil"/>
              <w:left w:val="nil"/>
              <w:bottom w:val="nil"/>
              <w:right w:val="nil"/>
            </w:tcBorders>
            <w:shd w:val="clear" w:color="auto" w:fill="auto"/>
            <w:tcMar>
              <w:top w:w="120" w:type="dxa"/>
              <w:left w:w="0" w:type="dxa"/>
              <w:bottom w:w="120" w:type="dxa"/>
              <w:right w:w="192" w:type="dxa"/>
            </w:tcMar>
            <w:vAlign w:val="center"/>
          </w:tcPr>
          <w:p w14:paraId="5546E0FA">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Triple Quadrupole Mass Spectrometer</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719C29BE">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AB SCIEX Triple Quad 5500</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5964B2A6">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AB SCIEX</w:t>
            </w:r>
          </w:p>
        </w:tc>
        <w:tc>
          <w:tcPr>
            <w:tcW w:w="0" w:type="auto"/>
            <w:tcBorders>
              <w:top w:val="nil"/>
              <w:left w:val="nil"/>
              <w:bottom w:val="nil"/>
              <w:right w:val="nil"/>
            </w:tcBorders>
            <w:shd w:val="clear" w:color="auto" w:fill="auto"/>
            <w:tcMar>
              <w:top w:w="120" w:type="dxa"/>
              <w:left w:w="192" w:type="dxa"/>
              <w:bottom w:w="120" w:type="dxa"/>
              <w:right w:w="0" w:type="dxa"/>
            </w:tcMar>
            <w:vAlign w:val="center"/>
          </w:tcPr>
          <w:p w14:paraId="27F58804">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USA</w:t>
            </w:r>
          </w:p>
        </w:tc>
      </w:tr>
      <w:tr w14:paraId="50F9D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tcBorders>
              <w:top w:val="nil"/>
              <w:left w:val="nil"/>
              <w:bottom w:val="nil"/>
              <w:right w:val="nil"/>
            </w:tcBorders>
            <w:shd w:val="clear" w:color="auto" w:fill="auto"/>
            <w:tcMar>
              <w:top w:w="120" w:type="dxa"/>
              <w:left w:w="0" w:type="dxa"/>
              <w:bottom w:w="120" w:type="dxa"/>
              <w:right w:w="192" w:type="dxa"/>
            </w:tcMar>
            <w:vAlign w:val="center"/>
          </w:tcPr>
          <w:p w14:paraId="5A854B66">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Chromatographic Column</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12BCBA71">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ZORBAX SB-Phenyl</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66708787">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Agilent</w:t>
            </w:r>
          </w:p>
        </w:tc>
        <w:tc>
          <w:tcPr>
            <w:tcW w:w="0" w:type="auto"/>
            <w:tcBorders>
              <w:top w:val="nil"/>
              <w:left w:val="nil"/>
              <w:bottom w:val="nil"/>
              <w:right w:val="nil"/>
            </w:tcBorders>
            <w:shd w:val="clear" w:color="auto" w:fill="auto"/>
            <w:tcMar>
              <w:top w:w="120" w:type="dxa"/>
              <w:left w:w="192" w:type="dxa"/>
              <w:bottom w:w="120" w:type="dxa"/>
              <w:right w:w="0" w:type="dxa"/>
            </w:tcMar>
            <w:vAlign w:val="center"/>
          </w:tcPr>
          <w:p w14:paraId="1BD949D8">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USA</w:t>
            </w:r>
          </w:p>
        </w:tc>
      </w:tr>
      <w:tr w14:paraId="6D961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tcMar>
              <w:top w:w="120" w:type="dxa"/>
              <w:left w:w="0" w:type="dxa"/>
              <w:bottom w:w="120" w:type="dxa"/>
              <w:right w:w="192" w:type="dxa"/>
            </w:tcMar>
            <w:vAlign w:val="center"/>
          </w:tcPr>
          <w:p w14:paraId="152EB69C">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LC Guard Column</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53EDFB1C">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1290 Infinity II</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51BA054B">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Agilent</w:t>
            </w:r>
          </w:p>
        </w:tc>
        <w:tc>
          <w:tcPr>
            <w:tcW w:w="0" w:type="auto"/>
            <w:tcBorders>
              <w:top w:val="nil"/>
              <w:left w:val="nil"/>
              <w:bottom w:val="nil"/>
              <w:right w:val="nil"/>
            </w:tcBorders>
            <w:shd w:val="clear" w:color="auto" w:fill="auto"/>
            <w:tcMar>
              <w:top w:w="120" w:type="dxa"/>
              <w:left w:w="192" w:type="dxa"/>
              <w:bottom w:w="120" w:type="dxa"/>
              <w:right w:w="0" w:type="dxa"/>
            </w:tcMar>
            <w:vAlign w:val="center"/>
          </w:tcPr>
          <w:p w14:paraId="62AF7720">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USA</w:t>
            </w:r>
          </w:p>
        </w:tc>
      </w:tr>
      <w:tr w14:paraId="2FEF5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tcMar>
              <w:top w:w="120" w:type="dxa"/>
              <w:left w:w="0" w:type="dxa"/>
              <w:bottom w:w="120" w:type="dxa"/>
              <w:right w:w="192" w:type="dxa"/>
            </w:tcMar>
            <w:vAlign w:val="center"/>
          </w:tcPr>
          <w:p w14:paraId="774B52AB">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Electronic Analytical Balance</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1740C160">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MS105DU</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019C8428">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Mettler Toledo</w:t>
            </w:r>
          </w:p>
        </w:tc>
        <w:tc>
          <w:tcPr>
            <w:tcW w:w="0" w:type="auto"/>
            <w:tcBorders>
              <w:top w:val="nil"/>
              <w:left w:val="nil"/>
              <w:bottom w:val="nil"/>
              <w:right w:val="nil"/>
            </w:tcBorders>
            <w:shd w:val="clear" w:color="auto" w:fill="auto"/>
            <w:tcMar>
              <w:top w:w="120" w:type="dxa"/>
              <w:left w:w="192" w:type="dxa"/>
              <w:bottom w:w="120" w:type="dxa"/>
              <w:right w:w="0" w:type="dxa"/>
            </w:tcMar>
            <w:vAlign w:val="center"/>
          </w:tcPr>
          <w:p w14:paraId="15B675CE">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Switzerland</w:t>
            </w:r>
          </w:p>
        </w:tc>
      </w:tr>
      <w:tr w14:paraId="2FD21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tcBorders>
              <w:top w:val="nil"/>
              <w:left w:val="nil"/>
              <w:bottom w:val="nil"/>
              <w:right w:val="nil"/>
            </w:tcBorders>
            <w:shd w:val="clear" w:color="auto" w:fill="auto"/>
            <w:tcMar>
              <w:top w:w="120" w:type="dxa"/>
              <w:left w:w="0" w:type="dxa"/>
              <w:bottom w:w="120" w:type="dxa"/>
              <w:right w:w="192" w:type="dxa"/>
            </w:tcMar>
            <w:vAlign w:val="center"/>
          </w:tcPr>
          <w:p w14:paraId="2748D5DA">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High-Speed Centrifuge</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13807498">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7EDF1B7D">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Eppendorf</w:t>
            </w:r>
          </w:p>
        </w:tc>
        <w:tc>
          <w:tcPr>
            <w:tcW w:w="0" w:type="auto"/>
            <w:tcBorders>
              <w:top w:val="nil"/>
              <w:left w:val="nil"/>
              <w:bottom w:val="nil"/>
              <w:right w:val="nil"/>
            </w:tcBorders>
            <w:shd w:val="clear" w:color="auto" w:fill="auto"/>
            <w:tcMar>
              <w:top w:w="120" w:type="dxa"/>
              <w:left w:w="192" w:type="dxa"/>
              <w:bottom w:w="120" w:type="dxa"/>
              <w:right w:w="0" w:type="dxa"/>
            </w:tcMar>
            <w:vAlign w:val="center"/>
          </w:tcPr>
          <w:p w14:paraId="5C518D53">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Germany</w:t>
            </w:r>
          </w:p>
        </w:tc>
      </w:tr>
      <w:tr w14:paraId="5B383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tcMar>
              <w:top w:w="120" w:type="dxa"/>
              <w:left w:w="0" w:type="dxa"/>
              <w:bottom w:w="120" w:type="dxa"/>
              <w:right w:w="192" w:type="dxa"/>
            </w:tcMar>
            <w:vAlign w:val="center"/>
          </w:tcPr>
          <w:p w14:paraId="36CEE927">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Milli-Q Ultrapure Water System</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52FD2A9A">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Milli-Q Advantage A10</w:t>
            </w:r>
          </w:p>
        </w:tc>
        <w:tc>
          <w:tcPr>
            <w:tcW w:w="0" w:type="auto"/>
            <w:tcBorders>
              <w:top w:val="nil"/>
              <w:left w:val="nil"/>
              <w:bottom w:val="nil"/>
              <w:right w:val="nil"/>
            </w:tcBorders>
            <w:shd w:val="clear" w:color="auto" w:fill="auto"/>
            <w:tcMar>
              <w:top w:w="120" w:type="dxa"/>
              <w:left w:w="192" w:type="dxa"/>
              <w:bottom w:w="120" w:type="dxa"/>
              <w:right w:w="192" w:type="dxa"/>
            </w:tcMar>
            <w:vAlign w:val="center"/>
          </w:tcPr>
          <w:p w14:paraId="0C979289">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Millipore</w:t>
            </w:r>
          </w:p>
        </w:tc>
        <w:tc>
          <w:tcPr>
            <w:tcW w:w="0" w:type="auto"/>
            <w:tcBorders>
              <w:top w:val="nil"/>
              <w:left w:val="nil"/>
              <w:bottom w:val="nil"/>
              <w:right w:val="nil"/>
            </w:tcBorders>
            <w:shd w:val="clear" w:color="auto" w:fill="auto"/>
            <w:tcMar>
              <w:top w:w="120" w:type="dxa"/>
              <w:left w:w="192" w:type="dxa"/>
              <w:bottom w:w="120" w:type="dxa"/>
              <w:right w:w="0" w:type="dxa"/>
            </w:tcMar>
            <w:vAlign w:val="center"/>
          </w:tcPr>
          <w:p w14:paraId="0799C0D3">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USA</w:t>
            </w:r>
          </w:p>
        </w:tc>
      </w:tr>
      <w:tr w14:paraId="1A864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0" w:type="auto"/>
            <w:tcBorders>
              <w:top w:val="nil"/>
              <w:left w:val="nil"/>
              <w:bottom w:val="single" w:color="auto" w:sz="4" w:space="0"/>
              <w:right w:val="nil"/>
            </w:tcBorders>
            <w:shd w:val="clear" w:color="auto" w:fill="auto"/>
            <w:tcMar>
              <w:top w:w="120" w:type="dxa"/>
              <w:left w:w="0" w:type="dxa"/>
              <w:bottom w:w="120" w:type="dxa"/>
              <w:right w:w="192" w:type="dxa"/>
            </w:tcMar>
            <w:vAlign w:val="center"/>
          </w:tcPr>
          <w:p w14:paraId="43BF5CD8">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Dry Nitrogen Evaporator</w:t>
            </w:r>
          </w:p>
        </w:tc>
        <w:tc>
          <w:tcPr>
            <w:tcW w:w="0" w:type="auto"/>
            <w:tcBorders>
              <w:top w:val="nil"/>
              <w:left w:val="nil"/>
              <w:bottom w:val="single" w:color="auto" w:sz="4" w:space="0"/>
              <w:right w:val="nil"/>
            </w:tcBorders>
            <w:shd w:val="clear" w:color="auto" w:fill="auto"/>
            <w:tcMar>
              <w:top w:w="120" w:type="dxa"/>
              <w:left w:w="192" w:type="dxa"/>
              <w:bottom w:w="120" w:type="dxa"/>
              <w:right w:w="192" w:type="dxa"/>
            </w:tcMar>
            <w:vAlign w:val="center"/>
          </w:tcPr>
          <w:p w14:paraId="739C9A81">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NDK200-2N</w:t>
            </w:r>
          </w:p>
        </w:tc>
        <w:tc>
          <w:tcPr>
            <w:tcW w:w="0" w:type="auto"/>
            <w:tcBorders>
              <w:top w:val="nil"/>
              <w:left w:val="nil"/>
              <w:bottom w:val="single" w:color="auto" w:sz="4" w:space="0"/>
              <w:right w:val="nil"/>
            </w:tcBorders>
            <w:shd w:val="clear" w:color="auto" w:fill="auto"/>
            <w:tcMar>
              <w:top w:w="120" w:type="dxa"/>
              <w:left w:w="192" w:type="dxa"/>
              <w:bottom w:w="120" w:type="dxa"/>
              <w:right w:w="192" w:type="dxa"/>
            </w:tcMar>
            <w:vAlign w:val="center"/>
          </w:tcPr>
          <w:p w14:paraId="707EC39B">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Hangzhou Miou Instrument Co., Ltd.</w:t>
            </w:r>
          </w:p>
        </w:tc>
        <w:tc>
          <w:tcPr>
            <w:tcW w:w="0" w:type="auto"/>
            <w:tcBorders>
              <w:top w:val="nil"/>
              <w:left w:val="nil"/>
              <w:bottom w:val="single" w:color="auto" w:sz="4" w:space="0"/>
              <w:right w:val="nil"/>
            </w:tcBorders>
            <w:shd w:val="clear" w:color="auto" w:fill="auto"/>
            <w:tcMar>
              <w:top w:w="120" w:type="dxa"/>
              <w:left w:w="192" w:type="dxa"/>
              <w:bottom w:w="120" w:type="dxa"/>
              <w:right w:w="0" w:type="dxa"/>
            </w:tcMar>
            <w:vAlign w:val="center"/>
          </w:tcPr>
          <w:p w14:paraId="5A75AC59">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China</w:t>
            </w:r>
          </w:p>
        </w:tc>
      </w:tr>
    </w:tbl>
    <w:p w14:paraId="50699DC0">
      <w:pPr>
        <w:spacing w:line="240" w:lineRule="auto"/>
        <w:rPr>
          <w:rFonts w:hint="default" w:ascii="Times New Roman" w:hAnsi="Times New Roman" w:cs="Times New Roman"/>
        </w:rPr>
      </w:pPr>
    </w:p>
    <w:p w14:paraId="2D20A6BA">
      <w:pPr>
        <w:spacing w:line="240" w:lineRule="auto"/>
        <w:rPr>
          <w:rFonts w:hint="default" w:ascii="Times New Roman" w:hAnsi="Times New Roman" w:cs="Times New Roman"/>
        </w:rPr>
      </w:pPr>
    </w:p>
    <w:p w14:paraId="0250C9C8">
      <w:pPr>
        <w:spacing w:line="240" w:lineRule="auto"/>
        <w:jc w:val="center"/>
        <w:rPr>
          <w:rFonts w:hint="default" w:ascii="Times New Roman" w:hAnsi="Times New Roman" w:cs="Times New Roman"/>
          <w:b/>
          <w:bCs/>
          <w:sz w:val="21"/>
          <w:szCs w:val="21"/>
        </w:rPr>
      </w:pPr>
      <w:r>
        <w:rPr>
          <w:rFonts w:hint="default" w:ascii="Times New Roman" w:hAnsi="Times New Roman" w:cs="Times New Roman"/>
          <w:b/>
          <w:bCs/>
          <w:sz w:val="21"/>
          <w:szCs w:val="21"/>
        </w:rPr>
        <w:t>Table S1.3</w:t>
      </w:r>
      <w:r>
        <w:rPr>
          <w:rFonts w:hint="default" w:ascii="Times New Roman" w:hAnsi="Times New Roman" w:cs="Times New Roman"/>
          <w:b/>
          <w:bCs/>
          <w:sz w:val="21"/>
          <w:szCs w:val="21"/>
          <w:lang w:val="en-US" w:eastAsia="zh-CN"/>
        </w:rPr>
        <w:t xml:space="preserve"> </w:t>
      </w:r>
      <w:r>
        <w:rPr>
          <w:rFonts w:hint="default" w:ascii="Times New Roman" w:hAnsi="Times New Roman" w:cs="Times New Roman"/>
          <w:b/>
          <w:bCs/>
          <w:sz w:val="21"/>
          <w:szCs w:val="21"/>
        </w:rPr>
        <w:t xml:space="preserve"> Main</w:t>
      </w:r>
      <w:r>
        <w:rPr>
          <w:rFonts w:hint="default" w:ascii="Times New Roman" w:hAnsi="Times New Roman" w:cs="Times New Roman"/>
          <w:b/>
          <w:bCs/>
          <w:sz w:val="21"/>
          <w:szCs w:val="21"/>
          <w:lang w:val="en-US" w:eastAsia="zh-CN"/>
        </w:rPr>
        <w:t xml:space="preserve"> </w:t>
      </w:r>
      <w:r>
        <w:rPr>
          <w:rFonts w:hint="default" w:ascii="Times New Roman" w:hAnsi="Times New Roman" w:cs="Times New Roman"/>
          <w:b/>
          <w:bCs/>
          <w:sz w:val="21"/>
          <w:szCs w:val="21"/>
        </w:rPr>
        <w:t>Experimental Consumables</w:t>
      </w:r>
    </w:p>
    <w:tbl>
      <w:tblPr>
        <w:tblStyle w:val="3"/>
        <w:tblW w:w="4999"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239"/>
        <w:gridCol w:w="1921"/>
        <w:gridCol w:w="2944"/>
        <w:gridCol w:w="1200"/>
      </w:tblGrid>
      <w:tr w14:paraId="4511E1A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tcBorders>
              <w:bottom w:val="single" w:color="auto" w:sz="4" w:space="0"/>
            </w:tcBorders>
            <w:shd w:val="clear" w:color="auto" w:fill="auto"/>
            <w:tcMar>
              <w:top w:w="120" w:type="dxa"/>
              <w:left w:w="0" w:type="dxa"/>
              <w:bottom w:w="120" w:type="dxa"/>
              <w:right w:w="192" w:type="dxa"/>
            </w:tcMar>
            <w:vAlign w:val="center"/>
          </w:tcPr>
          <w:p w14:paraId="3C080D22">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Consumables</w:t>
            </w:r>
          </w:p>
        </w:tc>
        <w:tc>
          <w:tcPr>
            <w:tcW w:w="1156" w:type="pct"/>
            <w:tcBorders>
              <w:bottom w:val="single" w:color="auto" w:sz="4" w:space="0"/>
            </w:tcBorders>
            <w:shd w:val="clear" w:color="auto" w:fill="auto"/>
            <w:tcMar>
              <w:top w:w="120" w:type="dxa"/>
              <w:left w:w="192" w:type="dxa"/>
              <w:bottom w:w="120" w:type="dxa"/>
              <w:right w:w="192" w:type="dxa"/>
            </w:tcMar>
            <w:vAlign w:val="center"/>
          </w:tcPr>
          <w:p w14:paraId="1FD2E4C9">
            <w:pPr>
              <w:spacing w:line="240" w:lineRule="auto"/>
              <w:jc w:val="center"/>
              <w:rPr>
                <w:rFonts w:hint="default" w:ascii="Times New Roman" w:hAnsi="Times New Roman" w:cs="Times New Roman"/>
                <w:sz w:val="21"/>
                <w:szCs w:val="21"/>
              </w:rPr>
            </w:pPr>
            <w:r>
              <w:rPr>
                <w:rFonts w:hint="default" w:ascii="Times New Roman" w:hAnsi="Times New Roman" w:eastAsia="Segoe UI" w:cs="Times New Roman"/>
                <w:i w:val="0"/>
                <w:iCs w:val="0"/>
                <w:caps w:val="0"/>
                <w:color w:val="0F1115"/>
                <w:spacing w:val="0"/>
                <w:sz w:val="21"/>
                <w:szCs w:val="21"/>
                <w:shd w:val="clear" w:fill="FFFFFF"/>
              </w:rPr>
              <w:t>Specification</w:t>
            </w:r>
          </w:p>
        </w:tc>
        <w:tc>
          <w:tcPr>
            <w:tcW w:w="1772" w:type="pct"/>
            <w:tcBorders>
              <w:bottom w:val="single" w:color="auto" w:sz="4" w:space="0"/>
            </w:tcBorders>
            <w:shd w:val="clear" w:color="auto" w:fill="auto"/>
            <w:tcMar>
              <w:top w:w="120" w:type="dxa"/>
              <w:left w:w="192" w:type="dxa"/>
              <w:bottom w:w="120" w:type="dxa"/>
              <w:right w:w="192" w:type="dxa"/>
            </w:tcMar>
            <w:vAlign w:val="center"/>
          </w:tcPr>
          <w:p w14:paraId="5A150888">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Manufacturer</w:t>
            </w:r>
          </w:p>
        </w:tc>
        <w:tc>
          <w:tcPr>
            <w:tcW w:w="722" w:type="pct"/>
            <w:tcBorders>
              <w:bottom w:val="single" w:color="auto" w:sz="4" w:space="0"/>
            </w:tcBorders>
            <w:shd w:val="clear" w:color="auto" w:fill="auto"/>
            <w:tcMar>
              <w:top w:w="120" w:type="dxa"/>
              <w:left w:w="192" w:type="dxa"/>
              <w:bottom w:w="120" w:type="dxa"/>
              <w:right w:w="0" w:type="dxa"/>
            </w:tcMar>
            <w:vAlign w:val="center"/>
          </w:tcPr>
          <w:p w14:paraId="1CC6EE44">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Country</w:t>
            </w:r>
          </w:p>
        </w:tc>
      </w:tr>
      <w:tr w14:paraId="2620F88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trPr>
        <w:tc>
          <w:tcPr>
            <w:tcW w:w="1348" w:type="pct"/>
            <w:tcBorders>
              <w:top w:val="single" w:color="auto" w:sz="4" w:space="0"/>
            </w:tcBorders>
            <w:shd w:val="clear" w:color="auto" w:fill="auto"/>
            <w:tcMar>
              <w:top w:w="120" w:type="dxa"/>
              <w:left w:w="0" w:type="dxa"/>
              <w:bottom w:w="120" w:type="dxa"/>
              <w:right w:w="192" w:type="dxa"/>
            </w:tcMar>
            <w:vAlign w:val="center"/>
          </w:tcPr>
          <w:p w14:paraId="31CFE176">
            <w:pPr>
              <w:keepNext w:val="0"/>
              <w:keepLines w:val="0"/>
              <w:widowControl/>
              <w:suppressLineNumbers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eastAsia="宋体" w:cs="Times New Roman"/>
                <w:b w:val="0"/>
                <w:bCs w:val="0"/>
                <w:color w:val="auto"/>
                <w:kern w:val="0"/>
                <w:sz w:val="21"/>
                <w:szCs w:val="21"/>
                <w:lang w:val="en-US" w:eastAsia="zh-CN" w:bidi="ar"/>
              </w:rPr>
              <w:t xml:space="preserve">BPA </w:t>
            </w:r>
            <w:r>
              <w:rPr>
                <w:rFonts w:hint="default" w:ascii="Times New Roman" w:hAnsi="Times New Roman" w:cs="Times New Roman"/>
                <w:b w:val="0"/>
                <w:bCs w:val="0"/>
                <w:color w:val="auto"/>
                <w:sz w:val="21"/>
                <w:szCs w:val="21"/>
                <w:lang w:val="en-US" w:eastAsia="zh-CN"/>
              </w:rPr>
              <w:t>standard (for calibration)</w:t>
            </w:r>
          </w:p>
        </w:tc>
        <w:tc>
          <w:tcPr>
            <w:tcW w:w="1156" w:type="pct"/>
            <w:tcBorders>
              <w:top w:val="single" w:color="auto" w:sz="4" w:space="0"/>
            </w:tcBorders>
            <w:shd w:val="clear" w:color="auto" w:fill="auto"/>
            <w:tcMar>
              <w:top w:w="120" w:type="dxa"/>
              <w:left w:w="192" w:type="dxa"/>
              <w:bottom w:w="120" w:type="dxa"/>
              <w:right w:w="192" w:type="dxa"/>
            </w:tcMar>
            <w:vAlign w:val="center"/>
          </w:tcPr>
          <w:p w14:paraId="5101160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CAS: 80-05-7;</w:t>
            </w:r>
          </w:p>
          <w:p w14:paraId="4001251A">
            <w:pPr>
              <w:keepNext w:val="0"/>
              <w:keepLines w:val="0"/>
              <w:widowControl/>
              <w:suppressLineNumbers w:val="0"/>
              <w:jc w:val="left"/>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sz w:val="21"/>
                <w:szCs w:val="21"/>
              </w:rPr>
              <w:t>ZC-60176</w:t>
            </w:r>
          </w:p>
        </w:tc>
        <w:tc>
          <w:tcPr>
            <w:tcW w:w="1772" w:type="pct"/>
            <w:tcBorders>
              <w:top w:val="single" w:color="auto" w:sz="4" w:space="0"/>
            </w:tcBorders>
            <w:shd w:val="clear" w:color="auto" w:fill="auto"/>
            <w:tcMar>
              <w:top w:w="120" w:type="dxa"/>
              <w:left w:w="192" w:type="dxa"/>
              <w:bottom w:w="120" w:type="dxa"/>
              <w:right w:w="192" w:type="dxa"/>
            </w:tcMar>
            <w:vAlign w:val="center"/>
          </w:tcPr>
          <w:p w14:paraId="548D5D08">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Zzstandard</w:t>
            </w:r>
          </w:p>
        </w:tc>
        <w:tc>
          <w:tcPr>
            <w:tcW w:w="722" w:type="pct"/>
            <w:tcBorders>
              <w:top w:val="single" w:color="auto" w:sz="4" w:space="0"/>
            </w:tcBorders>
            <w:shd w:val="clear" w:color="auto" w:fill="auto"/>
            <w:tcMar>
              <w:top w:w="120" w:type="dxa"/>
              <w:left w:w="192" w:type="dxa"/>
              <w:bottom w:w="120" w:type="dxa"/>
              <w:right w:w="0" w:type="dxa"/>
            </w:tcMar>
            <w:vAlign w:val="center"/>
          </w:tcPr>
          <w:p w14:paraId="14A8BAB3">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China</w:t>
            </w:r>
          </w:p>
        </w:tc>
      </w:tr>
      <w:tr w14:paraId="4488C86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trPr>
        <w:tc>
          <w:tcPr>
            <w:tcW w:w="1348" w:type="pct"/>
            <w:shd w:val="clear" w:color="auto" w:fill="auto"/>
            <w:tcMar>
              <w:top w:w="120" w:type="dxa"/>
              <w:left w:w="0" w:type="dxa"/>
              <w:bottom w:w="120" w:type="dxa"/>
              <w:right w:w="192" w:type="dxa"/>
            </w:tcMar>
            <w:vAlign w:val="center"/>
          </w:tcPr>
          <w:p w14:paraId="261E2DBA">
            <w:pPr>
              <w:keepNext w:val="0"/>
              <w:keepLines w:val="0"/>
              <w:widowControl/>
              <w:suppressLineNumbers w:val="0"/>
              <w:jc w:val="center"/>
              <w:rPr>
                <w:rFonts w:hint="default" w:ascii="Times New Roman" w:hAnsi="Times New Roman" w:eastAsia="宋体" w:cs="Times New Roman"/>
                <w:b w:val="0"/>
                <w:bCs w:val="0"/>
                <w:color w:val="auto"/>
                <w:kern w:val="0"/>
                <w:sz w:val="21"/>
                <w:szCs w:val="21"/>
                <w:lang w:val="en-US" w:eastAsia="zh-CN" w:bidi="ar"/>
              </w:rPr>
            </w:pPr>
            <w:r>
              <w:rPr>
                <w:rFonts w:hint="default" w:ascii="Times New Roman" w:hAnsi="Times New Roman" w:cs="Times New Roman"/>
                <w:b w:val="0"/>
                <w:bCs w:val="0"/>
                <w:color w:val="auto"/>
                <w:sz w:val="21"/>
                <w:szCs w:val="21"/>
                <w:lang w:val="en-US" w:eastAsia="zh-CN"/>
              </w:rPr>
              <w:t>BPS standard (for calibration)</w:t>
            </w:r>
          </w:p>
        </w:tc>
        <w:tc>
          <w:tcPr>
            <w:tcW w:w="1156" w:type="pct"/>
            <w:shd w:val="clear" w:color="auto" w:fill="auto"/>
            <w:tcMar>
              <w:top w:w="120" w:type="dxa"/>
              <w:left w:w="192" w:type="dxa"/>
              <w:bottom w:w="120" w:type="dxa"/>
              <w:right w:w="192" w:type="dxa"/>
            </w:tcMar>
            <w:vAlign w:val="center"/>
          </w:tcPr>
          <w:p w14:paraId="3E837AD3">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CAS: 80-09-1;</w:t>
            </w:r>
          </w:p>
          <w:p w14:paraId="7D6331F0">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cs="Times New Roman"/>
                <w:sz w:val="21"/>
                <w:szCs w:val="21"/>
              </w:rPr>
              <w:t>ULM-9320-S</w:t>
            </w:r>
          </w:p>
          <w:p w14:paraId="08FCB82C">
            <w:pPr>
              <w:spacing w:line="240" w:lineRule="auto"/>
              <w:jc w:val="center"/>
              <w:rPr>
                <w:rFonts w:hint="default" w:ascii="Times New Roman" w:hAnsi="Times New Roman" w:cs="Times New Roman"/>
                <w:b w:val="0"/>
                <w:bCs w:val="0"/>
                <w:color w:val="auto"/>
                <w:sz w:val="21"/>
                <w:szCs w:val="21"/>
                <w:lang w:val="en-US" w:eastAsia="zh-CN"/>
              </w:rPr>
            </w:pPr>
          </w:p>
        </w:tc>
        <w:tc>
          <w:tcPr>
            <w:tcW w:w="1772" w:type="pct"/>
            <w:shd w:val="clear" w:color="auto" w:fill="auto"/>
            <w:tcMar>
              <w:top w:w="120" w:type="dxa"/>
              <w:left w:w="192" w:type="dxa"/>
              <w:bottom w:w="120" w:type="dxa"/>
              <w:right w:w="192" w:type="dxa"/>
            </w:tcMar>
            <w:vAlign w:val="center"/>
          </w:tcPr>
          <w:p w14:paraId="08DCC5E1">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CIL</w:t>
            </w:r>
          </w:p>
          <w:p w14:paraId="566AD5BA">
            <w:pPr>
              <w:spacing w:line="240" w:lineRule="auto"/>
              <w:jc w:val="center"/>
              <w:rPr>
                <w:rFonts w:hint="default" w:ascii="Times New Roman" w:hAnsi="Times New Roman" w:cs="Times New Roman"/>
                <w:b w:val="0"/>
                <w:bCs w:val="0"/>
                <w:color w:val="auto"/>
                <w:sz w:val="21"/>
                <w:szCs w:val="21"/>
                <w:lang w:val="en-US" w:eastAsia="zh-CN"/>
              </w:rPr>
            </w:pPr>
          </w:p>
        </w:tc>
        <w:tc>
          <w:tcPr>
            <w:tcW w:w="722" w:type="pct"/>
            <w:shd w:val="clear" w:color="auto" w:fill="auto"/>
            <w:tcMar>
              <w:top w:w="120" w:type="dxa"/>
              <w:left w:w="192" w:type="dxa"/>
              <w:bottom w:w="120" w:type="dxa"/>
              <w:right w:w="0" w:type="dxa"/>
            </w:tcMar>
            <w:vAlign w:val="center"/>
          </w:tcPr>
          <w:p w14:paraId="787D0711">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USA</w:t>
            </w:r>
          </w:p>
        </w:tc>
      </w:tr>
      <w:tr w14:paraId="1473573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78C70AD7">
            <w:pPr>
              <w:spacing w:line="240" w:lineRule="auto"/>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lang w:val="en-US" w:eastAsia="zh-CN"/>
              </w:rPr>
              <w:t>BPF standard (for calibration)</w:t>
            </w:r>
          </w:p>
        </w:tc>
        <w:tc>
          <w:tcPr>
            <w:tcW w:w="1156" w:type="pct"/>
            <w:shd w:val="clear" w:color="auto" w:fill="auto"/>
            <w:tcMar>
              <w:top w:w="120" w:type="dxa"/>
              <w:left w:w="192" w:type="dxa"/>
              <w:bottom w:w="120" w:type="dxa"/>
              <w:right w:w="192" w:type="dxa"/>
            </w:tcMar>
            <w:vAlign w:val="center"/>
          </w:tcPr>
          <w:p w14:paraId="282C9E17">
            <w:pPr>
              <w:keepNext w:val="0"/>
              <w:keepLines w:val="0"/>
              <w:widowControl/>
              <w:suppressLineNumbers w:val="0"/>
              <w:jc w:val="center"/>
              <w:rPr>
                <w:rFonts w:hint="default" w:ascii="Times New Roman" w:hAnsi="Times New Roman" w:eastAsia="宋体" w:cs="Times New Roman"/>
                <w:color w:val="444444"/>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 xml:space="preserve">CAS: </w:t>
            </w:r>
            <w:r>
              <w:rPr>
                <w:rFonts w:hint="default" w:ascii="Times New Roman" w:hAnsi="Times New Roman" w:eastAsia="宋体" w:cs="Times New Roman"/>
                <w:color w:val="444444"/>
                <w:kern w:val="0"/>
                <w:sz w:val="21"/>
                <w:szCs w:val="21"/>
                <w:lang w:val="en-US" w:eastAsia="zh-CN" w:bidi="ar"/>
              </w:rPr>
              <w:t>620-92-8;</w:t>
            </w:r>
          </w:p>
          <w:p w14:paraId="3ED7D90E">
            <w:pPr>
              <w:keepNext w:val="0"/>
              <w:keepLines w:val="0"/>
              <w:widowControl/>
              <w:suppressLineNumbers w:val="0"/>
              <w:jc w:val="center"/>
              <w:rPr>
                <w:rFonts w:hint="default" w:ascii="Times New Roman" w:hAnsi="Times New Roman" w:eastAsia="宋体" w:cs="Times New Roman"/>
                <w:color w:val="444444"/>
                <w:kern w:val="0"/>
                <w:sz w:val="21"/>
                <w:szCs w:val="21"/>
                <w:lang w:val="en-US" w:eastAsia="zh-CN" w:bidi="ar"/>
              </w:rPr>
            </w:pPr>
            <w:r>
              <w:rPr>
                <w:rFonts w:hint="default" w:ascii="Times New Roman" w:hAnsi="Times New Roman" w:cs="Times New Roman"/>
                <w:sz w:val="21"/>
                <w:szCs w:val="21"/>
              </w:rPr>
              <w:t>ULM-9827-S</w:t>
            </w:r>
          </w:p>
          <w:p w14:paraId="46C8B882">
            <w:pPr>
              <w:spacing w:line="240" w:lineRule="auto"/>
              <w:jc w:val="center"/>
              <w:rPr>
                <w:rFonts w:hint="default" w:ascii="Times New Roman" w:hAnsi="Times New Roman" w:cs="Times New Roman"/>
                <w:b w:val="0"/>
                <w:bCs w:val="0"/>
                <w:color w:val="auto"/>
                <w:sz w:val="21"/>
                <w:szCs w:val="21"/>
              </w:rPr>
            </w:pPr>
          </w:p>
        </w:tc>
        <w:tc>
          <w:tcPr>
            <w:tcW w:w="1772" w:type="pct"/>
            <w:shd w:val="clear" w:color="auto" w:fill="auto"/>
            <w:tcMar>
              <w:top w:w="120" w:type="dxa"/>
              <w:left w:w="192" w:type="dxa"/>
              <w:bottom w:w="120" w:type="dxa"/>
              <w:right w:w="192" w:type="dxa"/>
            </w:tcMar>
            <w:vAlign w:val="center"/>
          </w:tcPr>
          <w:p w14:paraId="205C665A">
            <w:pPr>
              <w:spacing w:line="240" w:lineRule="auto"/>
              <w:jc w:val="center"/>
              <w:rPr>
                <w:rFonts w:hint="default" w:ascii="Times New Roman" w:hAnsi="Times New Roman" w:cs="Times New Roman"/>
                <w:b w:val="0"/>
                <w:bCs w:val="0"/>
                <w:color w:val="auto"/>
                <w:sz w:val="21"/>
                <w:szCs w:val="21"/>
              </w:rPr>
            </w:pPr>
            <w:r>
              <w:rPr>
                <w:rFonts w:hint="default" w:ascii="Times New Roman" w:hAnsi="Times New Roman" w:cs="Times New Roman"/>
                <w:sz w:val="21"/>
                <w:szCs w:val="21"/>
              </w:rPr>
              <w:t>CIL</w:t>
            </w:r>
          </w:p>
        </w:tc>
        <w:tc>
          <w:tcPr>
            <w:tcW w:w="722" w:type="pct"/>
            <w:shd w:val="clear" w:color="auto" w:fill="auto"/>
            <w:tcMar>
              <w:top w:w="120" w:type="dxa"/>
              <w:left w:w="192" w:type="dxa"/>
              <w:bottom w:w="120" w:type="dxa"/>
              <w:right w:w="0" w:type="dxa"/>
            </w:tcMar>
            <w:vAlign w:val="center"/>
          </w:tcPr>
          <w:p w14:paraId="73DA2649">
            <w:pPr>
              <w:spacing w:line="240" w:lineRule="auto"/>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lang w:val="en-US" w:eastAsia="zh-CN"/>
              </w:rPr>
              <w:t>USA</w:t>
            </w:r>
          </w:p>
        </w:tc>
      </w:tr>
      <w:tr w14:paraId="04B7D01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5774DF29">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BPAF standard (for calibration)</w:t>
            </w:r>
          </w:p>
        </w:tc>
        <w:tc>
          <w:tcPr>
            <w:tcW w:w="1156" w:type="pct"/>
            <w:shd w:val="clear" w:color="auto" w:fill="auto"/>
            <w:tcMar>
              <w:top w:w="120" w:type="dxa"/>
              <w:left w:w="192" w:type="dxa"/>
              <w:bottom w:w="120" w:type="dxa"/>
              <w:right w:w="192" w:type="dxa"/>
            </w:tcMar>
            <w:vAlign w:val="center"/>
          </w:tcPr>
          <w:p w14:paraId="520A7BAC">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CAS: 1478-61-1;</w:t>
            </w:r>
          </w:p>
          <w:p w14:paraId="5EBA33A1">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cs="Times New Roman"/>
                <w:sz w:val="21"/>
                <w:szCs w:val="21"/>
              </w:rPr>
              <w:t>90477</w:t>
            </w:r>
          </w:p>
        </w:tc>
        <w:tc>
          <w:tcPr>
            <w:tcW w:w="1772" w:type="pct"/>
            <w:shd w:val="clear" w:color="auto" w:fill="auto"/>
            <w:tcMar>
              <w:top w:w="120" w:type="dxa"/>
              <w:left w:w="192" w:type="dxa"/>
              <w:bottom w:w="120" w:type="dxa"/>
              <w:right w:w="192" w:type="dxa"/>
            </w:tcMar>
            <w:vAlign w:val="center"/>
          </w:tcPr>
          <w:p w14:paraId="268E1237">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Sigma</w:t>
            </w:r>
          </w:p>
        </w:tc>
        <w:tc>
          <w:tcPr>
            <w:tcW w:w="722" w:type="pct"/>
            <w:shd w:val="clear" w:color="auto" w:fill="auto"/>
            <w:tcMar>
              <w:top w:w="120" w:type="dxa"/>
              <w:left w:w="192" w:type="dxa"/>
              <w:bottom w:w="120" w:type="dxa"/>
              <w:right w:w="0" w:type="dxa"/>
            </w:tcMar>
            <w:vAlign w:val="center"/>
          </w:tcPr>
          <w:p w14:paraId="457173C7">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USA</w:t>
            </w:r>
          </w:p>
        </w:tc>
      </w:tr>
      <w:tr w14:paraId="0A69A29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18A08920">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¹³C-labeled BPA internal standard</w:t>
            </w:r>
          </w:p>
        </w:tc>
        <w:tc>
          <w:tcPr>
            <w:tcW w:w="1156" w:type="pct"/>
            <w:shd w:val="clear" w:color="auto" w:fill="auto"/>
            <w:tcMar>
              <w:top w:w="120" w:type="dxa"/>
              <w:left w:w="192" w:type="dxa"/>
              <w:bottom w:w="120" w:type="dxa"/>
              <w:right w:w="192" w:type="dxa"/>
            </w:tcMar>
            <w:vAlign w:val="center"/>
          </w:tcPr>
          <w:p w14:paraId="1CAB0552">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sz w:val="21"/>
                <w:szCs w:val="21"/>
                <w:lang w:val="en-US" w:eastAsia="zh-CN"/>
              </w:rPr>
              <w:t>CLM-9776-1.2</w:t>
            </w:r>
          </w:p>
        </w:tc>
        <w:tc>
          <w:tcPr>
            <w:tcW w:w="1772" w:type="pct"/>
            <w:shd w:val="clear" w:color="auto" w:fill="auto"/>
            <w:tcMar>
              <w:top w:w="120" w:type="dxa"/>
              <w:left w:w="192" w:type="dxa"/>
              <w:bottom w:w="120" w:type="dxa"/>
              <w:right w:w="192" w:type="dxa"/>
            </w:tcMar>
            <w:vAlign w:val="center"/>
          </w:tcPr>
          <w:p w14:paraId="6B1AC711">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Cambridge Isotope Laboratories</w:t>
            </w:r>
          </w:p>
        </w:tc>
        <w:tc>
          <w:tcPr>
            <w:tcW w:w="722" w:type="pct"/>
            <w:shd w:val="clear" w:color="auto" w:fill="auto"/>
            <w:tcMar>
              <w:top w:w="120" w:type="dxa"/>
              <w:left w:w="192" w:type="dxa"/>
              <w:bottom w:w="120" w:type="dxa"/>
              <w:right w:w="0" w:type="dxa"/>
            </w:tcMar>
            <w:vAlign w:val="center"/>
          </w:tcPr>
          <w:p w14:paraId="51F6D46F">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USA</w:t>
            </w:r>
          </w:p>
        </w:tc>
      </w:tr>
      <w:tr w14:paraId="6B81B39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1EE3C099">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¹³C-labeled BPS internal standard</w:t>
            </w:r>
          </w:p>
        </w:tc>
        <w:tc>
          <w:tcPr>
            <w:tcW w:w="1156" w:type="pct"/>
            <w:shd w:val="clear" w:color="auto" w:fill="auto"/>
            <w:tcMar>
              <w:top w:w="120" w:type="dxa"/>
              <w:left w:w="192" w:type="dxa"/>
              <w:bottom w:w="120" w:type="dxa"/>
              <w:right w:w="192" w:type="dxa"/>
            </w:tcMar>
            <w:vAlign w:val="center"/>
          </w:tcPr>
          <w:p w14:paraId="24541891">
            <w:pPr>
              <w:spacing w:line="240" w:lineRule="auto"/>
              <w:jc w:val="center"/>
              <w:rPr>
                <w:rFonts w:hint="default" w:ascii="Times New Roman" w:hAnsi="Times New Roman" w:cs="Times New Roman"/>
                <w:b w:val="0"/>
                <w:bCs w:val="0"/>
                <w:color w:val="auto"/>
                <w:sz w:val="21"/>
                <w:szCs w:val="21"/>
                <w:lang w:val="en-US" w:eastAsia="zh-CN"/>
              </w:rPr>
            </w:pPr>
          </w:p>
        </w:tc>
        <w:tc>
          <w:tcPr>
            <w:tcW w:w="1772" w:type="pct"/>
            <w:shd w:val="clear" w:color="auto" w:fill="auto"/>
            <w:tcMar>
              <w:top w:w="120" w:type="dxa"/>
              <w:left w:w="192" w:type="dxa"/>
              <w:bottom w:w="120" w:type="dxa"/>
              <w:right w:w="192" w:type="dxa"/>
            </w:tcMar>
            <w:vAlign w:val="center"/>
          </w:tcPr>
          <w:p w14:paraId="03AFC65B">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Cambridge Isotope Laboratories</w:t>
            </w:r>
          </w:p>
        </w:tc>
        <w:tc>
          <w:tcPr>
            <w:tcW w:w="722" w:type="pct"/>
            <w:shd w:val="clear" w:color="auto" w:fill="auto"/>
            <w:tcMar>
              <w:top w:w="120" w:type="dxa"/>
              <w:left w:w="192" w:type="dxa"/>
              <w:bottom w:w="120" w:type="dxa"/>
              <w:right w:w="0" w:type="dxa"/>
            </w:tcMar>
            <w:vAlign w:val="center"/>
          </w:tcPr>
          <w:p w14:paraId="5D59F1D6">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USA</w:t>
            </w:r>
          </w:p>
        </w:tc>
      </w:tr>
      <w:tr w14:paraId="3977DC3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72D7FC82">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¹³C-labeled BPF internal standard</w:t>
            </w:r>
          </w:p>
        </w:tc>
        <w:tc>
          <w:tcPr>
            <w:tcW w:w="1156" w:type="pct"/>
            <w:shd w:val="clear" w:color="auto" w:fill="auto"/>
            <w:tcMar>
              <w:top w:w="120" w:type="dxa"/>
              <w:left w:w="192" w:type="dxa"/>
              <w:bottom w:w="120" w:type="dxa"/>
              <w:right w:w="192" w:type="dxa"/>
            </w:tcMar>
            <w:vAlign w:val="center"/>
          </w:tcPr>
          <w:p w14:paraId="61738C54">
            <w:pPr>
              <w:spacing w:line="240" w:lineRule="auto"/>
              <w:jc w:val="center"/>
              <w:rPr>
                <w:rFonts w:hint="default" w:ascii="Times New Roman" w:hAnsi="Times New Roman" w:cs="Times New Roman"/>
                <w:b w:val="0"/>
                <w:bCs w:val="0"/>
                <w:color w:val="auto"/>
                <w:sz w:val="21"/>
                <w:szCs w:val="21"/>
                <w:lang w:val="en-US" w:eastAsia="zh-CN"/>
              </w:rPr>
            </w:pPr>
          </w:p>
        </w:tc>
        <w:tc>
          <w:tcPr>
            <w:tcW w:w="1772" w:type="pct"/>
            <w:shd w:val="clear" w:color="auto" w:fill="auto"/>
            <w:tcMar>
              <w:top w:w="120" w:type="dxa"/>
              <w:left w:w="192" w:type="dxa"/>
              <w:bottom w:w="120" w:type="dxa"/>
              <w:right w:w="192" w:type="dxa"/>
            </w:tcMar>
            <w:vAlign w:val="center"/>
          </w:tcPr>
          <w:p w14:paraId="430522B1">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Cambridge Isotope Laboratories</w:t>
            </w:r>
          </w:p>
        </w:tc>
        <w:tc>
          <w:tcPr>
            <w:tcW w:w="722" w:type="pct"/>
            <w:shd w:val="clear" w:color="auto" w:fill="auto"/>
            <w:tcMar>
              <w:top w:w="120" w:type="dxa"/>
              <w:left w:w="192" w:type="dxa"/>
              <w:bottom w:w="120" w:type="dxa"/>
              <w:right w:w="0" w:type="dxa"/>
            </w:tcMar>
            <w:vAlign w:val="center"/>
          </w:tcPr>
          <w:p w14:paraId="63442F28">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USA</w:t>
            </w:r>
          </w:p>
        </w:tc>
      </w:tr>
      <w:tr w14:paraId="0A4C1B0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14A82859">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¹³C-labeled BPAF internal standard</w:t>
            </w:r>
          </w:p>
        </w:tc>
        <w:tc>
          <w:tcPr>
            <w:tcW w:w="1156" w:type="pct"/>
            <w:shd w:val="clear" w:color="auto" w:fill="auto"/>
            <w:tcMar>
              <w:top w:w="120" w:type="dxa"/>
              <w:left w:w="192" w:type="dxa"/>
              <w:bottom w:w="120" w:type="dxa"/>
              <w:right w:w="192" w:type="dxa"/>
            </w:tcMar>
            <w:vAlign w:val="center"/>
          </w:tcPr>
          <w:p w14:paraId="584A8617">
            <w:pPr>
              <w:spacing w:line="240" w:lineRule="auto"/>
              <w:jc w:val="center"/>
              <w:rPr>
                <w:rFonts w:hint="default" w:ascii="Times New Roman" w:hAnsi="Times New Roman" w:cs="Times New Roman"/>
                <w:b w:val="0"/>
                <w:bCs w:val="0"/>
                <w:color w:val="auto"/>
                <w:sz w:val="21"/>
                <w:szCs w:val="21"/>
                <w:lang w:val="en-US" w:eastAsia="zh-CN"/>
              </w:rPr>
            </w:pPr>
          </w:p>
        </w:tc>
        <w:tc>
          <w:tcPr>
            <w:tcW w:w="1772" w:type="pct"/>
            <w:shd w:val="clear" w:color="auto" w:fill="auto"/>
            <w:tcMar>
              <w:top w:w="120" w:type="dxa"/>
              <w:left w:w="192" w:type="dxa"/>
              <w:bottom w:w="120" w:type="dxa"/>
              <w:right w:w="192" w:type="dxa"/>
            </w:tcMar>
            <w:vAlign w:val="center"/>
          </w:tcPr>
          <w:p w14:paraId="475941C0">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Cambridge Isotope Laboratories</w:t>
            </w:r>
          </w:p>
        </w:tc>
        <w:tc>
          <w:tcPr>
            <w:tcW w:w="722" w:type="pct"/>
            <w:shd w:val="clear" w:color="auto" w:fill="auto"/>
            <w:tcMar>
              <w:top w:w="120" w:type="dxa"/>
              <w:left w:w="192" w:type="dxa"/>
              <w:bottom w:w="120" w:type="dxa"/>
              <w:right w:w="0" w:type="dxa"/>
            </w:tcMar>
            <w:vAlign w:val="center"/>
          </w:tcPr>
          <w:p w14:paraId="12F0344E">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USA</w:t>
            </w:r>
          </w:p>
        </w:tc>
      </w:tr>
      <w:tr w14:paraId="564D7F6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14EAE91D">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MS-grade Methanol &amp; Acetonitrile</w:t>
            </w:r>
          </w:p>
        </w:tc>
        <w:tc>
          <w:tcPr>
            <w:tcW w:w="1156" w:type="pct"/>
            <w:shd w:val="clear" w:color="auto" w:fill="auto"/>
            <w:tcMar>
              <w:top w:w="120" w:type="dxa"/>
              <w:left w:w="192" w:type="dxa"/>
              <w:bottom w:w="120" w:type="dxa"/>
              <w:right w:w="192" w:type="dxa"/>
            </w:tcMar>
            <w:vAlign w:val="center"/>
          </w:tcPr>
          <w:p w14:paraId="7119A60F">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w:t>
            </w:r>
          </w:p>
        </w:tc>
        <w:tc>
          <w:tcPr>
            <w:tcW w:w="1772" w:type="pct"/>
            <w:shd w:val="clear" w:color="auto" w:fill="auto"/>
            <w:tcMar>
              <w:top w:w="120" w:type="dxa"/>
              <w:left w:w="192" w:type="dxa"/>
              <w:bottom w:w="120" w:type="dxa"/>
              <w:right w:w="192" w:type="dxa"/>
            </w:tcMar>
            <w:vAlign w:val="center"/>
          </w:tcPr>
          <w:p w14:paraId="460FC022">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Honeywell</w:t>
            </w:r>
          </w:p>
        </w:tc>
        <w:tc>
          <w:tcPr>
            <w:tcW w:w="722" w:type="pct"/>
            <w:shd w:val="clear" w:color="auto" w:fill="auto"/>
            <w:tcMar>
              <w:top w:w="120" w:type="dxa"/>
              <w:left w:w="192" w:type="dxa"/>
              <w:bottom w:w="120" w:type="dxa"/>
              <w:right w:w="0" w:type="dxa"/>
            </w:tcMar>
            <w:vAlign w:val="center"/>
          </w:tcPr>
          <w:p w14:paraId="2D02D006">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USA</w:t>
            </w:r>
          </w:p>
        </w:tc>
      </w:tr>
      <w:tr w14:paraId="1DCD39C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3C1B381F">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MS-grade Ethyl Acetate &amp; Formic Acid</w:t>
            </w:r>
          </w:p>
        </w:tc>
        <w:tc>
          <w:tcPr>
            <w:tcW w:w="1156" w:type="pct"/>
            <w:shd w:val="clear" w:color="auto" w:fill="auto"/>
            <w:tcMar>
              <w:top w:w="120" w:type="dxa"/>
              <w:left w:w="192" w:type="dxa"/>
              <w:bottom w:w="120" w:type="dxa"/>
              <w:right w:w="192" w:type="dxa"/>
            </w:tcMar>
            <w:vAlign w:val="center"/>
          </w:tcPr>
          <w:p w14:paraId="0BB22632">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w:t>
            </w:r>
          </w:p>
        </w:tc>
        <w:tc>
          <w:tcPr>
            <w:tcW w:w="1772" w:type="pct"/>
            <w:shd w:val="clear" w:color="auto" w:fill="auto"/>
            <w:tcMar>
              <w:top w:w="120" w:type="dxa"/>
              <w:left w:w="192" w:type="dxa"/>
              <w:bottom w:w="120" w:type="dxa"/>
              <w:right w:w="192" w:type="dxa"/>
            </w:tcMar>
            <w:vAlign w:val="center"/>
          </w:tcPr>
          <w:p w14:paraId="28C0166B">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Sigma</w:t>
            </w:r>
          </w:p>
        </w:tc>
        <w:tc>
          <w:tcPr>
            <w:tcW w:w="722" w:type="pct"/>
            <w:shd w:val="clear" w:color="auto" w:fill="auto"/>
            <w:tcMar>
              <w:top w:w="120" w:type="dxa"/>
              <w:left w:w="192" w:type="dxa"/>
              <w:bottom w:w="120" w:type="dxa"/>
              <w:right w:w="0" w:type="dxa"/>
            </w:tcMar>
            <w:vAlign w:val="center"/>
          </w:tcPr>
          <w:p w14:paraId="54CF963D">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USA</w:t>
            </w:r>
          </w:p>
        </w:tc>
      </w:tr>
      <w:tr w14:paraId="591B49A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7AB9D7D1">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Concentrated Sulfuric Acid &amp; Potassium Dichromate</w:t>
            </w:r>
          </w:p>
        </w:tc>
        <w:tc>
          <w:tcPr>
            <w:tcW w:w="1156" w:type="pct"/>
            <w:shd w:val="clear" w:color="auto" w:fill="auto"/>
            <w:tcMar>
              <w:top w:w="120" w:type="dxa"/>
              <w:left w:w="192" w:type="dxa"/>
              <w:bottom w:w="120" w:type="dxa"/>
              <w:right w:w="192" w:type="dxa"/>
            </w:tcMar>
            <w:vAlign w:val="center"/>
          </w:tcPr>
          <w:p w14:paraId="298CF629">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w:t>
            </w:r>
          </w:p>
        </w:tc>
        <w:tc>
          <w:tcPr>
            <w:tcW w:w="1772" w:type="pct"/>
            <w:shd w:val="clear" w:color="auto" w:fill="auto"/>
            <w:tcMar>
              <w:top w:w="120" w:type="dxa"/>
              <w:left w:w="192" w:type="dxa"/>
              <w:bottom w:w="120" w:type="dxa"/>
              <w:right w:w="192" w:type="dxa"/>
            </w:tcMar>
            <w:vAlign w:val="center"/>
          </w:tcPr>
          <w:p w14:paraId="43D3BBD8">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Sinopharm Chemical Reagent Co., Ltd.</w:t>
            </w:r>
          </w:p>
        </w:tc>
        <w:tc>
          <w:tcPr>
            <w:tcW w:w="722" w:type="pct"/>
            <w:shd w:val="clear" w:color="auto" w:fill="auto"/>
            <w:tcMar>
              <w:top w:w="120" w:type="dxa"/>
              <w:left w:w="192" w:type="dxa"/>
              <w:bottom w:w="120" w:type="dxa"/>
              <w:right w:w="0" w:type="dxa"/>
            </w:tcMar>
            <w:vAlign w:val="center"/>
          </w:tcPr>
          <w:p w14:paraId="4FE333F4">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China</w:t>
            </w:r>
          </w:p>
        </w:tc>
      </w:tr>
      <w:tr w14:paraId="4C11A0D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348" w:type="pct"/>
            <w:shd w:val="clear" w:color="auto" w:fill="auto"/>
            <w:tcMar>
              <w:top w:w="120" w:type="dxa"/>
              <w:left w:w="0" w:type="dxa"/>
              <w:bottom w:w="120" w:type="dxa"/>
              <w:right w:w="192" w:type="dxa"/>
            </w:tcMar>
            <w:vAlign w:val="center"/>
          </w:tcPr>
          <w:p w14:paraId="29A2CEF7">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Fetal Bovine Serum</w:t>
            </w:r>
          </w:p>
        </w:tc>
        <w:tc>
          <w:tcPr>
            <w:tcW w:w="1156" w:type="pct"/>
            <w:shd w:val="clear" w:color="auto" w:fill="auto"/>
            <w:tcMar>
              <w:top w:w="120" w:type="dxa"/>
              <w:left w:w="192" w:type="dxa"/>
              <w:bottom w:w="120" w:type="dxa"/>
              <w:right w:w="192" w:type="dxa"/>
            </w:tcMar>
            <w:vAlign w:val="center"/>
          </w:tcPr>
          <w:p w14:paraId="2F2F3F2C">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w:t>
            </w:r>
          </w:p>
        </w:tc>
        <w:tc>
          <w:tcPr>
            <w:tcW w:w="1772" w:type="pct"/>
            <w:shd w:val="clear" w:color="auto" w:fill="auto"/>
            <w:tcMar>
              <w:top w:w="120" w:type="dxa"/>
              <w:left w:w="192" w:type="dxa"/>
              <w:bottom w:w="120" w:type="dxa"/>
              <w:right w:w="192" w:type="dxa"/>
            </w:tcMar>
            <w:vAlign w:val="center"/>
          </w:tcPr>
          <w:p w14:paraId="7708D998">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Zhejiang Tianhang Biotechnology Co., Ltd.</w:t>
            </w:r>
          </w:p>
        </w:tc>
        <w:tc>
          <w:tcPr>
            <w:tcW w:w="722" w:type="pct"/>
            <w:shd w:val="clear" w:color="auto" w:fill="auto"/>
            <w:tcMar>
              <w:top w:w="120" w:type="dxa"/>
              <w:left w:w="192" w:type="dxa"/>
              <w:bottom w:w="120" w:type="dxa"/>
              <w:right w:w="0" w:type="dxa"/>
            </w:tcMar>
            <w:vAlign w:val="center"/>
          </w:tcPr>
          <w:p w14:paraId="64A0C299">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China</w:t>
            </w:r>
          </w:p>
        </w:tc>
      </w:tr>
    </w:tbl>
    <w:p w14:paraId="6B77C3AC">
      <w:pPr>
        <w:numPr>
          <w:ilvl w:val="0"/>
          <w:numId w:val="0"/>
        </w:numPr>
        <w:spacing w:line="480" w:lineRule="auto"/>
        <w:rPr>
          <w:rFonts w:hint="default" w:ascii="Times New Roman" w:hAnsi="Times New Roman" w:cs="Times New Roman"/>
          <w:b/>
          <w:bCs/>
          <w:sz w:val="21"/>
          <w:szCs w:val="21"/>
        </w:rPr>
      </w:pPr>
    </w:p>
    <w:p w14:paraId="7994B213">
      <w:pPr>
        <w:numPr>
          <w:ilvl w:val="0"/>
          <w:numId w:val="1"/>
        </w:numPr>
        <w:spacing w:line="480" w:lineRule="auto"/>
        <w:rPr>
          <w:rFonts w:hint="default" w:ascii="Times New Roman" w:hAnsi="Times New Roman" w:eastAsia="Segoe UI" w:cs="Times New Roman"/>
          <w:i w:val="0"/>
          <w:iCs w:val="0"/>
          <w:caps w:val="0"/>
          <w:color w:val="0F1115"/>
          <w:spacing w:val="0"/>
          <w:sz w:val="24"/>
          <w:szCs w:val="24"/>
        </w:rPr>
      </w:pPr>
      <w:r>
        <w:rPr>
          <w:rFonts w:hint="default" w:ascii="Times New Roman" w:hAnsi="Times New Roman" w:cs="Times New Roman"/>
          <w:b/>
          <w:bCs/>
          <w:sz w:val="21"/>
          <w:szCs w:val="21"/>
        </w:rPr>
        <w:t>Main Experimental Procedures</w:t>
      </w:r>
    </w:p>
    <w:p w14:paraId="07CA667F">
      <w:pPr>
        <w:numPr>
          <w:ilvl w:val="0"/>
          <w:numId w:val="2"/>
        </w:numPr>
        <w:spacing w:line="480" w:lineRule="auto"/>
        <w:rPr>
          <w:rFonts w:hint="default" w:ascii="Times New Roman" w:hAnsi="Times New Roman" w:cs="Times New Roman"/>
        </w:rPr>
      </w:pPr>
      <w:r>
        <w:rPr>
          <w:rFonts w:hint="default" w:ascii="Times New Roman" w:hAnsi="Times New Roman" w:cs="Times New Roman"/>
          <w:b/>
          <w:bCs/>
        </w:rPr>
        <w:t>Gradual Thawing:</w:t>
      </w:r>
      <w:r>
        <w:rPr>
          <w:rFonts w:hint="default" w:ascii="Times New Roman" w:hAnsi="Times New Roman" w:cs="Times New Roman"/>
        </w:rPr>
        <w:t> Serum samples were removed from the -80°C freezer and placed in a -20°C freezer overnight, then transferred to a 4°C refrigerator for storage until use.</w:t>
      </w:r>
    </w:p>
    <w:p w14:paraId="69150A5E">
      <w:pPr>
        <w:numPr>
          <w:ilvl w:val="0"/>
          <w:numId w:val="2"/>
        </w:numPr>
        <w:spacing w:line="480" w:lineRule="auto"/>
        <w:ind w:left="0" w:leftChars="0" w:firstLine="0" w:firstLineChars="0"/>
        <w:rPr>
          <w:rFonts w:hint="default" w:ascii="Times New Roman" w:hAnsi="Times New Roman" w:cs="Times New Roman"/>
        </w:rPr>
      </w:pPr>
      <w:r>
        <w:rPr>
          <w:rFonts w:hint="default" w:ascii="Times New Roman" w:hAnsi="Times New Roman" w:cs="Times New Roman"/>
          <w:b/>
          <w:bCs/>
        </w:rPr>
        <w:t>Addition of Internal Standard and Extraction Solvent (First Extraction): </w:t>
      </w:r>
      <w:r>
        <w:rPr>
          <w:rFonts w:hint="default" w:ascii="Times New Roman" w:hAnsi="Times New Roman" w:cs="Times New Roman"/>
        </w:rPr>
        <w:t>A 200 μL aliquot of serum was mixed with 20 μL of the</w:t>
      </w:r>
      <w:r>
        <w:rPr>
          <w:rFonts w:hint="default" w:ascii="Times New Roman" w:hAnsi="Times New Roman" w:cs="Times New Roman"/>
          <w:b/>
          <w:bCs/>
        </w:rPr>
        <w:t xml:space="preserve"> </w:t>
      </w:r>
      <w:r>
        <w:rPr>
          <w:rFonts w:hint="default" w:ascii="Times New Roman" w:hAnsi="Times New Roman" w:cs="Times New Roman"/>
          <w:b/>
          <w:bCs/>
          <w:lang w:val="en-US" w:eastAsia="zh-CN"/>
        </w:rPr>
        <w:t xml:space="preserve">¹³C-labeled </w:t>
      </w:r>
      <w:r>
        <w:rPr>
          <w:rFonts w:hint="default" w:ascii="Times New Roman" w:hAnsi="Times New Roman" w:cs="Times New Roman"/>
          <w:b/>
          <w:bCs/>
        </w:rPr>
        <w:t>internal standard</w:t>
      </w:r>
      <w:r>
        <w:rPr>
          <w:rFonts w:hint="default" w:ascii="Times New Roman" w:hAnsi="Times New Roman" w:cs="Times New Roman"/>
          <w:b/>
          <w:bCs/>
          <w:lang w:val="en-US" w:eastAsia="zh-CN"/>
        </w:rPr>
        <w:t xml:space="preserve"> (BPA, BPS, </w:t>
      </w:r>
      <w:r>
        <w:rPr>
          <w:rFonts w:hint="default" w:ascii="Times New Roman" w:hAnsi="Times New Roman" w:cs="Times New Roman"/>
          <w:b/>
          <w:bCs/>
        </w:rPr>
        <w:t>BPF</w:t>
      </w:r>
      <w:r>
        <w:rPr>
          <w:rFonts w:hint="default" w:ascii="Times New Roman" w:hAnsi="Times New Roman" w:cs="Times New Roman"/>
          <w:b/>
          <w:bCs/>
          <w:lang w:val="en-US" w:eastAsia="zh-CN"/>
        </w:rPr>
        <w:t>)</w:t>
      </w:r>
      <w:r>
        <w:rPr>
          <w:rFonts w:hint="default" w:ascii="Times New Roman" w:hAnsi="Times New Roman" w:cs="Times New Roman"/>
          <w:b/>
          <w:bCs/>
        </w:rPr>
        <w:t xml:space="preserve"> </w:t>
      </w:r>
      <w:r>
        <w:rPr>
          <w:rFonts w:hint="default" w:ascii="Times New Roman" w:hAnsi="Times New Roman" w:cs="Times New Roman"/>
        </w:rPr>
        <w:t>working solution. Subsequently, 600 μL of 2% ethyl acetate (solvent composition to be confirmed, e.g., in hexane or another specified solvent) was added to initiate the first liquid-liquid extraction. The mixture was then processed sequentially as follows: vortex mixing for 20-30 seconds, continuous agitation on a vortex mixer at 2500 rpm for 40 minutes, ultrasonication for 5 minutes, and centrifugation at 12,000 × g for 10 minutes.</w:t>
      </w:r>
    </w:p>
    <w:p w14:paraId="512B8B8E">
      <w:pPr>
        <w:spacing w:line="480" w:lineRule="auto"/>
        <w:rPr>
          <w:rFonts w:hint="default" w:ascii="Times New Roman" w:hAnsi="Times New Roman" w:cs="Times New Roman"/>
        </w:rPr>
      </w:pPr>
      <w:r>
        <w:rPr>
          <w:rFonts w:hint="default" w:ascii="Times New Roman" w:hAnsi="Times New Roman" w:cs="Times New Roman"/>
          <w:b/>
          <w:bCs/>
        </w:rPr>
        <w:t>(3) Second Extraction: </w:t>
      </w:r>
      <w:r>
        <w:rPr>
          <w:rFonts w:hint="default" w:ascii="Times New Roman" w:hAnsi="Times New Roman" w:cs="Times New Roman"/>
        </w:rPr>
        <w:t>A 500 μL aliquot of the supernatant from the first extraction was transferred to a new tube. An additional 600 μL of 2% ethyl acetate was added, and the second extraction was performed following the identical procedure described in step (2).</w:t>
      </w:r>
    </w:p>
    <w:p w14:paraId="6ACDE10D">
      <w:pPr>
        <w:spacing w:line="480" w:lineRule="auto"/>
        <w:rPr>
          <w:rFonts w:hint="default" w:ascii="Times New Roman" w:hAnsi="Times New Roman" w:cs="Times New Roman"/>
        </w:rPr>
      </w:pPr>
      <w:r>
        <w:rPr>
          <w:rFonts w:hint="default" w:ascii="Times New Roman" w:hAnsi="Times New Roman" w:cs="Times New Roman"/>
        </w:rPr>
        <w:t>(4) Nitrogen Evaporation and Reconstitution: The combined organic extracts were evaporated to complete dryness under a gentle stream of nitrogen at 37°C. The residue was reconstituted in 60 μL of a 50:50 (v/v) methanol/acetonitrile solution. This reconstituted solution was then vortex-mixed for 1 minute, agitated at 2500 rpm for 40 minutes, ultrasonicated for 5 minutes, and centrifuged at 12,000 × g for 10 minutes.</w:t>
      </w:r>
    </w:p>
    <w:p w14:paraId="0A52F838">
      <w:pPr>
        <w:spacing w:line="480" w:lineRule="auto"/>
        <w:rPr>
          <w:rFonts w:hint="default" w:ascii="Times New Roman" w:hAnsi="Times New Roman" w:cs="Times New Roman"/>
        </w:rPr>
      </w:pPr>
      <w:r>
        <w:rPr>
          <w:rFonts w:hint="default" w:ascii="Times New Roman" w:hAnsi="Times New Roman" w:cs="Times New Roman"/>
        </w:rPr>
        <w:t>(5) Instrumental Analysis: A 40 μL aliquot of the resulting supernatant was transferred to a glass insert vial for subsequent analysis by UHPLC-MS/MS.</w:t>
      </w:r>
    </w:p>
    <w:p w14:paraId="29F6D7C8">
      <w:pPr>
        <w:numPr>
          <w:ilvl w:val="0"/>
          <w:numId w:val="1"/>
        </w:numPr>
        <w:spacing w:line="480" w:lineRule="auto"/>
        <w:ind w:left="0" w:leftChars="0"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rPr>
        <w:t>Ion Conditions</w:t>
      </w:r>
    </w:p>
    <w:p w14:paraId="77614402">
      <w:pPr>
        <w:spacing w:line="240" w:lineRule="auto"/>
        <w:jc w:val="center"/>
        <w:rPr>
          <w:rFonts w:hint="default" w:ascii="Times New Roman" w:hAnsi="Times New Roman" w:cs="Times New Roman"/>
          <w:b/>
          <w:bCs/>
          <w:sz w:val="21"/>
          <w:szCs w:val="21"/>
        </w:rPr>
      </w:pPr>
      <w:r>
        <w:rPr>
          <w:rFonts w:hint="default" w:ascii="Times New Roman" w:hAnsi="Times New Roman" w:cs="Times New Roman"/>
          <w:b/>
          <w:bCs/>
          <w:sz w:val="21"/>
          <w:szCs w:val="21"/>
        </w:rPr>
        <w:t>Table S1.4</w:t>
      </w:r>
      <w:r>
        <w:rPr>
          <w:rFonts w:hint="default" w:ascii="Times New Roman" w:hAnsi="Times New Roman" w:cs="Times New Roman"/>
          <w:b/>
          <w:bCs/>
          <w:sz w:val="21"/>
          <w:szCs w:val="21"/>
          <w:lang w:val="en-US" w:eastAsia="zh-CN"/>
        </w:rPr>
        <w:t xml:space="preserve"> </w:t>
      </w:r>
      <w:r>
        <w:rPr>
          <w:rFonts w:hint="default" w:ascii="Times New Roman" w:hAnsi="Times New Roman" w:cs="Times New Roman"/>
          <w:b/>
          <w:bCs/>
          <w:sz w:val="21"/>
          <w:szCs w:val="21"/>
        </w:rPr>
        <w:t xml:space="preserve"> Optimized MRM parameters for </w:t>
      </w:r>
      <w:r>
        <w:rPr>
          <w:rStyle w:val="6"/>
          <w:rFonts w:hint="default" w:ascii="Times New Roman" w:hAnsi="Times New Roman" w:eastAsia="Segoe UI" w:cs="Times New Roman"/>
          <w:b/>
          <w:bCs/>
          <w:i w:val="0"/>
          <w:iCs w:val="0"/>
          <w:caps w:val="0"/>
          <w:color w:val="0F1115"/>
          <w:spacing w:val="0"/>
          <w:sz w:val="21"/>
          <w:szCs w:val="21"/>
          <w:shd w:val="clear" w:fill="FFFFFF"/>
        </w:rPr>
        <w:t>Bisphenols</w:t>
      </w:r>
      <w:r>
        <w:rPr>
          <w:rFonts w:hint="default" w:ascii="Times New Roman" w:hAnsi="Times New Roman" w:cs="Times New Roman"/>
          <w:b/>
          <w:bCs/>
          <w:sz w:val="21"/>
          <w:szCs w:val="21"/>
        </w:rPr>
        <w:t xml:space="preserve"> and the internal standard</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4417E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nil"/>
              <w:bottom w:val="single" w:color="auto" w:sz="4" w:space="0"/>
              <w:right w:val="nil"/>
            </w:tcBorders>
            <w:vAlign w:val="center"/>
          </w:tcPr>
          <w:p w14:paraId="779E3147">
            <w:pPr>
              <w:spacing w:line="480" w:lineRule="auto"/>
              <w:jc w:val="center"/>
              <w:rPr>
                <w:rFonts w:hint="default" w:ascii="Times New Roman" w:hAnsi="Times New Roman" w:cs="Times New Roman"/>
                <w:sz w:val="21"/>
                <w:szCs w:val="21"/>
                <w:vertAlign w:val="baseline"/>
              </w:rPr>
            </w:pPr>
            <w:r>
              <w:rPr>
                <w:rStyle w:val="6"/>
                <w:rFonts w:hint="default" w:ascii="Times New Roman" w:hAnsi="Times New Roman" w:eastAsia="Segoe UI" w:cs="Times New Roman"/>
                <w:b/>
                <w:bCs/>
                <w:i w:val="0"/>
                <w:iCs w:val="0"/>
                <w:caps w:val="0"/>
                <w:color w:val="0F1115"/>
                <w:spacing w:val="0"/>
                <w:sz w:val="21"/>
                <w:szCs w:val="21"/>
                <w:shd w:val="clear" w:fill="FFFFFF"/>
              </w:rPr>
              <w:t>Bisphenols</w:t>
            </w:r>
          </w:p>
        </w:tc>
        <w:tc>
          <w:tcPr>
            <w:tcW w:w="1420" w:type="dxa"/>
            <w:tcBorders>
              <w:top w:val="single" w:color="auto" w:sz="4" w:space="0"/>
              <w:left w:val="nil"/>
              <w:bottom w:val="single" w:color="auto" w:sz="4" w:space="0"/>
              <w:right w:val="nil"/>
            </w:tcBorders>
            <w:vAlign w:val="center"/>
          </w:tcPr>
          <w:p w14:paraId="22BD597B">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Precursor Ion (m/z)</w:t>
            </w:r>
          </w:p>
        </w:tc>
        <w:tc>
          <w:tcPr>
            <w:tcW w:w="1420" w:type="dxa"/>
            <w:tcBorders>
              <w:top w:val="single" w:color="auto" w:sz="4" w:space="0"/>
              <w:left w:val="nil"/>
              <w:bottom w:val="single" w:color="auto" w:sz="4" w:space="0"/>
              <w:right w:val="nil"/>
            </w:tcBorders>
            <w:vAlign w:val="center"/>
          </w:tcPr>
          <w:p w14:paraId="73254EDC">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Product Ion (m/z)</w:t>
            </w:r>
          </w:p>
        </w:tc>
        <w:tc>
          <w:tcPr>
            <w:tcW w:w="1420" w:type="dxa"/>
            <w:tcBorders>
              <w:top w:val="single" w:color="auto" w:sz="4" w:space="0"/>
              <w:left w:val="nil"/>
              <w:bottom w:val="single" w:color="auto" w:sz="4" w:space="0"/>
              <w:right w:val="nil"/>
            </w:tcBorders>
            <w:vAlign w:val="center"/>
          </w:tcPr>
          <w:p w14:paraId="27454EBC">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Declustering Potential (V)</w:t>
            </w:r>
          </w:p>
        </w:tc>
        <w:tc>
          <w:tcPr>
            <w:tcW w:w="1421" w:type="dxa"/>
            <w:tcBorders>
              <w:top w:val="single" w:color="auto" w:sz="4" w:space="0"/>
              <w:left w:val="nil"/>
              <w:bottom w:val="single" w:color="auto" w:sz="4" w:space="0"/>
              <w:right w:val="nil"/>
            </w:tcBorders>
            <w:vAlign w:val="center"/>
          </w:tcPr>
          <w:p w14:paraId="0DDE42E5">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Collision Energy (V)</w:t>
            </w:r>
          </w:p>
        </w:tc>
        <w:tc>
          <w:tcPr>
            <w:tcW w:w="1421" w:type="dxa"/>
            <w:tcBorders>
              <w:top w:val="single" w:color="auto" w:sz="4" w:space="0"/>
              <w:left w:val="nil"/>
              <w:bottom w:val="single" w:color="auto" w:sz="4" w:space="0"/>
              <w:right w:val="nil"/>
            </w:tcBorders>
            <w:vAlign w:val="center"/>
          </w:tcPr>
          <w:p w14:paraId="040594B6">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Retention Time (min)</w:t>
            </w:r>
          </w:p>
        </w:tc>
      </w:tr>
      <w:tr w14:paraId="6E1A5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nil"/>
              <w:bottom w:val="nil"/>
              <w:right w:val="nil"/>
            </w:tcBorders>
            <w:vAlign w:val="center"/>
          </w:tcPr>
          <w:p w14:paraId="14437DED">
            <w:pPr>
              <w:spacing w:line="480" w:lineRule="auto"/>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BPA</w:t>
            </w:r>
          </w:p>
        </w:tc>
        <w:tc>
          <w:tcPr>
            <w:tcW w:w="1420" w:type="dxa"/>
            <w:tcBorders>
              <w:top w:val="single" w:color="auto" w:sz="4" w:space="0"/>
              <w:left w:val="nil"/>
              <w:bottom w:val="nil"/>
              <w:right w:val="nil"/>
            </w:tcBorders>
            <w:vAlign w:val="center"/>
          </w:tcPr>
          <w:p w14:paraId="377526E3">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227.2</w:t>
            </w:r>
          </w:p>
        </w:tc>
        <w:tc>
          <w:tcPr>
            <w:tcW w:w="1420" w:type="dxa"/>
            <w:tcBorders>
              <w:top w:val="single" w:color="auto" w:sz="4" w:space="0"/>
              <w:left w:val="nil"/>
              <w:bottom w:val="nil"/>
              <w:right w:val="nil"/>
            </w:tcBorders>
            <w:vAlign w:val="center"/>
          </w:tcPr>
          <w:p w14:paraId="23F4EAD1">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212.0</w:t>
            </w:r>
          </w:p>
        </w:tc>
        <w:tc>
          <w:tcPr>
            <w:tcW w:w="1420" w:type="dxa"/>
            <w:tcBorders>
              <w:top w:val="single" w:color="auto" w:sz="4" w:space="0"/>
              <w:left w:val="nil"/>
              <w:bottom w:val="nil"/>
              <w:right w:val="nil"/>
            </w:tcBorders>
            <w:vAlign w:val="center"/>
          </w:tcPr>
          <w:p w14:paraId="59A87574">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140.0</w:t>
            </w:r>
          </w:p>
        </w:tc>
        <w:tc>
          <w:tcPr>
            <w:tcW w:w="1421" w:type="dxa"/>
            <w:tcBorders>
              <w:top w:val="single" w:color="auto" w:sz="4" w:space="0"/>
              <w:left w:val="nil"/>
              <w:bottom w:val="nil"/>
              <w:right w:val="nil"/>
            </w:tcBorders>
            <w:vAlign w:val="center"/>
          </w:tcPr>
          <w:p w14:paraId="38129202">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24.0</w:t>
            </w:r>
          </w:p>
        </w:tc>
        <w:tc>
          <w:tcPr>
            <w:tcW w:w="1421" w:type="dxa"/>
            <w:tcBorders>
              <w:top w:val="single" w:color="auto" w:sz="4" w:space="0"/>
              <w:left w:val="nil"/>
              <w:bottom w:val="nil"/>
              <w:right w:val="nil"/>
            </w:tcBorders>
            <w:vAlign w:val="center"/>
          </w:tcPr>
          <w:p w14:paraId="0EBF2E07">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3.80</w:t>
            </w:r>
          </w:p>
        </w:tc>
      </w:tr>
      <w:tr w14:paraId="5431F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vAlign w:val="center"/>
          </w:tcPr>
          <w:p w14:paraId="17D55F34">
            <w:pPr>
              <w:spacing w:line="480" w:lineRule="auto"/>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BPS</w:t>
            </w:r>
          </w:p>
        </w:tc>
        <w:tc>
          <w:tcPr>
            <w:tcW w:w="1420" w:type="dxa"/>
            <w:tcBorders>
              <w:top w:val="nil"/>
              <w:left w:val="nil"/>
              <w:bottom w:val="nil"/>
              <w:right w:val="nil"/>
            </w:tcBorders>
            <w:vAlign w:val="center"/>
          </w:tcPr>
          <w:p w14:paraId="63A78872">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249.0</w:t>
            </w:r>
          </w:p>
        </w:tc>
        <w:tc>
          <w:tcPr>
            <w:tcW w:w="1420" w:type="dxa"/>
            <w:tcBorders>
              <w:top w:val="nil"/>
              <w:left w:val="nil"/>
              <w:bottom w:val="nil"/>
              <w:right w:val="nil"/>
            </w:tcBorders>
            <w:vAlign w:val="center"/>
          </w:tcPr>
          <w:p w14:paraId="47BA34F7">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156.0</w:t>
            </w:r>
          </w:p>
        </w:tc>
        <w:tc>
          <w:tcPr>
            <w:tcW w:w="1420" w:type="dxa"/>
            <w:tcBorders>
              <w:top w:val="nil"/>
              <w:left w:val="nil"/>
              <w:bottom w:val="nil"/>
              <w:right w:val="nil"/>
            </w:tcBorders>
            <w:vAlign w:val="center"/>
          </w:tcPr>
          <w:p w14:paraId="0318E946">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170.0</w:t>
            </w:r>
          </w:p>
        </w:tc>
        <w:tc>
          <w:tcPr>
            <w:tcW w:w="1421" w:type="dxa"/>
            <w:tcBorders>
              <w:top w:val="nil"/>
              <w:left w:val="nil"/>
              <w:bottom w:val="nil"/>
              <w:right w:val="nil"/>
            </w:tcBorders>
            <w:vAlign w:val="center"/>
          </w:tcPr>
          <w:p w14:paraId="3F08F597">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30.0</w:t>
            </w:r>
          </w:p>
        </w:tc>
        <w:tc>
          <w:tcPr>
            <w:tcW w:w="1421" w:type="dxa"/>
            <w:tcBorders>
              <w:top w:val="nil"/>
              <w:left w:val="nil"/>
              <w:bottom w:val="nil"/>
              <w:right w:val="nil"/>
            </w:tcBorders>
            <w:vAlign w:val="center"/>
          </w:tcPr>
          <w:p w14:paraId="57EEADA4">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4.20</w:t>
            </w:r>
          </w:p>
        </w:tc>
      </w:tr>
      <w:tr w14:paraId="7186F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vAlign w:val="center"/>
          </w:tcPr>
          <w:p w14:paraId="16F74441">
            <w:pPr>
              <w:spacing w:line="480" w:lineRule="auto"/>
              <w:jc w:val="center"/>
              <w:rPr>
                <w:rFonts w:hint="default" w:ascii="Times New Roman" w:hAnsi="Times New Roman" w:cs="Times New Roman"/>
                <w:sz w:val="21"/>
                <w:szCs w:val="21"/>
                <w:vertAlign w:val="baseline"/>
              </w:rPr>
            </w:pPr>
            <w:bookmarkStart w:id="0" w:name="_GoBack"/>
            <w:r>
              <w:rPr>
                <w:rStyle w:val="6"/>
                <w:rFonts w:hint="default" w:ascii="Times New Roman" w:hAnsi="Times New Roman" w:eastAsia="Segoe UI" w:cs="Times New Roman"/>
                <w:b w:val="0"/>
                <w:bCs w:val="0"/>
                <w:i w:val="0"/>
                <w:iCs w:val="0"/>
                <w:caps w:val="0"/>
                <w:color w:val="0F1115"/>
                <w:spacing w:val="0"/>
                <w:sz w:val="21"/>
                <w:szCs w:val="21"/>
                <w:shd w:val="clear" w:fill="FFFFFF"/>
              </w:rPr>
              <w:t>BPF</w:t>
            </w:r>
            <w:bookmarkEnd w:id="0"/>
          </w:p>
        </w:tc>
        <w:tc>
          <w:tcPr>
            <w:tcW w:w="1420" w:type="dxa"/>
            <w:tcBorders>
              <w:top w:val="nil"/>
              <w:left w:val="nil"/>
              <w:bottom w:val="nil"/>
              <w:right w:val="nil"/>
            </w:tcBorders>
            <w:vAlign w:val="center"/>
          </w:tcPr>
          <w:p w14:paraId="0C601EE0">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199.0</w:t>
            </w:r>
          </w:p>
        </w:tc>
        <w:tc>
          <w:tcPr>
            <w:tcW w:w="1420" w:type="dxa"/>
            <w:tcBorders>
              <w:top w:val="nil"/>
              <w:left w:val="nil"/>
              <w:bottom w:val="nil"/>
              <w:right w:val="nil"/>
            </w:tcBorders>
            <w:vAlign w:val="center"/>
          </w:tcPr>
          <w:p w14:paraId="1BBCAEC9">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104.8</w:t>
            </w:r>
          </w:p>
        </w:tc>
        <w:tc>
          <w:tcPr>
            <w:tcW w:w="1420" w:type="dxa"/>
            <w:tcBorders>
              <w:top w:val="nil"/>
              <w:left w:val="nil"/>
              <w:bottom w:val="nil"/>
              <w:right w:val="nil"/>
            </w:tcBorders>
            <w:vAlign w:val="center"/>
          </w:tcPr>
          <w:p w14:paraId="4B30F768">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130.0</w:t>
            </w:r>
          </w:p>
        </w:tc>
        <w:tc>
          <w:tcPr>
            <w:tcW w:w="1421" w:type="dxa"/>
            <w:tcBorders>
              <w:top w:val="nil"/>
              <w:left w:val="nil"/>
              <w:bottom w:val="nil"/>
              <w:right w:val="nil"/>
            </w:tcBorders>
            <w:vAlign w:val="center"/>
          </w:tcPr>
          <w:p w14:paraId="5D3D0319">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28.0</w:t>
            </w:r>
          </w:p>
        </w:tc>
        <w:tc>
          <w:tcPr>
            <w:tcW w:w="1421" w:type="dxa"/>
            <w:tcBorders>
              <w:top w:val="nil"/>
              <w:left w:val="nil"/>
              <w:bottom w:val="nil"/>
              <w:right w:val="nil"/>
            </w:tcBorders>
            <w:vAlign w:val="center"/>
          </w:tcPr>
          <w:p w14:paraId="0A345297">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1"/>
                <w:szCs w:val="21"/>
                <w:shd w:val="clear" w:fill="FFFFFF"/>
              </w:rPr>
              <w:t>3.73</w:t>
            </w:r>
          </w:p>
        </w:tc>
      </w:tr>
      <w:tr w14:paraId="5C1EA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vAlign w:val="center"/>
          </w:tcPr>
          <w:p w14:paraId="16B322F9">
            <w:pPr>
              <w:spacing w:line="480" w:lineRule="auto"/>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sz w:val="21"/>
                <w:szCs w:val="21"/>
                <w:vertAlign w:val="baseline"/>
                <w:lang w:val="en-US" w:eastAsia="zh-CN"/>
              </w:rPr>
              <w:t>BPA</w:t>
            </w:r>
            <w:r>
              <w:rPr>
                <w:rFonts w:hint="eastAsia" w:ascii="Times New Roman" w:hAnsi="Times New Roman" w:cs="Times New Roman"/>
                <w:sz w:val="21"/>
                <w:szCs w:val="21"/>
                <w:vertAlign w:val="baseline"/>
                <w:lang w:val="en-US" w:eastAsia="zh-CN"/>
              </w:rPr>
              <w:t>F</w:t>
            </w:r>
          </w:p>
        </w:tc>
        <w:tc>
          <w:tcPr>
            <w:tcW w:w="1420" w:type="dxa"/>
            <w:tcBorders>
              <w:top w:val="nil"/>
              <w:left w:val="nil"/>
              <w:bottom w:val="nil"/>
              <w:right w:val="nil"/>
            </w:tcBorders>
            <w:vAlign w:val="center"/>
          </w:tcPr>
          <w:p w14:paraId="3738D138">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335.0</w:t>
            </w:r>
          </w:p>
        </w:tc>
        <w:tc>
          <w:tcPr>
            <w:tcW w:w="1420" w:type="dxa"/>
            <w:tcBorders>
              <w:top w:val="nil"/>
              <w:left w:val="nil"/>
              <w:bottom w:val="nil"/>
              <w:right w:val="nil"/>
            </w:tcBorders>
            <w:vAlign w:val="center"/>
          </w:tcPr>
          <w:p w14:paraId="3FA5DE83">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315.0</w:t>
            </w:r>
          </w:p>
        </w:tc>
        <w:tc>
          <w:tcPr>
            <w:tcW w:w="1420" w:type="dxa"/>
            <w:tcBorders>
              <w:top w:val="nil"/>
              <w:left w:val="nil"/>
              <w:bottom w:val="nil"/>
              <w:right w:val="nil"/>
            </w:tcBorders>
            <w:vAlign w:val="center"/>
          </w:tcPr>
          <w:p w14:paraId="49590987">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100.0</w:t>
            </w:r>
          </w:p>
        </w:tc>
        <w:tc>
          <w:tcPr>
            <w:tcW w:w="1421" w:type="dxa"/>
            <w:tcBorders>
              <w:top w:val="nil"/>
              <w:left w:val="nil"/>
              <w:bottom w:val="nil"/>
              <w:right w:val="nil"/>
            </w:tcBorders>
            <w:vAlign w:val="center"/>
          </w:tcPr>
          <w:p w14:paraId="13B3069E">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25.0</w:t>
            </w:r>
          </w:p>
        </w:tc>
        <w:tc>
          <w:tcPr>
            <w:tcW w:w="1421" w:type="dxa"/>
            <w:tcBorders>
              <w:top w:val="nil"/>
              <w:left w:val="nil"/>
              <w:bottom w:val="nil"/>
              <w:right w:val="nil"/>
            </w:tcBorders>
            <w:vAlign w:val="center"/>
          </w:tcPr>
          <w:p w14:paraId="3ABDE0BB">
            <w:pPr>
              <w:spacing w:line="480" w:lineRule="auto"/>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sz w:val="21"/>
                <w:szCs w:val="21"/>
                <w:vertAlign w:val="baseline"/>
                <w:lang w:val="en-US" w:eastAsia="zh-CN"/>
              </w:rPr>
              <w:t>4.25</w:t>
            </w:r>
          </w:p>
        </w:tc>
      </w:tr>
      <w:tr w14:paraId="7A59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vAlign w:val="center"/>
          </w:tcPr>
          <w:p w14:paraId="0E541D59">
            <w:pPr>
              <w:spacing w:line="480" w:lineRule="auto"/>
              <w:jc w:val="center"/>
              <w:rPr>
                <w:rFonts w:hint="default" w:ascii="Times New Roman" w:hAnsi="Times New Roman" w:cs="Times New Roman"/>
                <w:sz w:val="21"/>
                <w:szCs w:val="21"/>
                <w:vertAlign w:val="baseline"/>
                <w:lang w:val="en-US"/>
              </w:rPr>
            </w:pPr>
            <w:r>
              <w:rPr>
                <w:rFonts w:hint="default" w:ascii="Times New Roman" w:hAnsi="Times New Roman" w:cs="Times New Roman"/>
                <w:b w:val="0"/>
                <w:bCs w:val="0"/>
                <w:color w:val="auto"/>
                <w:sz w:val="21"/>
                <w:szCs w:val="21"/>
                <w:lang w:val="en-US" w:eastAsia="zh-CN"/>
              </w:rPr>
              <w:t>¹³C-labeled BPA(IS)</w:t>
            </w:r>
          </w:p>
        </w:tc>
        <w:tc>
          <w:tcPr>
            <w:tcW w:w="1420" w:type="dxa"/>
            <w:tcBorders>
              <w:top w:val="nil"/>
              <w:left w:val="nil"/>
              <w:bottom w:val="nil"/>
              <w:right w:val="nil"/>
            </w:tcBorders>
            <w:vAlign w:val="center"/>
          </w:tcPr>
          <w:p w14:paraId="2C4CA455">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2"/>
                <w:szCs w:val="22"/>
                <w:shd w:val="clear" w:fill="FFFFFF"/>
              </w:rPr>
              <w:t>241.1</w:t>
            </w:r>
          </w:p>
        </w:tc>
        <w:tc>
          <w:tcPr>
            <w:tcW w:w="1420" w:type="dxa"/>
            <w:tcBorders>
              <w:top w:val="nil"/>
              <w:left w:val="nil"/>
              <w:bottom w:val="nil"/>
              <w:right w:val="nil"/>
            </w:tcBorders>
            <w:vAlign w:val="center"/>
          </w:tcPr>
          <w:p w14:paraId="1527E8F1">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2"/>
                <w:szCs w:val="22"/>
                <w:shd w:val="clear" w:fill="FFFFFF"/>
              </w:rPr>
              <w:t>142.2</w:t>
            </w:r>
          </w:p>
        </w:tc>
        <w:tc>
          <w:tcPr>
            <w:tcW w:w="1420" w:type="dxa"/>
            <w:tcBorders>
              <w:top w:val="nil"/>
              <w:left w:val="nil"/>
              <w:bottom w:val="nil"/>
              <w:right w:val="nil"/>
            </w:tcBorders>
            <w:vAlign w:val="center"/>
          </w:tcPr>
          <w:p w14:paraId="572423FC">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2"/>
                <w:szCs w:val="22"/>
                <w:shd w:val="clear" w:fill="FFFFFF"/>
              </w:rPr>
              <w:t>146.0</w:t>
            </w:r>
          </w:p>
        </w:tc>
        <w:tc>
          <w:tcPr>
            <w:tcW w:w="1421" w:type="dxa"/>
            <w:tcBorders>
              <w:top w:val="nil"/>
              <w:left w:val="nil"/>
              <w:bottom w:val="nil"/>
              <w:right w:val="nil"/>
            </w:tcBorders>
            <w:vAlign w:val="center"/>
          </w:tcPr>
          <w:p w14:paraId="16FA5E6B">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2"/>
                <w:szCs w:val="22"/>
                <w:shd w:val="clear" w:fill="FFFFFF"/>
              </w:rPr>
              <w:t>35.0</w:t>
            </w:r>
          </w:p>
        </w:tc>
        <w:tc>
          <w:tcPr>
            <w:tcW w:w="1421" w:type="dxa"/>
            <w:tcBorders>
              <w:top w:val="nil"/>
              <w:left w:val="nil"/>
              <w:bottom w:val="nil"/>
              <w:right w:val="nil"/>
            </w:tcBorders>
            <w:vAlign w:val="center"/>
          </w:tcPr>
          <w:p w14:paraId="3274E4F4">
            <w:pPr>
              <w:spacing w:line="480" w:lineRule="auto"/>
              <w:jc w:val="center"/>
              <w:rPr>
                <w:rFonts w:hint="default" w:ascii="Times New Roman" w:hAnsi="Times New Roman" w:cs="Times New Roman"/>
                <w:sz w:val="21"/>
                <w:szCs w:val="21"/>
                <w:vertAlign w:val="baseline"/>
              </w:rPr>
            </w:pPr>
            <w:r>
              <w:rPr>
                <w:rFonts w:hint="default" w:ascii="Times New Roman" w:hAnsi="Times New Roman" w:eastAsia="Segoe UI" w:cs="Times New Roman"/>
                <w:i w:val="0"/>
                <w:iCs w:val="0"/>
                <w:caps w:val="0"/>
                <w:color w:val="0F1115"/>
                <w:spacing w:val="0"/>
                <w:sz w:val="22"/>
                <w:szCs w:val="22"/>
                <w:shd w:val="clear" w:fill="FFFFFF"/>
              </w:rPr>
              <w:t>4.01</w:t>
            </w:r>
          </w:p>
        </w:tc>
      </w:tr>
      <w:tr w14:paraId="4FC40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vAlign w:val="center"/>
          </w:tcPr>
          <w:p w14:paraId="62FE75EC">
            <w:pPr>
              <w:spacing w:line="48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¹³C-labeled BP</w:t>
            </w:r>
            <w:r>
              <w:rPr>
                <w:rFonts w:hint="eastAsia" w:ascii="Times New Roman" w:hAnsi="Times New Roman" w:cs="Times New Roman"/>
                <w:b w:val="0"/>
                <w:bCs w:val="0"/>
                <w:color w:val="auto"/>
                <w:sz w:val="21"/>
                <w:szCs w:val="21"/>
                <w:lang w:val="en-US" w:eastAsia="zh-CN"/>
              </w:rPr>
              <w:t>S</w:t>
            </w:r>
            <w:r>
              <w:rPr>
                <w:rFonts w:hint="default" w:ascii="Times New Roman" w:hAnsi="Times New Roman" w:cs="Times New Roman"/>
                <w:b w:val="0"/>
                <w:bCs w:val="0"/>
                <w:color w:val="auto"/>
                <w:sz w:val="21"/>
                <w:szCs w:val="21"/>
                <w:lang w:val="en-US" w:eastAsia="zh-CN"/>
              </w:rPr>
              <w:t>(IS)</w:t>
            </w:r>
          </w:p>
        </w:tc>
        <w:tc>
          <w:tcPr>
            <w:tcW w:w="1420" w:type="dxa"/>
            <w:tcBorders>
              <w:top w:val="nil"/>
              <w:left w:val="nil"/>
              <w:bottom w:val="nil"/>
              <w:right w:val="nil"/>
            </w:tcBorders>
            <w:vAlign w:val="center"/>
          </w:tcPr>
          <w:p w14:paraId="1C2265AA">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261.0</w:t>
            </w:r>
          </w:p>
        </w:tc>
        <w:tc>
          <w:tcPr>
            <w:tcW w:w="1420" w:type="dxa"/>
            <w:tcBorders>
              <w:top w:val="nil"/>
              <w:left w:val="nil"/>
              <w:bottom w:val="nil"/>
              <w:right w:val="nil"/>
            </w:tcBorders>
            <w:vAlign w:val="center"/>
          </w:tcPr>
          <w:p w14:paraId="4D46060B">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162.0</w:t>
            </w:r>
          </w:p>
        </w:tc>
        <w:tc>
          <w:tcPr>
            <w:tcW w:w="1420" w:type="dxa"/>
            <w:tcBorders>
              <w:top w:val="nil"/>
              <w:left w:val="nil"/>
              <w:bottom w:val="nil"/>
              <w:right w:val="nil"/>
            </w:tcBorders>
            <w:vAlign w:val="center"/>
          </w:tcPr>
          <w:p w14:paraId="1EA5DAF3">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67.0</w:t>
            </w:r>
          </w:p>
        </w:tc>
        <w:tc>
          <w:tcPr>
            <w:tcW w:w="1421" w:type="dxa"/>
            <w:tcBorders>
              <w:top w:val="nil"/>
              <w:left w:val="nil"/>
              <w:bottom w:val="nil"/>
              <w:right w:val="nil"/>
            </w:tcBorders>
            <w:vAlign w:val="center"/>
          </w:tcPr>
          <w:p w14:paraId="63A66B93">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30.0</w:t>
            </w:r>
          </w:p>
        </w:tc>
        <w:tc>
          <w:tcPr>
            <w:tcW w:w="1421" w:type="dxa"/>
            <w:tcBorders>
              <w:top w:val="nil"/>
              <w:left w:val="nil"/>
              <w:bottom w:val="nil"/>
              <w:right w:val="nil"/>
            </w:tcBorders>
            <w:vAlign w:val="center"/>
          </w:tcPr>
          <w:p w14:paraId="187541E3">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4.02</w:t>
            </w:r>
          </w:p>
        </w:tc>
      </w:tr>
      <w:tr w14:paraId="7312A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single" w:color="auto" w:sz="4" w:space="0"/>
              <w:right w:val="nil"/>
            </w:tcBorders>
            <w:vAlign w:val="center"/>
          </w:tcPr>
          <w:p w14:paraId="60540010">
            <w:pPr>
              <w:spacing w:line="48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¹³C-labeled BPAF(IS)</w:t>
            </w:r>
          </w:p>
        </w:tc>
        <w:tc>
          <w:tcPr>
            <w:tcW w:w="1420" w:type="dxa"/>
            <w:tcBorders>
              <w:top w:val="nil"/>
              <w:left w:val="nil"/>
              <w:bottom w:val="single" w:color="auto" w:sz="4" w:space="0"/>
              <w:right w:val="nil"/>
            </w:tcBorders>
            <w:vAlign w:val="center"/>
          </w:tcPr>
          <w:p w14:paraId="7C2AE0C2">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347.0</w:t>
            </w:r>
          </w:p>
        </w:tc>
        <w:tc>
          <w:tcPr>
            <w:tcW w:w="1420" w:type="dxa"/>
            <w:tcBorders>
              <w:top w:val="nil"/>
              <w:left w:val="nil"/>
              <w:bottom w:val="single" w:color="auto" w:sz="4" w:space="0"/>
              <w:right w:val="nil"/>
            </w:tcBorders>
            <w:vAlign w:val="center"/>
          </w:tcPr>
          <w:p w14:paraId="29BBBFF5">
            <w:pPr>
              <w:spacing w:line="480" w:lineRule="auto"/>
              <w:jc w:val="center"/>
              <w:rPr>
                <w:rFonts w:hint="default" w:ascii="Times New Roman" w:hAnsi="Times New Roman" w:eastAsia="Segoe UI" w:cs="Times New Roman"/>
                <w:i w:val="0"/>
                <w:iCs w:val="0"/>
                <w:caps w:val="0"/>
                <w:color w:val="0F1115"/>
                <w:spacing w:val="0"/>
                <w:sz w:val="22"/>
                <w:szCs w:val="22"/>
                <w:shd w:val="clear" w:fill="FFFFFF"/>
              </w:rPr>
            </w:pPr>
            <w:r>
              <w:rPr>
                <w:rFonts w:hint="eastAsia" w:ascii="Times New Roman" w:hAnsi="Times New Roman" w:eastAsia="宋体" w:cs="Times New Roman"/>
                <w:i w:val="0"/>
                <w:iCs w:val="0"/>
                <w:caps w:val="0"/>
                <w:color w:val="0F1115"/>
                <w:spacing w:val="0"/>
                <w:sz w:val="22"/>
                <w:szCs w:val="22"/>
                <w:shd w:val="clear" w:fill="FFFFFF"/>
                <w:lang w:val="en-US" w:eastAsia="zh-CN"/>
              </w:rPr>
              <w:t>326.9</w:t>
            </w:r>
          </w:p>
        </w:tc>
        <w:tc>
          <w:tcPr>
            <w:tcW w:w="1420" w:type="dxa"/>
            <w:tcBorders>
              <w:top w:val="nil"/>
              <w:left w:val="nil"/>
              <w:bottom w:val="single" w:color="auto" w:sz="4" w:space="0"/>
              <w:right w:val="nil"/>
            </w:tcBorders>
            <w:vAlign w:val="center"/>
          </w:tcPr>
          <w:p w14:paraId="31D2306F">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70.0</w:t>
            </w:r>
          </w:p>
        </w:tc>
        <w:tc>
          <w:tcPr>
            <w:tcW w:w="1421" w:type="dxa"/>
            <w:tcBorders>
              <w:top w:val="nil"/>
              <w:left w:val="nil"/>
              <w:bottom w:val="single" w:color="auto" w:sz="4" w:space="0"/>
              <w:right w:val="nil"/>
            </w:tcBorders>
            <w:vAlign w:val="center"/>
          </w:tcPr>
          <w:p w14:paraId="063F0019">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27.0</w:t>
            </w:r>
          </w:p>
        </w:tc>
        <w:tc>
          <w:tcPr>
            <w:tcW w:w="1421" w:type="dxa"/>
            <w:tcBorders>
              <w:top w:val="nil"/>
              <w:left w:val="nil"/>
              <w:bottom w:val="single" w:color="auto" w:sz="4" w:space="0"/>
              <w:right w:val="nil"/>
            </w:tcBorders>
            <w:vAlign w:val="center"/>
          </w:tcPr>
          <w:p w14:paraId="08D0127D">
            <w:pPr>
              <w:spacing w:line="480" w:lineRule="auto"/>
              <w:jc w:val="center"/>
              <w:rPr>
                <w:rFonts w:hint="default"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4.50</w:t>
            </w:r>
          </w:p>
        </w:tc>
      </w:tr>
    </w:tbl>
    <w:p w14:paraId="735BC263">
      <w:pPr>
        <w:spacing w:line="480" w:lineRule="auto"/>
        <w:rPr>
          <w:rStyle w:val="7"/>
          <w:rFonts w:hint="default" w:ascii="Times New Roman" w:hAnsi="Times New Roman" w:eastAsia="Segoe UI" w:cs="Times New Roman"/>
          <w:caps w:val="0"/>
          <w:color w:val="0F1115"/>
          <w:spacing w:val="0"/>
          <w:sz w:val="22"/>
          <w:szCs w:val="22"/>
          <w:shd w:val="clear" w:fill="FFFFFF"/>
        </w:rPr>
      </w:pPr>
      <w:r>
        <w:rPr>
          <w:rStyle w:val="7"/>
          <w:rFonts w:hint="default" w:ascii="Times New Roman" w:hAnsi="Times New Roman" w:eastAsia="Segoe UI" w:cs="Times New Roman"/>
          <w:caps w:val="0"/>
          <w:color w:val="0F1115"/>
          <w:spacing w:val="0"/>
          <w:sz w:val="22"/>
          <w:szCs w:val="22"/>
          <w:shd w:val="clear" w:fill="FFFFFF"/>
        </w:rPr>
        <w:t>IS: internal standard.</w:t>
      </w:r>
    </w:p>
    <w:p w14:paraId="4FF77FCC">
      <w:pPr>
        <w:numPr>
          <w:ilvl w:val="0"/>
          <w:numId w:val="0"/>
        </w:numPr>
        <w:spacing w:line="480" w:lineRule="auto"/>
        <w:ind w:leftChars="0"/>
        <w:rPr>
          <w:rFonts w:hint="default" w:ascii="Times New Roman" w:hAnsi="Times New Roman" w:cs="Times New Roman"/>
          <w:b/>
          <w:bCs/>
          <w:sz w:val="21"/>
          <w:szCs w:val="21"/>
        </w:rPr>
      </w:pPr>
    </w:p>
    <w:p w14:paraId="1C994C36">
      <w:pPr>
        <w:numPr>
          <w:ilvl w:val="0"/>
          <w:numId w:val="1"/>
        </w:numPr>
        <w:spacing w:line="480" w:lineRule="auto"/>
        <w:ind w:left="0" w:leftChars="0"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rPr>
        <w:t>Quality Control</w:t>
      </w:r>
    </w:p>
    <w:p w14:paraId="16304204">
      <w:pPr>
        <w:spacing w:line="480" w:lineRule="auto"/>
        <w:rPr>
          <w:rFonts w:hint="default" w:ascii="Times New Roman" w:hAnsi="Times New Roman" w:cs="Times New Roman"/>
        </w:rPr>
      </w:pPr>
      <w:r>
        <w:rPr>
          <w:rFonts w:hint="default" w:ascii="Times New Roman" w:hAnsi="Times New Roman" w:cs="Times New Roman"/>
          <w:b/>
          <w:bCs/>
        </w:rPr>
        <w:t>(1) Procedural Blanks:</w:t>
      </w:r>
      <w:r>
        <w:rPr>
          <w:rFonts w:hint="default" w:ascii="Times New Roman" w:hAnsi="Times New Roman" w:cs="Times New Roman"/>
        </w:rPr>
        <w:t> Reagent blanks were analyzed at the beginning of each sequence to assess potential instrumental carryover or background contamination. The response from these blanks served as the background value for subsequent quantification.</w:t>
      </w:r>
    </w:p>
    <w:p w14:paraId="768A49C0">
      <w:pPr>
        <w:spacing w:line="480" w:lineRule="auto"/>
        <w:rPr>
          <w:rFonts w:hint="default" w:ascii="Times New Roman" w:hAnsi="Times New Roman" w:cs="Times New Roman"/>
        </w:rPr>
      </w:pPr>
      <w:r>
        <w:rPr>
          <w:rFonts w:hint="default" w:ascii="Times New Roman" w:hAnsi="Times New Roman" w:cs="Times New Roman"/>
          <w:b/>
          <w:bCs/>
        </w:rPr>
        <w:t>(2) In-Run Quality Control:</w:t>
      </w:r>
      <w:r>
        <w:rPr>
          <w:rFonts w:hint="default" w:ascii="Times New Roman" w:hAnsi="Times New Roman" w:cs="Times New Roman"/>
        </w:rPr>
        <w:t> For each analytical batch (comprising up to 15 samples), one procedural blank and one matrix-spiked quality control (QC) sample were incorporated. The procedural blank was used to monitor contamination from solvents or the sample preparation process, while the matrix-spiked QC sample was used to verify the stability and performance of the instrument throughout the run.</w:t>
      </w:r>
    </w:p>
    <w:p w14:paraId="3A6642FD">
      <w:pPr>
        <w:spacing w:line="480" w:lineRule="auto"/>
        <w:rPr>
          <w:rFonts w:hint="default" w:ascii="Times New Roman" w:hAnsi="Times New Roman" w:cs="Times New Roman"/>
        </w:rPr>
      </w:pPr>
      <w:r>
        <w:rPr>
          <w:rFonts w:hint="default" w:ascii="Times New Roman" w:hAnsi="Times New Roman" w:cs="Times New Roman"/>
          <w:b/>
          <w:bCs/>
        </w:rPr>
        <w:t>(3) Recovery and Precision (Accuracy and Precision):</w:t>
      </w:r>
      <w:r>
        <w:rPr>
          <w:rFonts w:hint="default" w:ascii="Times New Roman" w:hAnsi="Times New Roman" w:cs="Times New Roman"/>
        </w:rPr>
        <w:t xml:space="preserve"> Method accuracy was determined by recovery experiments. Blank fetal bovine serum was spiked with </w:t>
      </w:r>
      <w:r>
        <w:rPr>
          <w:rStyle w:val="6"/>
          <w:rFonts w:hint="default" w:ascii="Times New Roman" w:hAnsi="Times New Roman" w:eastAsia="宋体" w:cs="Times New Roman"/>
          <w:b/>
          <w:bCs/>
          <w:i w:val="0"/>
          <w:iCs w:val="0"/>
          <w:caps w:val="0"/>
          <w:color w:val="0F1115"/>
          <w:spacing w:val="0"/>
          <w:sz w:val="21"/>
          <w:szCs w:val="21"/>
          <w:shd w:val="clear" w:fill="FFFFFF"/>
          <w:lang w:val="en-US" w:eastAsia="zh-CN"/>
        </w:rPr>
        <w:t>b</w:t>
      </w:r>
      <w:r>
        <w:rPr>
          <w:rStyle w:val="6"/>
          <w:rFonts w:hint="default" w:ascii="Times New Roman" w:hAnsi="Times New Roman" w:eastAsia="Segoe UI" w:cs="Times New Roman"/>
          <w:b/>
          <w:bCs/>
          <w:i w:val="0"/>
          <w:iCs w:val="0"/>
          <w:caps w:val="0"/>
          <w:color w:val="0F1115"/>
          <w:spacing w:val="0"/>
          <w:sz w:val="21"/>
          <w:szCs w:val="21"/>
          <w:shd w:val="clear" w:fill="FFFFFF"/>
        </w:rPr>
        <w:t>isphenols</w:t>
      </w:r>
      <w:r>
        <w:rPr>
          <w:rStyle w:val="6"/>
          <w:rFonts w:hint="default" w:ascii="Times New Roman" w:hAnsi="Times New Roman" w:eastAsia="宋体" w:cs="Times New Roman"/>
          <w:b/>
          <w:bCs/>
          <w:i w:val="0"/>
          <w:iCs w:val="0"/>
          <w:caps w:val="0"/>
          <w:color w:val="0F1115"/>
          <w:spacing w:val="0"/>
          <w:sz w:val="21"/>
          <w:szCs w:val="21"/>
          <w:shd w:val="clear" w:fill="FFFFFF"/>
          <w:lang w:val="en-US" w:eastAsia="zh-CN"/>
        </w:rPr>
        <w:t xml:space="preserve"> (for example BPF)</w:t>
      </w:r>
      <w:r>
        <w:rPr>
          <w:rFonts w:hint="default" w:ascii="Times New Roman" w:hAnsi="Times New Roman" w:cs="Times New Roman"/>
        </w:rPr>
        <w:t xml:space="preserve"> at two concentration levels: a low level of 200 pg/mL and a high level of 1000 pg/mL (n=6 replicates per level). The mean recoveries were 91.89% and 100.23%, respectively.</w:t>
      </w:r>
      <w:r>
        <w:rPr>
          <w:rFonts w:hint="default" w:ascii="Times New Roman" w:hAnsi="Times New Roman" w:cs="Times New Roman"/>
          <w:lang w:val="en-US" w:eastAsia="zh-CN"/>
        </w:rPr>
        <w:t xml:space="preserve"> </w:t>
      </w:r>
      <w:r>
        <w:rPr>
          <w:rFonts w:hint="default" w:ascii="Times New Roman" w:hAnsi="Times New Roman" w:cs="Times New Roman"/>
        </w:rPr>
        <w:br w:type="textWrapping"/>
      </w:r>
      <w:r>
        <w:rPr>
          <w:rFonts w:hint="default" w:ascii="Times New Roman" w:hAnsi="Times New Roman" w:cs="Times New Roman"/>
          <w:lang w:val="en-US" w:eastAsia="zh-CN"/>
        </w:rPr>
        <w:t xml:space="preserve">    </w:t>
      </w:r>
      <w:r>
        <w:rPr>
          <w:rFonts w:hint="default" w:ascii="Times New Roman" w:hAnsi="Times New Roman" w:cs="Times New Roman"/>
        </w:rPr>
        <w:t>Method precision was evaluated by analyzing the 200 pg/mL QC sample over three consecutive days (6 replicates per day). Precision was expressed as the relative standard deviation (RSD). The intra-day (within-day) RSD was 3.85%, and the inter-day (between-day) RSD was 7.57%.</w:t>
      </w:r>
    </w:p>
    <w:p w14:paraId="39DB0322">
      <w:pPr>
        <w:spacing w:line="480" w:lineRule="auto"/>
        <w:rPr>
          <w:rFonts w:hint="default" w:ascii="Times New Roman" w:hAnsi="Times New Roman" w:cs="Times New Roman"/>
        </w:rPr>
      </w:pPr>
      <w:r>
        <w:rPr>
          <w:rFonts w:hint="default" w:ascii="Times New Roman" w:hAnsi="Times New Roman" w:cs="Times New Roman"/>
          <w:b/>
          <w:bCs/>
        </w:rPr>
        <w:t>(4) Matrix Effect:</w:t>
      </w:r>
      <w:r>
        <w:rPr>
          <w:rFonts w:hint="default" w:ascii="Times New Roman" w:hAnsi="Times New Roman" w:cs="Times New Roman"/>
        </w:rPr>
        <w:t> The matrix effect was assessed by comparing the analyte response in post-extraction spiked serum (matrix-matched) to the response in pure solvent (neat standard solution) at the same concentrations (200 pg/mL and 1000 pg/mL; n=6 each). The matrix effect, calculated as (response in matrix / response in solvent) × 100%, was 94.77% and 100.29% at the low and high concentration levels, respectively.</w:t>
      </w:r>
    </w:p>
    <w:p w14:paraId="1E3B1E89">
      <w:pPr>
        <w:spacing w:line="480" w:lineRule="auto"/>
        <w:rPr>
          <w:rFonts w:hint="default" w:ascii="Times New Roman" w:hAnsi="Times New Roman" w:cs="Times New Roman"/>
        </w:rPr>
      </w:pPr>
      <w:r>
        <w:rPr>
          <w:rFonts w:hint="default" w:ascii="Times New Roman" w:hAnsi="Times New Roman" w:cs="Times New Roman"/>
          <w:b/>
          <w:bCs/>
        </w:rPr>
        <w:t>(5) Calibration:</w:t>
      </w:r>
      <w:r>
        <w:rPr>
          <w:rFonts w:hint="default" w:ascii="Times New Roman" w:hAnsi="Times New Roman" w:cs="Times New Roman"/>
        </w:rPr>
        <w:t xml:space="preserve"> A matrix-matched calibration curve was constructed using blank fetal bovine serum spiked with known concentrations of </w:t>
      </w:r>
      <w:r>
        <w:rPr>
          <w:rStyle w:val="6"/>
          <w:rFonts w:hint="default" w:ascii="Times New Roman" w:hAnsi="Times New Roman" w:eastAsia="Segoe UI" w:cs="Times New Roman"/>
          <w:b/>
          <w:bCs/>
          <w:i w:val="0"/>
          <w:iCs w:val="0"/>
          <w:caps w:val="0"/>
          <w:color w:val="0F1115"/>
          <w:spacing w:val="0"/>
          <w:sz w:val="21"/>
          <w:szCs w:val="21"/>
          <w:shd w:val="clear" w:fill="FFFFFF"/>
        </w:rPr>
        <w:t>Bisphenols</w:t>
      </w:r>
      <w:r>
        <w:rPr>
          <w:rFonts w:hint="default" w:ascii="Times New Roman" w:hAnsi="Times New Roman" w:cs="Times New Roman"/>
          <w:color w:val="0B5FD1"/>
        </w:rPr>
        <w:t>.</w:t>
      </w:r>
      <w:r>
        <w:rPr>
          <w:rFonts w:hint="default" w:ascii="Times New Roman" w:hAnsi="Times New Roman" w:cs="Times New Roman"/>
        </w:rPr>
        <w:t xml:space="preserve"> The calibration standards were processed identically to the study samples to account for procedural variations. The calibration curve exhibited excellent linearity across the working range. </w:t>
      </w:r>
    </w:p>
    <w:p w14:paraId="5E58BCAE">
      <w:pPr>
        <w:spacing w:line="480" w:lineRule="auto"/>
        <w:rPr>
          <w:rFonts w:hint="default" w:ascii="Times New Roman" w:hAnsi="Times New Roman" w:cs="Times New Roman"/>
        </w:rPr>
      </w:pPr>
    </w:p>
    <w:p w14:paraId="1FB58F05">
      <w:pPr>
        <w:spacing w:line="480" w:lineRule="auto"/>
        <w:rPr>
          <w:rFonts w:hint="default" w:ascii="Times New Roman" w:hAnsi="Times New Roman" w:cs="Times New Roman"/>
          <w:lang w:val="en-US" w:eastAsia="zh-CN"/>
        </w:rPr>
      </w:pPr>
      <w:r>
        <w:rPr>
          <w:rFonts w:hint="default" w:ascii="Times New Roman" w:hAnsi="Times New Roman" w:cs="Times New Roman"/>
          <w:lang w:val="en-US" w:eastAsia="zh-CN"/>
        </w:rPr>
        <w:t>Reference:</w:t>
      </w:r>
    </w:p>
    <w:p w14:paraId="5E1CDF0A">
      <w:pPr>
        <w:numPr>
          <w:ilvl w:val="0"/>
          <w:numId w:val="3"/>
        </w:numPr>
        <w:spacing w:line="480" w:lineRule="auto"/>
        <w:ind w:left="425" w:leftChars="0" w:hanging="425" w:firstLineChars="0"/>
        <w:rPr>
          <w:rFonts w:hint="default" w:ascii="Times New Roman" w:hAnsi="Times New Roman" w:cs="Times New Roman"/>
          <w:lang w:val="en-US" w:eastAsia="zh-CN"/>
        </w:rPr>
      </w:pPr>
      <w:r>
        <w:rPr>
          <w:rFonts w:hint="default" w:ascii="Times New Roman" w:hAnsi="Times New Roman" w:cs="Times New Roman"/>
          <w:lang w:val="en-US" w:eastAsia="zh-CN"/>
        </w:rPr>
        <w:t>Li YL, Mao HY, Yan LM, Liu ZY, Sun S, Jiang TT, Xu LY, Zhang XY, Liu BL, Zhu M, Xie JA, Hao JH, Zhang C. Association between prenatal exposure to bisphenols and preterm birth: the interaction effect of anemia. Environ Int. 2025 Aug 11;203:109724. pii: S0160-4120(25)00475-1. doi: 10.1016/j.envint.2025.109724. PubMed PMID: 40829515.</w:t>
      </w:r>
    </w:p>
    <w:p w14:paraId="72ACCDE7">
      <w:pPr>
        <w:numPr>
          <w:ilvl w:val="0"/>
          <w:numId w:val="3"/>
        </w:numPr>
        <w:spacing w:line="480" w:lineRule="auto"/>
        <w:ind w:left="425" w:leftChars="0" w:hanging="425" w:firstLineChars="0"/>
        <w:rPr>
          <w:rFonts w:hint="default" w:ascii="Times New Roman" w:hAnsi="Times New Roman" w:cs="Times New Roman"/>
          <w:lang w:val="en-US" w:eastAsia="zh-CN"/>
        </w:rPr>
      </w:pPr>
      <w:r>
        <w:rPr>
          <w:rFonts w:hint="default" w:ascii="Times New Roman" w:hAnsi="Times New Roman" w:cs="Times New Roman"/>
          <w:lang w:val="en-US" w:eastAsia="zh-CN"/>
        </w:rPr>
        <w:t>Li Y, Yuan M, Zhang C, Zhang X, Hao J, Tao F, Wang G, Su P. Bisphenol AF exposure synergistically increases the risk for suicidality among early adolescents with child maltreatment: A prospective cohort study. Ecotoxicol Environ Saf. 2024 May 28;279:116511. pii: S0147-6513(24)00587-6. doi: 10.1016/j.ecoenv.2024.116511. PubMed PMID: 38810289.</w:t>
      </w:r>
    </w:p>
    <w:p w14:paraId="339553A4">
      <w:pPr>
        <w:numPr>
          <w:ilvl w:val="0"/>
          <w:numId w:val="3"/>
        </w:numPr>
        <w:spacing w:line="480" w:lineRule="auto"/>
        <w:ind w:left="425" w:leftChars="0" w:hanging="425" w:firstLineChars="0"/>
        <w:rPr>
          <w:rFonts w:hint="default" w:ascii="Times New Roman" w:hAnsi="Times New Roman" w:cs="Times New Roman"/>
          <w:lang w:val="en-US" w:eastAsia="zh-CN"/>
        </w:rPr>
      </w:pPr>
      <w:r>
        <w:rPr>
          <w:rFonts w:hint="default" w:ascii="Times New Roman" w:hAnsi="Times New Roman" w:cs="Times New Roman"/>
          <w:lang w:val="en-US" w:eastAsia="zh-CN"/>
        </w:rPr>
        <w:t>Dou L, Sun S, Chen L, Lv L, Chen C, Huang Z, Zhang A, He H, Tao H, Yu M, Zhu M, Zhang C, Hao J. The association between prenatal bisphenol F exposure and infant neurodevelopment: The mediating role of placental estradiol. Ecotoxicol Environ Saf. 2024 Jan 25;271:116009. pii: S0147-6513(24)00084-8. doi: 10.1016/j.ecoenv.2024.116009. PubMed PMID: 38277971.</w:t>
      </w:r>
    </w:p>
    <w:p w14:paraId="0C85AA52">
      <w:pPr>
        <w:numPr>
          <w:ilvl w:val="0"/>
          <w:numId w:val="3"/>
        </w:numPr>
        <w:spacing w:line="480" w:lineRule="auto"/>
        <w:ind w:left="425" w:leftChars="0" w:hanging="425" w:firstLineChars="0"/>
        <w:rPr>
          <w:rFonts w:hint="default" w:ascii="Times New Roman" w:hAnsi="Times New Roman" w:cs="Times New Roman"/>
          <w:lang w:val="en-US" w:eastAsia="zh-CN"/>
        </w:rPr>
      </w:pPr>
      <w:r>
        <w:rPr>
          <w:rFonts w:hint="default" w:ascii="Times New Roman" w:hAnsi="Times New Roman" w:cs="Times New Roman"/>
          <w:lang w:val="en-US" w:eastAsia="zh-CN"/>
        </w:rPr>
        <w:t>Zhang C, Zhou L, Wu XC, Guan TY, Zou XM, Chen C, Yuan MY, Li YH, Wang S, Tao FB, Hao JH, Su PY. Association of serum bisphenol AF concentration with depressive symptoms in adolescents: A nested case-control study in China. Ecotoxicol Environ Saf. 2022 Aug;241:113734. pii: S0147-6513(22)00574-7. doi: 10.1016/j.ecoenv.2022.113734. PubMed PMID: 35679728.</w:t>
      </w:r>
    </w:p>
    <w:p w14:paraId="4C56D04D">
      <w:pPr>
        <w:numPr>
          <w:ilvl w:val="0"/>
          <w:numId w:val="3"/>
        </w:numPr>
        <w:spacing w:line="480" w:lineRule="auto"/>
        <w:ind w:left="425" w:leftChars="0" w:hanging="425" w:firstLineChars="0"/>
        <w:rPr>
          <w:rFonts w:hint="default" w:ascii="Times New Roman" w:hAnsi="Times New Roman" w:cs="Times New Roman"/>
          <w:lang w:val="en-US" w:eastAsia="zh-CN"/>
        </w:rPr>
      </w:pPr>
      <w:r>
        <w:rPr>
          <w:rFonts w:hint="default" w:ascii="Times New Roman" w:hAnsi="Times New Roman" w:cs="Times New Roman"/>
          <w:lang w:val="en-US" w:eastAsia="zh-CN"/>
        </w:rPr>
        <w:t>Huang Z, Fu W, Dou L, Bao H, Wu W, Su P, Huang K, Zhu P, Sheng J, Xu Y, Tao F, Hao J. Prenatal Bisphenol A Exposure and Early Childhood Behavior and Cognitive Function: A Chinese Birth Cohort Study. Neuroendocrinology. 2022;112(4):311-323. pii: 000516881. doi: 10.1159/000516881. PubMed PMID: 33910209.</w:t>
      </w:r>
    </w:p>
    <w:p w14:paraId="248ECEC7">
      <w:pPr>
        <w:spacing w:line="480" w:lineRule="auto"/>
        <w:rPr>
          <w:rFonts w:hint="default" w:ascii="Times New Roman" w:hAnsi="Times New Roman" w:cs="Times New Roman" w:eastAsiaTheme="minorEastAsia"/>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6ABE2A"/>
    <w:multiLevelType w:val="singleLevel"/>
    <w:tmpl w:val="B16ABE2A"/>
    <w:lvl w:ilvl="0" w:tentative="0">
      <w:start w:val="1"/>
      <w:numFmt w:val="decimal"/>
      <w:lvlText w:val="%1."/>
      <w:lvlJc w:val="left"/>
      <w:pPr>
        <w:ind w:left="425" w:hanging="425"/>
      </w:pPr>
      <w:rPr>
        <w:rFonts w:hint="default"/>
      </w:rPr>
    </w:lvl>
  </w:abstractNum>
  <w:abstractNum w:abstractNumId="1">
    <w:nsid w:val="FC466B4E"/>
    <w:multiLevelType w:val="singleLevel"/>
    <w:tmpl w:val="FC466B4E"/>
    <w:lvl w:ilvl="0" w:tentative="0">
      <w:start w:val="3"/>
      <w:numFmt w:val="decimal"/>
      <w:suff w:val="space"/>
      <w:lvlText w:val="%1."/>
      <w:lvlJc w:val="left"/>
    </w:lvl>
  </w:abstractNum>
  <w:abstractNum w:abstractNumId="2">
    <w:nsid w:val="1DB037AD"/>
    <w:multiLevelType w:val="singleLevel"/>
    <w:tmpl w:val="1DB037AD"/>
    <w:lvl w:ilvl="0" w:tentative="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4ZDk4ZDRmNGJjMGQxN2Y1MTYxNjM1NTA0YjBkMWEifQ=="/>
  </w:docVars>
  <w:rsids>
    <w:rsidRoot w:val="00000000"/>
    <w:rsid w:val="023E5816"/>
    <w:rsid w:val="262C64F5"/>
    <w:rsid w:val="3C62138D"/>
    <w:rsid w:val="413E313D"/>
    <w:rsid w:val="702A149E"/>
    <w:rsid w:val="7DFF5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qFormat/>
    <w:uiPriority w:val="0"/>
    <w:rPr>
      <w:b/>
    </w:rPr>
  </w:style>
  <w:style w:type="character" w:styleId="7">
    <w:name w:val="Emphasis"/>
    <w:basedOn w:val="5"/>
    <w:qFormat/>
    <w:uiPriority w:val="0"/>
    <w:rPr>
      <w:i/>
    </w:rPr>
  </w:style>
  <w:style w:type="character" w:styleId="8">
    <w:name w:val="HTML Code"/>
    <w:basedOn w:val="5"/>
    <w:qFormat/>
    <w:uiPriority w:val="0"/>
    <w:rPr>
      <w:rFonts w:ascii="Courier New" w:hAnsi="Courier New"/>
      <w:sz w:val="20"/>
    </w:rPr>
  </w:style>
  <w:style w:type="character" w:customStyle="1" w:styleId="9">
    <w:name w:val="font11"/>
    <w:basedOn w:val="5"/>
    <w:uiPriority w:val="0"/>
    <w:rPr>
      <w:rFonts w:ascii="宋体" w:hAnsi="宋体" w:eastAsia="宋体" w:cs="宋体"/>
      <w:b/>
      <w:bCs/>
      <w:color w:val="203060"/>
      <w:sz w:val="14"/>
      <w:szCs w:val="14"/>
      <w:u w:val="none"/>
    </w:rPr>
  </w:style>
  <w:style w:type="character" w:customStyle="1" w:styleId="10">
    <w:name w:val="font61"/>
    <w:basedOn w:val="5"/>
    <w:uiPriority w:val="0"/>
    <w:rPr>
      <w:rFonts w:ascii="宋体" w:hAnsi="宋体" w:eastAsia="宋体" w:cs="宋体"/>
      <w:color w:val="203060"/>
      <w:sz w:val="14"/>
      <w:szCs w:val="14"/>
      <w:u w:val="none"/>
    </w:rPr>
  </w:style>
  <w:style w:type="character" w:customStyle="1" w:styleId="11">
    <w:name w:val="font71"/>
    <w:basedOn w:val="5"/>
    <w:uiPriority w:val="0"/>
    <w:rPr>
      <w:rFonts w:ascii="宋体" w:hAnsi="宋体" w:eastAsia="宋体" w:cs="宋体"/>
      <w:b/>
      <w:bCs/>
      <w:color w:val="000000"/>
      <w:sz w:val="14"/>
      <w:szCs w:val="14"/>
      <w:u w:val="none"/>
    </w:rPr>
  </w:style>
  <w:style w:type="character" w:customStyle="1" w:styleId="12">
    <w:name w:val="font31"/>
    <w:basedOn w:val="5"/>
    <w:uiPriority w:val="0"/>
    <w:rPr>
      <w:rFonts w:ascii="宋体" w:hAnsi="宋体" w:eastAsia="宋体" w:cs="宋体"/>
      <w:b/>
      <w:bCs/>
      <w:color w:val="404040"/>
      <w:sz w:val="14"/>
      <w:szCs w:val="14"/>
      <w:u w:val="none"/>
    </w:rPr>
  </w:style>
  <w:style w:type="character" w:customStyle="1" w:styleId="13">
    <w:name w:val="font81"/>
    <w:basedOn w:val="5"/>
    <w:uiPriority w:val="0"/>
    <w:rPr>
      <w:rFonts w:ascii="宋体" w:hAnsi="宋体" w:eastAsia="宋体" w:cs="宋体"/>
      <w:color w:val="000000"/>
      <w:sz w:val="14"/>
      <w:szCs w:val="14"/>
      <w:u w:val="none"/>
    </w:rPr>
  </w:style>
  <w:style w:type="character" w:customStyle="1" w:styleId="14">
    <w:name w:val="font51"/>
    <w:basedOn w:val="5"/>
    <w:uiPriority w:val="0"/>
    <w:rPr>
      <w:rFonts w:ascii="宋体" w:hAnsi="宋体" w:eastAsia="宋体" w:cs="宋体"/>
      <w:color w:val="404040"/>
      <w:sz w:val="14"/>
      <w:szCs w:val="1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1135</Words>
  <Characters>6708</Characters>
  <Lines>0</Lines>
  <Paragraphs>0</Paragraphs>
  <TotalTime>3</TotalTime>
  <ScaleCrop>false</ScaleCrop>
  <LinksUpToDate>false</LinksUpToDate>
  <CharactersWithSpaces>7691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2026-02-08T14:03:00Z</dcterms:created>
  <dc:creator>xxk</dc:creator>
  <cp:lastModifiedBy>Administrator</cp:lastModifiedBy>
  <dcterms:modified xsi:type="dcterms:W3CDTF">2026-02-10T03:59:12Z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5F046F104F634D35A7A680F9F10AA0C3_12</vt:lpwstr>
  </property>
  <property fmtid="{D5CDD505-2E9C-101B-9397-08002B2CF9AE}" pid="4" name="KSOTemplateDocerSaveRecord">
    <vt:lpwstr>eyJoZGlkIjoiM2ExZjVjNzRmM2ViYTViMWE5NGExZjAwN2M1MWI2MTAiLCJ1c2VySWQiOiI0NjI4NzYyMjAifQ==</vt:lpwstr>
  </property>
</Properties>
</file>