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17C1A" w14:textId="132EE97B" w:rsidR="007E3433" w:rsidRPr="006F56E9" w:rsidRDefault="007E3433" w:rsidP="007E3433">
      <w:pPr>
        <w:tabs>
          <w:tab w:val="left" w:pos="426"/>
        </w:tabs>
        <w:ind w:firstLineChars="0" w:firstLine="0"/>
        <w:jc w:val="both"/>
        <w:rPr>
          <w:rFonts w:cs="Times New Roman"/>
          <w:sz w:val="28"/>
          <w:szCs w:val="28"/>
        </w:rPr>
      </w:pPr>
      <w:r w:rsidRPr="006F56E9">
        <w:rPr>
          <w:rFonts w:cs="Times New Roman"/>
          <w:sz w:val="28"/>
          <w:szCs w:val="28"/>
        </w:rPr>
        <w:t xml:space="preserve">Supporting Information </w:t>
      </w:r>
    </w:p>
    <w:p w14:paraId="61833D8D" w14:textId="77777777" w:rsidR="006D4509" w:rsidRDefault="007E3433" w:rsidP="007E3433">
      <w:pPr>
        <w:widowControl/>
        <w:spacing w:beforeLines="100" w:before="326" w:afterLines="100" w:after="326" w:line="480" w:lineRule="auto"/>
        <w:ind w:firstLineChars="0" w:firstLine="0"/>
        <w:jc w:val="both"/>
        <w:rPr>
          <w:rFonts w:cs="Times New Roman"/>
          <w:b/>
          <w:bCs/>
          <w:color w:val="000000" w:themeColor="text1"/>
          <w:kern w:val="0"/>
          <w:sz w:val="32"/>
          <w:szCs w:val="32"/>
        </w:rPr>
      </w:pPr>
      <w:bookmarkStart w:id="0" w:name="_Hlk203226049"/>
      <w:r w:rsidRPr="00091BFB">
        <w:rPr>
          <w:rFonts w:cs="Times New Roman"/>
          <w:b/>
          <w:bCs/>
          <w:color w:val="000000" w:themeColor="text1"/>
          <w:kern w:val="0"/>
          <w:sz w:val="32"/>
          <w:szCs w:val="32"/>
        </w:rPr>
        <w:t xml:space="preserve">A radiation-resistant </w:t>
      </w:r>
      <w:proofErr w:type="spellStart"/>
      <w:r w:rsidRPr="00091BFB">
        <w:rPr>
          <w:rFonts w:cs="Times New Roman"/>
          <w:b/>
          <w:bCs/>
          <w:color w:val="000000" w:themeColor="text1"/>
          <w:kern w:val="0"/>
          <w:sz w:val="32"/>
          <w:szCs w:val="32"/>
        </w:rPr>
        <w:t>supermacroporous</w:t>
      </w:r>
      <w:proofErr w:type="spellEnd"/>
      <w:r w:rsidRPr="00091BFB">
        <w:rPr>
          <w:rFonts w:cs="Times New Roman"/>
          <w:b/>
          <w:bCs/>
          <w:color w:val="000000" w:themeColor="text1"/>
          <w:kern w:val="0"/>
          <w:sz w:val="32"/>
          <w:szCs w:val="32"/>
        </w:rPr>
        <w:t xml:space="preserve"> aerogels for ultrafast and high-capacity gaseous iodine capture</w:t>
      </w:r>
      <w:bookmarkEnd w:id="0"/>
    </w:p>
    <w:p w14:paraId="5F572366" w14:textId="77777777" w:rsidR="006D4509" w:rsidRPr="006D4509" w:rsidRDefault="006D4509" w:rsidP="006D4509">
      <w:pPr>
        <w:spacing w:afterLines="100" w:after="326"/>
        <w:ind w:firstLineChars="0" w:firstLine="0"/>
        <w:jc w:val="both"/>
        <w:rPr>
          <w:rFonts w:cs="Times New Roman"/>
          <w:szCs w:val="24"/>
        </w:rPr>
      </w:pPr>
      <w:r w:rsidRPr="006D4509">
        <w:rPr>
          <w:rFonts w:cs="Times New Roman"/>
          <w:szCs w:val="24"/>
        </w:rPr>
        <w:t>Meng Ji</w:t>
      </w:r>
      <w:r w:rsidRPr="006D4509">
        <w:rPr>
          <w:rFonts w:cs="Times New Roman"/>
          <w:szCs w:val="24"/>
          <w:vertAlign w:val="superscript"/>
        </w:rPr>
        <w:t>1</w:t>
      </w:r>
      <w:r w:rsidRPr="006D4509">
        <w:rPr>
          <w:rFonts w:cs="Times New Roman"/>
          <w:szCs w:val="24"/>
        </w:rPr>
        <w:t xml:space="preserve">, </w:t>
      </w:r>
      <w:bookmarkStart w:id="1" w:name="OLE_LINK11"/>
      <w:proofErr w:type="spellStart"/>
      <w:r w:rsidRPr="006D4509">
        <w:rPr>
          <w:rFonts w:cs="Times New Roman"/>
          <w:szCs w:val="24"/>
        </w:rPr>
        <w:t>Dagang</w:t>
      </w:r>
      <w:proofErr w:type="spellEnd"/>
      <w:r w:rsidRPr="006D4509">
        <w:rPr>
          <w:rFonts w:cs="Times New Roman"/>
          <w:szCs w:val="24"/>
        </w:rPr>
        <w:t xml:space="preserve"> Li</w:t>
      </w:r>
      <w:bookmarkEnd w:id="1"/>
      <w:r w:rsidRPr="006D4509">
        <w:rPr>
          <w:rFonts w:cs="Times New Roman"/>
          <w:szCs w:val="24"/>
          <w:vertAlign w:val="superscript"/>
        </w:rPr>
        <w:t>1,2,</w:t>
      </w:r>
      <w:r w:rsidRPr="006D4509">
        <w:rPr>
          <w:rFonts w:cs="Times New Roman"/>
          <w:szCs w:val="24"/>
        </w:rPr>
        <w:t xml:space="preserve">*, </w:t>
      </w:r>
      <w:proofErr w:type="spellStart"/>
      <w:r w:rsidRPr="006D4509">
        <w:rPr>
          <w:rFonts w:cs="Times New Roman"/>
          <w:szCs w:val="24"/>
        </w:rPr>
        <w:t>Zilei</w:t>
      </w:r>
      <w:proofErr w:type="spellEnd"/>
      <w:r w:rsidRPr="006D4509">
        <w:rPr>
          <w:rFonts w:cs="Times New Roman"/>
          <w:szCs w:val="24"/>
        </w:rPr>
        <w:t xml:space="preserve"> Zhang</w:t>
      </w:r>
      <w:r w:rsidRPr="006D4509">
        <w:rPr>
          <w:rFonts w:cs="Times New Roman"/>
          <w:szCs w:val="24"/>
          <w:vertAlign w:val="superscript"/>
        </w:rPr>
        <w:t>1</w:t>
      </w:r>
      <w:r w:rsidRPr="006D4509">
        <w:rPr>
          <w:rFonts w:cs="Times New Roman"/>
          <w:szCs w:val="24"/>
        </w:rPr>
        <w:t xml:space="preserve">, </w:t>
      </w:r>
      <w:proofErr w:type="spellStart"/>
      <w:r w:rsidRPr="006D4509">
        <w:rPr>
          <w:rFonts w:cs="Times New Roman"/>
          <w:szCs w:val="24"/>
        </w:rPr>
        <w:t>Haocun</w:t>
      </w:r>
      <w:proofErr w:type="spellEnd"/>
      <w:r w:rsidRPr="006D4509">
        <w:rPr>
          <w:rFonts w:cs="Times New Roman"/>
          <w:szCs w:val="24"/>
        </w:rPr>
        <w:t xml:space="preserve"> Tan</w:t>
      </w:r>
      <w:r w:rsidRPr="006D4509">
        <w:rPr>
          <w:rFonts w:cs="Times New Roman"/>
          <w:szCs w:val="24"/>
          <w:vertAlign w:val="superscript"/>
        </w:rPr>
        <w:t>1</w:t>
      </w:r>
      <w:r w:rsidRPr="006D4509">
        <w:rPr>
          <w:rFonts w:cs="Times New Roman"/>
          <w:szCs w:val="24"/>
        </w:rPr>
        <w:t xml:space="preserve">, </w:t>
      </w:r>
      <w:proofErr w:type="spellStart"/>
      <w:r w:rsidRPr="006D4509">
        <w:rPr>
          <w:rFonts w:cs="Times New Roman"/>
          <w:szCs w:val="24"/>
        </w:rPr>
        <w:t>Xiyue</w:t>
      </w:r>
      <w:proofErr w:type="spellEnd"/>
      <w:r w:rsidRPr="006D4509">
        <w:rPr>
          <w:rFonts w:cs="Times New Roman"/>
          <w:szCs w:val="24"/>
        </w:rPr>
        <w:t xml:space="preserve"> Zhang</w:t>
      </w:r>
      <w:r w:rsidRPr="006D4509">
        <w:rPr>
          <w:rFonts w:cs="Times New Roman"/>
          <w:szCs w:val="24"/>
          <w:vertAlign w:val="superscript"/>
        </w:rPr>
        <w:t>1</w:t>
      </w:r>
      <w:r w:rsidRPr="006D4509">
        <w:rPr>
          <w:rFonts w:cs="Times New Roman"/>
          <w:szCs w:val="24"/>
        </w:rPr>
        <w:t xml:space="preserve">, </w:t>
      </w:r>
      <w:bookmarkStart w:id="2" w:name="_Hlk218543268"/>
      <w:proofErr w:type="spellStart"/>
      <w:r w:rsidRPr="006D4509">
        <w:rPr>
          <w:rFonts w:cs="Times New Roman"/>
          <w:szCs w:val="24"/>
        </w:rPr>
        <w:t>Yingjun</w:t>
      </w:r>
      <w:proofErr w:type="spellEnd"/>
      <w:r w:rsidRPr="006D4509">
        <w:rPr>
          <w:rFonts w:cs="Times New Roman"/>
          <w:szCs w:val="24"/>
        </w:rPr>
        <w:t xml:space="preserve"> Dong</w:t>
      </w:r>
      <w:r w:rsidRPr="006D4509">
        <w:rPr>
          <w:rFonts w:cs="Times New Roman"/>
          <w:szCs w:val="24"/>
          <w:vertAlign w:val="superscript"/>
        </w:rPr>
        <w:t>1</w:t>
      </w:r>
      <w:r w:rsidRPr="006D4509">
        <w:rPr>
          <w:rFonts w:cs="Times New Roman"/>
          <w:szCs w:val="24"/>
        </w:rPr>
        <w:t xml:space="preserve">, </w:t>
      </w:r>
      <w:proofErr w:type="spellStart"/>
      <w:r w:rsidRPr="006D4509">
        <w:rPr>
          <w:rFonts w:cs="Times New Roman"/>
          <w:szCs w:val="24"/>
        </w:rPr>
        <w:t>Chuanle</w:t>
      </w:r>
      <w:proofErr w:type="spellEnd"/>
      <w:r w:rsidRPr="006D4509">
        <w:rPr>
          <w:rFonts w:cs="Times New Roman"/>
          <w:szCs w:val="24"/>
        </w:rPr>
        <w:t xml:space="preserve"> L</w:t>
      </w:r>
      <w:r w:rsidRPr="006D4509">
        <w:rPr>
          <w:rFonts w:cs="Times New Roman" w:hint="eastAsia"/>
          <w:szCs w:val="24"/>
        </w:rPr>
        <w:t>u</w:t>
      </w:r>
      <w:bookmarkEnd w:id="2"/>
      <w:r w:rsidRPr="006D4509">
        <w:rPr>
          <w:rFonts w:cs="Times New Roman"/>
          <w:szCs w:val="24"/>
          <w:vertAlign w:val="superscript"/>
        </w:rPr>
        <w:t>1</w:t>
      </w:r>
      <w:r w:rsidRPr="006D4509">
        <w:rPr>
          <w:rFonts w:cs="Times New Roman" w:hint="eastAsia"/>
          <w:szCs w:val="24"/>
        </w:rPr>
        <w:t>，</w:t>
      </w:r>
      <w:proofErr w:type="spellStart"/>
      <w:r w:rsidRPr="006D4509">
        <w:rPr>
          <w:rFonts w:cs="Times New Roman" w:hint="eastAsia"/>
          <w:szCs w:val="24"/>
        </w:rPr>
        <w:t>Jin</w:t>
      </w:r>
      <w:r w:rsidRPr="006D4509">
        <w:rPr>
          <w:rFonts w:cs="Times New Roman"/>
          <w:szCs w:val="24"/>
        </w:rPr>
        <w:t>ying</w:t>
      </w:r>
      <w:proofErr w:type="spellEnd"/>
      <w:r w:rsidRPr="006D4509">
        <w:rPr>
          <w:rFonts w:cs="Times New Roman"/>
          <w:szCs w:val="24"/>
        </w:rPr>
        <w:t xml:space="preserve"> Li</w:t>
      </w:r>
      <w:r w:rsidRPr="006D4509">
        <w:rPr>
          <w:rFonts w:cs="Times New Roman"/>
          <w:szCs w:val="24"/>
          <w:vertAlign w:val="superscript"/>
        </w:rPr>
        <w:t>3</w:t>
      </w:r>
      <w:r w:rsidRPr="006D4509">
        <w:rPr>
          <w:rFonts w:cs="Times New Roman" w:hint="eastAsia"/>
          <w:szCs w:val="24"/>
          <w:vertAlign w:val="superscript"/>
        </w:rPr>
        <w:t>,</w:t>
      </w:r>
      <w:r w:rsidRPr="006D4509">
        <w:rPr>
          <w:rFonts w:cs="Times New Roman"/>
          <w:szCs w:val="24"/>
          <w:vertAlign w:val="superscript"/>
        </w:rPr>
        <w:t>4</w:t>
      </w:r>
      <w:r w:rsidRPr="006D4509">
        <w:rPr>
          <w:rFonts w:cs="Times New Roman"/>
          <w:szCs w:val="24"/>
        </w:rPr>
        <w:t>, Dongxiang Zhang</w:t>
      </w:r>
      <w:r w:rsidRPr="006D4509">
        <w:rPr>
          <w:rFonts w:cs="Times New Roman"/>
          <w:szCs w:val="24"/>
          <w:vertAlign w:val="superscript"/>
        </w:rPr>
        <w:t>1,3,</w:t>
      </w:r>
      <w:r w:rsidRPr="006D4509">
        <w:rPr>
          <w:rFonts w:cs="Times New Roman"/>
          <w:szCs w:val="24"/>
        </w:rPr>
        <w:t>*</w:t>
      </w:r>
    </w:p>
    <w:p w14:paraId="2CF5F9BD" w14:textId="77777777" w:rsidR="006D4509" w:rsidRPr="006D4509" w:rsidRDefault="006D4509" w:rsidP="006D4509">
      <w:pPr>
        <w:spacing w:line="240" w:lineRule="auto"/>
        <w:ind w:firstLineChars="0" w:firstLine="0"/>
        <w:jc w:val="both"/>
        <w:rPr>
          <w:rFonts w:cs="Times New Roman"/>
          <w:sz w:val="21"/>
          <w:szCs w:val="21"/>
        </w:rPr>
      </w:pPr>
      <w:r w:rsidRPr="006D4509">
        <w:rPr>
          <w:rFonts w:cs="Times New Roman"/>
          <w:sz w:val="21"/>
          <w:szCs w:val="21"/>
          <w:vertAlign w:val="superscript"/>
        </w:rPr>
        <w:t>1</w:t>
      </w:r>
      <w:r w:rsidRPr="006D4509">
        <w:rPr>
          <w:sz w:val="21"/>
          <w:szCs w:val="21"/>
        </w:rPr>
        <w:t xml:space="preserve"> </w:t>
      </w:r>
      <w:r w:rsidRPr="006D4509">
        <w:rPr>
          <w:rFonts w:cs="Times New Roman"/>
          <w:sz w:val="21"/>
          <w:szCs w:val="21"/>
        </w:rPr>
        <w:t>School of Chemistry and Chemical Engineering, Beijing Institute of Technology, Beijing 102488, China</w:t>
      </w:r>
    </w:p>
    <w:p w14:paraId="737AA0E6" w14:textId="77777777" w:rsidR="006D4509" w:rsidRPr="006D4509" w:rsidRDefault="006D4509" w:rsidP="006D4509">
      <w:pPr>
        <w:spacing w:line="240" w:lineRule="auto"/>
        <w:ind w:firstLineChars="0" w:firstLine="0"/>
        <w:jc w:val="both"/>
        <w:rPr>
          <w:rFonts w:cs="Times New Roman"/>
          <w:sz w:val="21"/>
          <w:szCs w:val="21"/>
        </w:rPr>
      </w:pPr>
      <w:r w:rsidRPr="006D4509">
        <w:rPr>
          <w:rFonts w:cs="Times New Roman"/>
          <w:sz w:val="21"/>
          <w:szCs w:val="21"/>
          <w:vertAlign w:val="superscript"/>
        </w:rPr>
        <w:t>2</w:t>
      </w:r>
      <w:r w:rsidRPr="006D4509">
        <w:rPr>
          <w:sz w:val="21"/>
          <w:szCs w:val="21"/>
        </w:rPr>
        <w:t xml:space="preserve"> </w:t>
      </w:r>
      <w:r w:rsidRPr="006D4509">
        <w:rPr>
          <w:rFonts w:cs="Times New Roman"/>
          <w:sz w:val="21"/>
          <w:szCs w:val="21"/>
        </w:rPr>
        <w:t>School of New Materials and Shoes &amp; Clothing Engineering, Liming Vocational University, Quanzhou 362000, China</w:t>
      </w:r>
    </w:p>
    <w:p w14:paraId="427B7E35" w14:textId="77777777" w:rsidR="006D4509" w:rsidRPr="006D4509" w:rsidRDefault="006D4509" w:rsidP="006D4509">
      <w:pPr>
        <w:spacing w:line="240" w:lineRule="auto"/>
        <w:ind w:firstLineChars="0" w:firstLine="0"/>
        <w:jc w:val="both"/>
        <w:rPr>
          <w:rFonts w:cs="Times New Roman"/>
          <w:sz w:val="21"/>
          <w:szCs w:val="21"/>
        </w:rPr>
      </w:pPr>
      <w:r w:rsidRPr="006D4509">
        <w:rPr>
          <w:rFonts w:cs="Times New Roman"/>
          <w:sz w:val="21"/>
          <w:szCs w:val="21"/>
          <w:vertAlign w:val="superscript"/>
        </w:rPr>
        <w:t>3</w:t>
      </w:r>
      <w:r w:rsidRPr="006D4509">
        <w:rPr>
          <w:sz w:val="21"/>
          <w:szCs w:val="21"/>
        </w:rPr>
        <w:t xml:space="preserve"> </w:t>
      </w:r>
      <w:r w:rsidRPr="006D4509">
        <w:rPr>
          <w:rFonts w:cs="Times New Roman"/>
          <w:sz w:val="21"/>
          <w:szCs w:val="21"/>
        </w:rPr>
        <w:t>Department of Chemistry, Shenzhen MSU-BIT University, Shenzhen 517182, China</w:t>
      </w:r>
    </w:p>
    <w:p w14:paraId="16A58B67" w14:textId="77777777" w:rsidR="006D4509" w:rsidRPr="006D4509" w:rsidRDefault="006D4509" w:rsidP="006D4509">
      <w:pPr>
        <w:spacing w:line="240" w:lineRule="auto"/>
        <w:ind w:firstLineChars="0" w:firstLine="0"/>
        <w:jc w:val="both"/>
        <w:rPr>
          <w:rFonts w:cs="Times New Roman"/>
          <w:sz w:val="21"/>
          <w:szCs w:val="21"/>
        </w:rPr>
      </w:pPr>
      <w:r w:rsidRPr="006D4509">
        <w:rPr>
          <w:rFonts w:cs="Times New Roman" w:hint="eastAsia"/>
          <w:sz w:val="21"/>
          <w:szCs w:val="21"/>
          <w:vertAlign w:val="superscript"/>
        </w:rPr>
        <w:t>4</w:t>
      </w:r>
      <w:r w:rsidRPr="006D4509">
        <w:rPr>
          <w:rFonts w:cs="Times New Roman"/>
          <w:sz w:val="21"/>
          <w:szCs w:val="21"/>
        </w:rPr>
        <w:t xml:space="preserve"> China National Nuclear Corporation, Beijing 100822, China</w:t>
      </w:r>
    </w:p>
    <w:p w14:paraId="57E2BD89" w14:textId="67E1A138" w:rsidR="007E3433" w:rsidRPr="00091BFB" w:rsidRDefault="006D4509" w:rsidP="006D4509">
      <w:pPr>
        <w:widowControl/>
        <w:spacing w:beforeLines="100" w:before="326" w:afterLines="100" w:after="326" w:line="480" w:lineRule="auto"/>
        <w:ind w:firstLineChars="0" w:firstLine="0"/>
        <w:jc w:val="both"/>
        <w:rPr>
          <w:rFonts w:cs="Times New Roman"/>
          <w:b/>
          <w:bCs/>
          <w:color w:val="000000" w:themeColor="text1"/>
          <w:kern w:val="0"/>
          <w:sz w:val="32"/>
          <w:szCs w:val="32"/>
        </w:rPr>
      </w:pPr>
      <w:r w:rsidRPr="006D4509">
        <w:rPr>
          <w:rFonts w:cs="Times New Roman"/>
          <w:sz w:val="21"/>
          <w:szCs w:val="21"/>
        </w:rPr>
        <w:t>*</w:t>
      </w:r>
      <w:proofErr w:type="spellStart"/>
      <w:r w:rsidRPr="006D4509">
        <w:rPr>
          <w:rFonts w:cs="Times New Roman"/>
          <w:sz w:val="21"/>
          <w:szCs w:val="21"/>
        </w:rPr>
        <w:t>Dagang</w:t>
      </w:r>
      <w:proofErr w:type="spellEnd"/>
      <w:r w:rsidRPr="006D4509">
        <w:rPr>
          <w:rFonts w:cs="Times New Roman"/>
          <w:sz w:val="21"/>
          <w:szCs w:val="21"/>
        </w:rPr>
        <w:t xml:space="preserve"> Li. E-mail: dagangli@lmu.edu.cn; *Dongxiang Zhang. </w:t>
      </w:r>
      <w:proofErr w:type="spellStart"/>
      <w:proofErr w:type="gramStart"/>
      <w:r w:rsidRPr="006D4509">
        <w:rPr>
          <w:rFonts w:cs="Times New Roman"/>
          <w:sz w:val="21"/>
          <w:szCs w:val="21"/>
        </w:rPr>
        <w:t>E-mail:boris@bit.edu.cn</w:t>
      </w:r>
      <w:proofErr w:type="spellEnd"/>
      <w:proofErr w:type="gramEnd"/>
      <w:r w:rsidR="007E3433" w:rsidRPr="00091BFB">
        <w:rPr>
          <w:rFonts w:cs="Times New Roman"/>
          <w:sz w:val="32"/>
          <w:szCs w:val="32"/>
        </w:rPr>
        <w:br w:type="page"/>
      </w:r>
    </w:p>
    <w:p w14:paraId="70A981C8" w14:textId="77777777" w:rsidR="007E3433" w:rsidRPr="002142AB" w:rsidRDefault="007E3433" w:rsidP="007E3433">
      <w:pPr>
        <w:pStyle w:val="a7"/>
        <w:numPr>
          <w:ilvl w:val="0"/>
          <w:numId w:val="1"/>
        </w:numPr>
        <w:ind w:firstLineChars="0"/>
        <w:jc w:val="both"/>
        <w:rPr>
          <w:rFonts w:cs="Times New Roman"/>
          <w:b/>
          <w:bCs/>
          <w:sz w:val="32"/>
          <w:szCs w:val="28"/>
        </w:rPr>
      </w:pPr>
      <w:r w:rsidRPr="002142AB">
        <w:rPr>
          <w:rFonts w:cs="Times New Roman"/>
          <w:b/>
          <w:bCs/>
          <w:sz w:val="32"/>
          <w:szCs w:val="28"/>
        </w:rPr>
        <w:lastRenderedPageBreak/>
        <w:t>Materials</w:t>
      </w:r>
    </w:p>
    <w:p w14:paraId="50BF0869" w14:textId="4E94BD41" w:rsidR="000F14EB" w:rsidRDefault="007E3433" w:rsidP="007E3433">
      <w:pPr>
        <w:ind w:firstLine="240"/>
        <w:jc w:val="both"/>
      </w:pPr>
      <w:r w:rsidRPr="002142AB">
        <w:rPr>
          <w:rFonts w:hint="eastAsia"/>
        </w:rPr>
        <w:t xml:space="preserve">Acrylic acid (AA, AR, 99%), polyethyleneimine (PEI, 600, AR, 99%), ammonium persulfate (APS, AR), ascorbic acid (VC, AR, </w:t>
      </w:r>
      <w:r w:rsidRPr="002142AB">
        <w:rPr>
          <w:rFonts w:hint="eastAsia"/>
        </w:rPr>
        <w:t>≥</w:t>
      </w:r>
      <w:r w:rsidRPr="002142AB">
        <w:rPr>
          <w:rFonts w:hint="eastAsia"/>
        </w:rPr>
        <w:t>99%), N,N-</w:t>
      </w:r>
      <w:proofErr w:type="spellStart"/>
      <w:r w:rsidRPr="002142AB">
        <w:rPr>
          <w:rFonts w:hint="eastAsia"/>
        </w:rPr>
        <w:t>methylenebisacrylamide</w:t>
      </w:r>
      <w:proofErr w:type="spellEnd"/>
      <w:r w:rsidRPr="002142AB">
        <w:rPr>
          <w:rFonts w:hint="eastAsia"/>
        </w:rPr>
        <w:t xml:space="preserve"> (MBA, AR, 98%), N-</w:t>
      </w:r>
      <w:proofErr w:type="spellStart"/>
      <w:r w:rsidRPr="002142AB">
        <w:rPr>
          <w:rFonts w:hint="eastAsia"/>
        </w:rPr>
        <w:t>hydroxysuccinimide</w:t>
      </w:r>
      <w:proofErr w:type="spellEnd"/>
      <w:r w:rsidRPr="002142AB">
        <w:rPr>
          <w:rFonts w:hint="eastAsia"/>
        </w:rPr>
        <w:t xml:space="preserve"> (NHS, AR, 98%), and 1-(3-dimethylaminopropyl)-3-ethylcarbodiimide salt (EDC, AR</w:t>
      </w:r>
      <w:r w:rsidRPr="002142AB">
        <w:rPr>
          <w:rFonts w:hint="eastAsia"/>
        </w:rPr>
        <w:t>，</w:t>
      </w:r>
      <w:r w:rsidRPr="002142AB">
        <w:rPr>
          <w:rFonts w:hint="eastAsia"/>
        </w:rPr>
        <w:t>98%) were all supplied by</w:t>
      </w:r>
      <w:r>
        <w:t xml:space="preserve"> vendors. All chemicals were used directly without purification unless otherwise stated.</w:t>
      </w:r>
    </w:p>
    <w:p w14:paraId="41729424" w14:textId="77777777" w:rsidR="007E3433" w:rsidRPr="00B50702" w:rsidRDefault="007E3433" w:rsidP="007E3433">
      <w:pPr>
        <w:ind w:firstLineChars="0" w:firstLine="0"/>
        <w:rPr>
          <w:rFonts w:cs="Times New Roman"/>
          <w:b/>
          <w:bCs/>
        </w:rPr>
      </w:pPr>
      <w:r w:rsidRPr="00B50702">
        <w:rPr>
          <w:rFonts w:cs="Times New Roman"/>
          <w:b/>
          <w:bCs/>
          <w:sz w:val="32"/>
          <w:szCs w:val="28"/>
        </w:rPr>
        <w:t>2. Characterization</w:t>
      </w:r>
    </w:p>
    <w:p w14:paraId="63AA09CF" w14:textId="77777777" w:rsidR="007E3433" w:rsidRDefault="007E3433" w:rsidP="007E3433">
      <w:pPr>
        <w:ind w:firstLine="240"/>
        <w:jc w:val="both"/>
      </w:pPr>
      <w:r w:rsidRPr="002B1A28">
        <w:t>The crystal structure of the samples was analyzed using X-ray diffraction (XRD) (Ultima IV, Rigaku, Japan) with a scanning range of 10–80° and a scanning speed of 5°/min. Fourier transform infrared spectroscopy (Thermo IS5, USA, 400–4000 cm</w:t>
      </w:r>
      <w:r w:rsidRPr="004B3341">
        <w:rPr>
          <w:vertAlign w:val="superscript"/>
        </w:rPr>
        <w:t>-1</w:t>
      </w:r>
      <w:r w:rsidRPr="002B1A28">
        <w:t xml:space="preserve">) was employed to characterize the changes in functional groups in the samples. Field emission scanning electron microscopy (Zeiss </w:t>
      </w:r>
      <w:proofErr w:type="spellStart"/>
      <w:r w:rsidRPr="002B1A28">
        <w:t>GeminiSEM</w:t>
      </w:r>
      <w:proofErr w:type="spellEnd"/>
      <w:r w:rsidRPr="002B1A28">
        <w:t xml:space="preserve"> 360, Germany) and energy-dispersive spectroscopy (EDS) were used to observe the surface morphology and element distribution of the samples. A contact angle meter (JC200d </w:t>
      </w:r>
      <w:proofErr w:type="spellStart"/>
      <w:r w:rsidRPr="002B1A28">
        <w:t>Zhongchen</w:t>
      </w:r>
      <w:proofErr w:type="spellEnd"/>
      <w:r w:rsidRPr="002B1A28">
        <w:t xml:space="preserve"> Digital Technology, China) was utilized to test the permeability of the samples. The specific surface area, pore size distribution, and pore volume of the materials were measured using a </w:t>
      </w:r>
      <w:proofErr w:type="spellStart"/>
      <w:r w:rsidRPr="002B1A28">
        <w:t>Brunauer</w:t>
      </w:r>
      <w:proofErr w:type="spellEnd"/>
      <w:r w:rsidRPr="002B1A28">
        <w:t>-Emmett-Teller analyzer (ASAP 2020, Micromeritics, USA). X-ray photoelectron spectroscopy (XPS) (ESCALAB 250XI, Thermo Fisher, USA) was applied to compare the changes in element binding energy before and after iodine capture. Time-gated Raman spectroscopy (</w:t>
      </w:r>
      <w:proofErr w:type="spellStart"/>
      <w:r w:rsidRPr="002B1A28">
        <w:t>LabRAM</w:t>
      </w:r>
      <w:proofErr w:type="spellEnd"/>
      <w:r w:rsidRPr="002B1A28">
        <w:t xml:space="preserve"> HR Evolution, HORIBA, Japan) was used to record the changes in iodine morphology after adsorption. A thermogravimetric analyzer (STA 449f3, </w:t>
      </w:r>
      <w:proofErr w:type="spellStart"/>
      <w:r w:rsidRPr="002B1A28">
        <w:t>Netzsch</w:t>
      </w:r>
      <w:proofErr w:type="spellEnd"/>
      <w:r w:rsidRPr="002B1A28">
        <w:t>, Germany) was employed to evaluate the thermal stability of the materials under a nitrogen atmosphere (30–600°C, heating rate of 10 K/min). In the radiation resistance experiments, β-rays were generated by an industrial electron irradiation accelerator (DD2.5 MeV-40 mA, maximum tube voltage 40 kV, maximum beam current 40 mA); γ-rays were provided by a cobalt-60 industrial irradiation device (CN-101, actual activity 125,000 Ci).</w:t>
      </w:r>
    </w:p>
    <w:p w14:paraId="0D473726" w14:textId="77777777" w:rsidR="007E3433" w:rsidRPr="00B50702" w:rsidRDefault="007E3433" w:rsidP="007E3433">
      <w:pPr>
        <w:ind w:firstLineChars="0" w:firstLine="0"/>
        <w:jc w:val="both"/>
        <w:rPr>
          <w:rFonts w:cs="Times New Roman"/>
          <w:b/>
          <w:bCs/>
          <w:sz w:val="32"/>
          <w:szCs w:val="28"/>
        </w:rPr>
      </w:pPr>
      <w:r w:rsidRPr="00B50702">
        <w:rPr>
          <w:rFonts w:cs="Times New Roman"/>
          <w:b/>
          <w:bCs/>
          <w:sz w:val="32"/>
          <w:szCs w:val="28"/>
        </w:rPr>
        <w:lastRenderedPageBreak/>
        <w:t xml:space="preserve">3. </w:t>
      </w:r>
      <w:r w:rsidRPr="002B1A28">
        <w:rPr>
          <w:rFonts w:cs="Times New Roman"/>
          <w:b/>
          <w:bCs/>
          <w:sz w:val="32"/>
          <w:szCs w:val="28"/>
        </w:rPr>
        <w:t>DFT calculation simulation</w:t>
      </w:r>
    </w:p>
    <w:p w14:paraId="001B6455" w14:textId="77777777" w:rsidR="007E3433" w:rsidRDefault="007E3433" w:rsidP="007E3433">
      <w:pPr>
        <w:ind w:firstLine="240"/>
        <w:jc w:val="both"/>
      </w:pPr>
      <w:r w:rsidRPr="002B1A28">
        <w:t xml:space="preserve">In this study, the Gaussian 16 </w:t>
      </w:r>
      <w:r w:rsidRPr="00C24A2D">
        <w:t>[1]</w:t>
      </w:r>
      <w:r w:rsidRPr="002B1A28">
        <w:t xml:space="preserve"> program was used to perform theoretical simulations on the I</w:t>
      </w:r>
      <w:r w:rsidRPr="00C24A2D">
        <w:rPr>
          <w:vertAlign w:val="subscript"/>
        </w:rPr>
        <w:t>2</w:t>
      </w:r>
      <w:r w:rsidRPr="002B1A28">
        <w:t>, PEI@PAA (a representative repeating segment of the polymer was selected), and PEI@PAA-I</w:t>
      </w:r>
      <w:r w:rsidRPr="00C24A2D">
        <w:rPr>
          <w:vertAlign w:val="subscript"/>
        </w:rPr>
        <w:t>2</w:t>
      </w:r>
      <w:r w:rsidRPr="002B1A28">
        <w:t xml:space="preserve"> systems (four conformations where I</w:t>
      </w:r>
      <w:r w:rsidRPr="00C24A2D">
        <w:rPr>
          <w:vertAlign w:val="subscript"/>
        </w:rPr>
        <w:t>2</w:t>
      </w:r>
      <w:r w:rsidRPr="002B1A28">
        <w:t xml:space="preserve"> is close to different amino groups in the segment). The adsorption energy (</w:t>
      </w:r>
      <w:r w:rsidRPr="00B50702">
        <w:rPr>
          <w:i/>
          <w:iCs/>
        </w:rPr>
        <w:t>E</w:t>
      </w:r>
      <w:r w:rsidRPr="00B50702">
        <w:rPr>
          <w:vertAlign w:val="subscript"/>
        </w:rPr>
        <w:t>ads</w:t>
      </w:r>
      <w:r w:rsidRPr="002B1A28">
        <w:t>) during the adsorption process, electrostatic potential (ESP) distribution, and weak interactions based on the interaction region indicator (IRI) analysis were systematically investigated to gain insight into the adsorption mechanism of PEI@PAA for I</w:t>
      </w:r>
      <w:r w:rsidRPr="00C24A2D">
        <w:rPr>
          <w:vertAlign w:val="subscript"/>
        </w:rPr>
        <w:t>2</w:t>
      </w:r>
      <w:r w:rsidRPr="002B1A28">
        <w:t>.</w:t>
      </w:r>
    </w:p>
    <w:p w14:paraId="35E4B4D8" w14:textId="77777777" w:rsidR="007E3433" w:rsidRPr="00B50702" w:rsidRDefault="007E3433" w:rsidP="007E3433">
      <w:pPr>
        <w:ind w:firstLine="240"/>
        <w:jc w:val="both"/>
      </w:pPr>
      <w:r w:rsidRPr="00C24A2D">
        <w:t xml:space="preserve">The geometric configurations of the reactants and products were further optimized. The geometry optimization calculations were performed using the B3LYP hybrid functional and the def2-SVPP basis set. This basis set belongs to the split-valence double-polarization basis set, which uses an all-electron basis set for elements in the first four periods of the periodic table, while the Stuttgart pseudopotential basis set was adopted for elements in the fifth period (iodine) </w:t>
      </w:r>
      <w:r w:rsidRPr="00B50702">
        <w:fldChar w:fldCharType="begin"/>
      </w:r>
      <w:r w:rsidRPr="00B50702">
        <w:instrText xml:space="preserve"> ADDIN ZOTERO_ITEM CSL_CITATION {"citationID":"6sRrQ2hb","properties":{"formattedCitation":"[2]","plainCitation":"[2]","noteIndex":0},"citationItems":[{"id":835,"uris":["http://zotero.org/users/14169885/items/53MYTF3K"],"itemData":{"id":835,"type":"article-journal","container-title":"Physical Chemistry Chemical Physics","DOI":"10.1039/b508541a","ISSN":"1463-9076, 1463-9084","issue":"18","journalAbbreviation":"Phys. Chem. Chem. Phys.","language":"en","note":"publisher: Royal Society of Chemistry (RSC)\ntitleTranslation: H </w:instrText>
      </w:r>
      <w:r w:rsidRPr="00B50702">
        <w:instrText>到</w:instrText>
      </w:r>
      <w:r w:rsidRPr="00B50702">
        <w:instrText xml:space="preserve"> Nn </w:instrText>
      </w:r>
      <w:r w:rsidRPr="00B50702">
        <w:instrText>的分裂价、三重</w:instrText>
      </w:r>
      <w:r w:rsidRPr="00B50702">
        <w:instrText xml:space="preserve"> zeta </w:instrText>
      </w:r>
      <w:r w:rsidRPr="00B50702">
        <w:instrText>价和四重</w:instrText>
      </w:r>
      <w:r w:rsidRPr="00B50702">
        <w:instrText xml:space="preserve"> zeta </w:instrText>
      </w:r>
      <w:r w:rsidRPr="00B50702">
        <w:instrText>价质量的平衡基集：准确性的设计和评估</w:instrText>
      </w:r>
      <w:r w:rsidRPr="00B50702">
        <w:instrText xml:space="preserve">","page":"3297","source":"Crossref","title":"Balanced basis sets of split valence, triple zeta valence and quadruple zeta valence quality for H to Rn: Design and assessment of accuracy","title-short":"Balanced basis sets of split valence, triple zeta valence and quadruple zeta valence quality for H to Rn","volume":"7","author":[{"family":"Weigend","given":"Florian"},{"family":"Ahlrichs","given":"Reinhart"}],"issued":{"date-parts":[["2005"]]}}}],"schema":"https://github.com/citation-style-language/schema/raw/master/csl-citation.json"} </w:instrText>
      </w:r>
      <w:r w:rsidRPr="00B50702">
        <w:fldChar w:fldCharType="separate"/>
      </w:r>
      <w:r w:rsidRPr="00B50702">
        <w:t>[2]</w:t>
      </w:r>
      <w:r w:rsidRPr="00B50702">
        <w:fldChar w:fldCharType="end"/>
      </w:r>
      <w:r w:rsidRPr="00C24A2D">
        <w:t>.</w:t>
      </w:r>
    </w:p>
    <w:p w14:paraId="21FAA381" w14:textId="77777777" w:rsidR="007E3433" w:rsidRPr="00393436" w:rsidRDefault="007E3433" w:rsidP="007E3433">
      <w:pPr>
        <w:ind w:firstLine="240"/>
        <w:jc w:val="both"/>
      </w:pPr>
      <w:r w:rsidRPr="00C24A2D">
        <w:t xml:space="preserve">Single point energy calculations were performed using the M06-2X global hybrid functional, which belongs to the Minnesota series </w:t>
      </w:r>
      <w:r w:rsidRPr="00B50702">
        <w:fldChar w:fldCharType="begin"/>
      </w:r>
      <w:r w:rsidRPr="00B50702">
        <w:instrText xml:space="preserve"> ADDIN ZOTERO_ITEM CSL_CITATION {"citationID":"SpFLSjKV","properties":{"formattedCitation":"[3]","plainCitation":"[3]","noteIndex":0},"citationItems":[{"id":833,"uris":["http://zotero.org/users/14169885/items/TV29K9LE"],"itemData":{"id":833,"type":"article-journal","container-title":"Theoretical Chemistry Accounts","DOI":"10.1007/s00214-007-0310-x","ISSN":"1432-881X, 1432-2234","issue":"1-3","journalAbbreviation":"Theor Chem Account","language":"en","license":"https://creativecommons.org/licenses/by-nc/2.0","note":"publisher: Springer Science and Business Media LLC\ntitleTranslation: </w:instrText>
      </w:r>
      <w:r w:rsidRPr="00B50702">
        <w:instrText>用于主族热化学、热化学动力学、非共价相互作用、激发态和过渡元素的</w:instrText>
      </w:r>
      <w:r w:rsidRPr="00B50702">
        <w:instrText xml:space="preserve"> M06 </w:instrText>
      </w:r>
      <w:r w:rsidRPr="00B50702">
        <w:instrText>密度泛函组：两种新型泛函和对</w:instrText>
      </w:r>
      <w:r w:rsidRPr="00B50702">
        <w:instrText xml:space="preserve"> 4 </w:instrText>
      </w:r>
      <w:r w:rsidRPr="00B50702">
        <w:instrText>种</w:instrText>
      </w:r>
      <w:r w:rsidRPr="00B50702">
        <w:instrText xml:space="preserve"> M06 </w:instrText>
      </w:r>
      <w:r w:rsidRPr="00B50702">
        <w:instrText>级泛函和</w:instrText>
      </w:r>
      <w:r w:rsidRPr="00B50702">
        <w:instrText xml:space="preserve"> 12 </w:instrText>
      </w:r>
      <w:r w:rsidRPr="00B50702">
        <w:instrText>种其他泛函的系统测试</w:instrText>
      </w:r>
      <w:r w:rsidRPr="00B50702">
        <w:instrText xml:space="preserve">","page":"215-241","source":"Crossref","title":"The M06 suite of density functionals for main group thermochemistry, thermochemical kinetics, noncovalent interactions, excited states, and transition elements: two new functionals and systematic testing of four M06-class functionals and 12 other functionals","title-short":"The M06 suite of density functionals for main group thermochemistry, thermochemical kinetics, noncovalent interactions, excited states, and transition elements","volume":"120","author":[{"family":"Zhao","given":"Yan"},{"family":"Truhlar","given":"Donald G."}],"issued":{"date-parts":[["2008",5]]}}}],"schema":"https://github.com/citation-style-language/schema/raw/master/csl-citation.json"} </w:instrText>
      </w:r>
      <w:r w:rsidRPr="00B50702">
        <w:fldChar w:fldCharType="separate"/>
      </w:r>
      <w:r w:rsidRPr="00B50702">
        <w:t>[3]</w:t>
      </w:r>
      <w:r w:rsidRPr="00B50702">
        <w:fldChar w:fldCharType="end"/>
      </w:r>
      <w:r w:rsidRPr="00C24A2D">
        <w:t>. It contains 54% Hartree-</w:t>
      </w:r>
      <w:proofErr w:type="spellStart"/>
      <w:r w:rsidRPr="00C24A2D">
        <w:t>Fock</w:t>
      </w:r>
      <w:proofErr w:type="spellEnd"/>
      <w:r w:rsidRPr="00C24A2D">
        <w:t xml:space="preserve"> exchange component and exhibits superior performance in accurately describing halogen bonds and non-covalent interactions </w:t>
      </w:r>
      <w:r w:rsidRPr="00B50702">
        <w:fldChar w:fldCharType="begin"/>
      </w:r>
      <w:r w:rsidRPr="00B50702">
        <w:instrText xml:space="preserve"> ADDIN ZOTERO_ITEM CSL_CITATION {"citationID":"AhHuzhkG","properties":{"formattedCitation":"[4]","plainCitation":"[4]","noteIndex":0},"citationItems":[{"id":837,"uris":["http://zotero.org/users/14169885/items/SBX4238Y"],"itemData":{"id":837,"type":"article-journal","container-title":"Physical Chemistry Chemical Physics","DOI":"10.1039/c0cp02984j","ISSN":"1463-9076, 1463-9084","issue":"14","journalAbbreviation":"Phys. Chem. Chem. Phys.","language":"en","note":"publisher: Royal Society of Chemistry (RSC)\ntitleTranslation: </w:instrText>
      </w:r>
      <w:r w:rsidRPr="00B50702">
        <w:instrText>一般主基团热化学、动力学和非共价相互作用的密度泛函方法的全面基准</w:instrText>
      </w:r>
      <w:r w:rsidRPr="00B50702">
        <w:instrText xml:space="preserve">","page":"6670","source":"Crossref","title":"A thorough benchmark of density functional methods for general main group thermochemistry, kinetics, and noncovalent interactions","volume":"13","author":[{"family":"Goerigk","given":"Lars"},{"family":"Grimme","given":"Stefan"}],"issued":{"date-parts":[["2011"]]}}}],"schema":"https://github.com/citation-style-language/schema/raw/master/csl-citation.json"} </w:instrText>
      </w:r>
      <w:r w:rsidRPr="00B50702">
        <w:fldChar w:fldCharType="separate"/>
      </w:r>
      <w:r w:rsidRPr="00B50702">
        <w:t>[4]</w:t>
      </w:r>
      <w:r w:rsidRPr="00B50702">
        <w:fldChar w:fldCharType="end"/>
      </w:r>
      <w:r w:rsidRPr="00C24A2D">
        <w:t xml:space="preserve">. The def2-TZVPP basis set was selected for the calculations, with its pseudopotential configuration consistent with that of def2-SVPP </w:t>
      </w:r>
      <w:r w:rsidRPr="00B50702">
        <w:fldChar w:fldCharType="begin"/>
      </w:r>
      <w:r w:rsidRPr="00B50702">
        <w:instrText xml:space="preserve"> ADDIN ZOTERO_ITEM CSL_CITATION {"citationID":"7d9N0cKF","properties":{"formattedCitation":"[2]","plainCitation":"[2]","noteIndex":0},"citationItems":[{"id":835,"uris":["http://zotero.org/users/14169885/items/53MYTF3K"],"itemData":{"id":835,"type":"article-journal","container-title":"Physical Chemistry Chemical Physics","DOI":"10.1039/b508541a","ISSN":"1463-9076, 1463-9084","issue":"18","journalAbbreviation":"Phys. Chem. Chem. Phys.","language":"en","note":"publisher: Royal Society of Chemistry (RSC)\ntitleTranslation: H </w:instrText>
      </w:r>
      <w:r w:rsidRPr="00B50702">
        <w:instrText>到</w:instrText>
      </w:r>
      <w:r w:rsidRPr="00B50702">
        <w:instrText xml:space="preserve"> Nn </w:instrText>
      </w:r>
      <w:r w:rsidRPr="00B50702">
        <w:instrText>的分裂价、三重</w:instrText>
      </w:r>
      <w:r w:rsidRPr="00B50702">
        <w:instrText xml:space="preserve"> zeta </w:instrText>
      </w:r>
      <w:r w:rsidRPr="00B50702">
        <w:instrText>价和四重</w:instrText>
      </w:r>
      <w:r w:rsidRPr="00B50702">
        <w:instrText xml:space="preserve"> zeta </w:instrText>
      </w:r>
      <w:r w:rsidRPr="00B50702">
        <w:instrText>价质量的平衡基集：准确性的设计和评估</w:instrText>
      </w:r>
      <w:r w:rsidRPr="00B50702">
        <w:instrText xml:space="preserve">","page":"3297","source":"Crossref","title":"Balanced basis sets of split valence, triple zeta valence and quadruple zeta valence quality for H to Rn: Design and assessment of accuracy","title-short":"Balanced basis sets of split valence, triple zeta valence and quadruple zeta valence quality for H to Rn","volume":"7","author":[{"family":"Weigend","given":"Florian"},{"family":"Ahlrichs","given":"Reinhart"}],"issued":{"date-parts":[["2005"]]}}}],"schema":"https://github.com/citation-style-language/schema/raw/master/csl-citation.json"} </w:instrText>
      </w:r>
      <w:r w:rsidRPr="00B50702">
        <w:fldChar w:fldCharType="separate"/>
      </w:r>
      <w:r w:rsidRPr="00B50702">
        <w:t>[2]</w:t>
      </w:r>
      <w:r w:rsidRPr="00B50702">
        <w:fldChar w:fldCharType="end"/>
      </w:r>
      <w:r w:rsidRPr="00C24A2D">
        <w:t xml:space="preserve">. To correct for the basis set superposition error (BSSE), all energies were calculated using the counterpoise method. In addition, DFT-D3 dispersion correction was introduced throughout the calculation process to accurately describe van der Waals interactions </w:t>
      </w:r>
      <w:r w:rsidRPr="00B50702">
        <w:fldChar w:fldCharType="begin"/>
      </w:r>
      <w:r w:rsidRPr="00B50702">
        <w:instrText xml:space="preserve"> ADDIN ZOTERO_ITEM CSL_CITATION {"citationID":"OKxSYaKy","properties":{"formattedCitation":"[5]","plainCitation":"[5]","noteIndex":0},"citationItems":[{"id":838,"uris":["http://zotero.org/users/14169885/items/THB2DP75"],"itemData":{"id":838,"type":"article-journal","abstract":"The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systems.","container-title":"The Journal of Chemical Physics","DOI":"10.1063/1.3382344","ISSN":"1089-7690","issue":"15","journalAbbreviation":"J Chem Phys","language":"en","note":"PMID: 20423165\ntitleTranslation: </w:instrText>
      </w:r>
      <w:r w:rsidRPr="00B50702">
        <w:instrText>对</w:instrText>
      </w:r>
      <w:r w:rsidRPr="00B50702">
        <w:instrText xml:space="preserve"> 94 </w:instrText>
      </w:r>
      <w:r w:rsidRPr="00B50702">
        <w:instrText>种元素</w:instrText>
      </w:r>
      <w:r w:rsidRPr="00B50702">
        <w:instrText xml:space="preserve"> H-Pu </w:instrText>
      </w:r>
      <w:r w:rsidRPr="00B50702">
        <w:instrText>的密度泛函色散校正</w:instrText>
      </w:r>
      <w:r w:rsidRPr="00B50702">
        <w:instrText xml:space="preserve"> </w:instrText>
      </w:r>
      <w:r w:rsidRPr="00B50702">
        <w:instrText>（</w:instrText>
      </w:r>
      <w:r w:rsidRPr="00B50702">
        <w:instrText>DFT-D</w:instrText>
      </w:r>
      <w:r w:rsidRPr="00B50702">
        <w:instrText>）</w:instrText>
      </w:r>
      <w:r w:rsidRPr="00B50702">
        <w:instrText xml:space="preserve"> </w:instrText>
      </w:r>
      <w:r w:rsidRPr="00B50702">
        <w:instrText>进行一致且准确的从头参数化</w:instrText>
      </w:r>
      <w:r w:rsidRPr="00B50702">
        <w:instrText xml:space="preserve">\nabstractTranslation: </w:instrText>
      </w:r>
      <w:r w:rsidRPr="00B50702">
        <w:instrText>色散校正方法作为标准</w:instrText>
      </w:r>
      <w:r w:rsidRPr="00B50702">
        <w:instrText xml:space="preserve"> Kohn-Sham </w:instrText>
      </w:r>
      <w:r w:rsidRPr="00B50702">
        <w:instrText>密度泛函理论</w:instrText>
      </w:r>
      <w:r w:rsidRPr="00B50702">
        <w:instrText xml:space="preserve"> </w:instrText>
      </w:r>
      <w:r w:rsidRPr="00B50702">
        <w:instrText>（</w:instrText>
      </w:r>
      <w:r w:rsidRPr="00B50702">
        <w:instrText>DFT-D</w:instrText>
      </w:r>
      <w:r w:rsidRPr="00B50702">
        <w:instrText>）</w:instrText>
      </w:r>
      <w:r w:rsidRPr="00B50702">
        <w:instrText xml:space="preserve"> </w:instrText>
      </w:r>
      <w:r w:rsidRPr="00B50702">
        <w:instrText>的附加材料，在更高的精度、更广泛的适用性和更少的经验性方面得到了改进。主要的新成分是原子对比色散系数和截止半径，它们都是根据第一性原理计算得出的。使用建立的递归关系计算新的八阶色散项的系数。系统（几何）相关信息首次采用小数配位数</w:instrText>
      </w:r>
      <w:r w:rsidRPr="00B50702">
        <w:instrText xml:space="preserve"> </w:instrText>
      </w:r>
      <w:r w:rsidRPr="00B50702">
        <w:instrText>（</w:instrText>
      </w:r>
      <w:r w:rsidRPr="00B50702">
        <w:instrText>CN</w:instrText>
      </w:r>
      <w:r w:rsidRPr="00B50702">
        <w:instrText>）</w:instrText>
      </w:r>
      <w:r w:rsidRPr="00B50702">
        <w:instrText xml:space="preserve"> </w:instrText>
      </w:r>
      <w:r w:rsidRPr="00B50702">
        <w:instrText>的新概念，在</w:instrText>
      </w:r>
      <w:r w:rsidRPr="00B50702">
        <w:instrText xml:space="preserve"> DFT-D </w:instrText>
      </w:r>
      <w:r w:rsidRPr="00B50702">
        <w:instrText>型方法中使用。它们用于在不同化学环境中的原子色散系数之间进行插值。该方法只需要为每个密度泛函调整两个全局参数，对于弱相互作用的中性原子的气体是渐近精确的，并且很容易计算原子力。考虑三体非加性项。该方法已在分子间和分子内非共价相互作用的标准基准集上进行了评估，特别强调对轻元素和重元素系统的一致描述。与之前的（已经准确的）</w:instrText>
      </w:r>
      <w:r w:rsidRPr="00B50702">
        <w:instrText xml:space="preserve">DFT-D </w:instrText>
      </w:r>
      <w:r w:rsidRPr="00B50702">
        <w:instrText>版本相比，</w:instrText>
      </w:r>
      <w:r w:rsidRPr="00B50702">
        <w:instrText xml:space="preserve">11 </w:instrText>
      </w:r>
      <w:r w:rsidRPr="00B50702">
        <w:instrText>个标准密度泛函的</w:instrText>
      </w:r>
      <w:r w:rsidRPr="00B50702">
        <w:instrText xml:space="preserve"> S22 </w:instrText>
      </w:r>
      <w:r w:rsidRPr="00B50702">
        <w:instrText>基准非共价相互作用集的平均绝对偏差降低了</w:instrText>
      </w:r>
      <w:r w:rsidRPr="00B50702">
        <w:instrText xml:space="preserve"> 15%-40%</w:instrText>
      </w:r>
      <w:r w:rsidRPr="00B50702">
        <w:instrText>。三肽折叠模型和所有经过测试的金属系统都取得了显着的改进。长程行为的纠正和更精确的</w:instrText>
      </w:r>
      <w:r w:rsidRPr="00B50702">
        <w:instrText xml:space="preserve"> C</w:instrText>
      </w:r>
      <w:r w:rsidRPr="00B50702">
        <w:instrText>（</w:instrText>
      </w:r>
      <w:r w:rsidRPr="00B50702">
        <w:instrText>6</w:instrText>
      </w:r>
      <w:r w:rsidRPr="00B50702">
        <w:instrText>）</w:instrText>
      </w:r>
      <w:r w:rsidRPr="00B50702">
        <w:instrText xml:space="preserve"> </w:instrText>
      </w:r>
      <w:r w:rsidRPr="00B50702">
        <w:instrText>系数的使用也导致了对大型（无限）系统的更好描述，如石墨烯片和苯在</w:instrText>
      </w:r>
      <w:r w:rsidRPr="00B50702">
        <w:instrText xml:space="preserve"> Ag</w:instrText>
      </w:r>
      <w:r w:rsidRPr="00B50702">
        <w:instrText>（</w:instrText>
      </w:r>
      <w:r w:rsidRPr="00B50702">
        <w:instrText>111</w:instrText>
      </w:r>
      <w:r w:rsidRPr="00B50702">
        <w:instrText>）</w:instrText>
      </w:r>
      <w:r w:rsidRPr="00B50702">
        <w:instrText xml:space="preserve"> </w:instrText>
      </w:r>
      <w:r w:rsidRPr="00B50702">
        <w:instrText>表面上的吸附所示。对于石墨烯，发现包含三体项会大大（约</w:instrText>
      </w:r>
      <w:r w:rsidRPr="00B50702">
        <w:instrText xml:space="preserve"> 10%</w:instrText>
      </w:r>
      <w:r w:rsidRPr="00B50702">
        <w:instrText>）削弱层间结合。我们提出了修订后的</w:instrText>
      </w:r>
      <w:r w:rsidRPr="00B50702">
        <w:instrText>DFT-D</w:instrText>
      </w:r>
      <w:r w:rsidRPr="00B50702">
        <w:instrText>方法，作为计算具有</w:instrText>
      </w:r>
      <w:r w:rsidRPr="00B50702">
        <w:instrText>DFT</w:instrText>
      </w:r>
      <w:r w:rsidRPr="00B50702">
        <w:instrText>和大型系统相关（低成本）电子结构方法的任何种类分子和固体中色散能的通用工具。</w:instrText>
      </w:r>
      <w:r w:rsidRPr="00B50702">
        <w:instrText xml:space="preserve">","page":"154104","source":"PubMed","title":"A consistent and accurate ab initio parametrization of density functional dispersion correction (DFT-D) for the 94 elements H-Pu","volume":"132","author":[{"family":"Grimme","given":"Stefan"},{"family":"Antony","given":"Jens"},{"family":"Ehrlich","given":"Stephan"},{"family":"Krieg","given":"Helge"}],"issued":{"date-parts":[["2010",4,21]]}}}],"schema":"https://github.com/citation-style-language/schema/raw/master/csl-citation.json"} </w:instrText>
      </w:r>
      <w:r w:rsidRPr="00B50702">
        <w:fldChar w:fldCharType="separate"/>
      </w:r>
      <w:r w:rsidRPr="00B50702">
        <w:t>[5]</w:t>
      </w:r>
      <w:r w:rsidRPr="00B50702">
        <w:fldChar w:fldCharType="end"/>
      </w:r>
      <w:r w:rsidRPr="00C24A2D">
        <w:t xml:space="preserve">. Finally, the adsorption energy of the adsorbent for iodine was obtained using the formula: </w:t>
      </w:r>
      <w:r w:rsidRPr="00B50702">
        <w:rPr>
          <w:i/>
          <w:iCs/>
        </w:rPr>
        <w:t>E</w:t>
      </w:r>
      <w:r w:rsidRPr="00B50702">
        <w:rPr>
          <w:vertAlign w:val="subscript"/>
        </w:rPr>
        <w:t>ads</w:t>
      </w:r>
      <w:r w:rsidRPr="00B50702">
        <w:t xml:space="preserve"> = </w:t>
      </w:r>
      <w:r w:rsidRPr="00B50702">
        <w:rPr>
          <w:i/>
          <w:iCs/>
        </w:rPr>
        <w:t>E</w:t>
      </w:r>
      <w:r w:rsidRPr="00B50702">
        <w:rPr>
          <w:vertAlign w:val="subscript"/>
        </w:rPr>
        <w:t>t</w:t>
      </w:r>
      <w:r w:rsidRPr="00B50702">
        <w:t>-</w:t>
      </w:r>
      <w:r>
        <w:t xml:space="preserve"> </w:t>
      </w:r>
      <w:r>
        <w:rPr>
          <w:rFonts w:hint="eastAsia"/>
        </w:rPr>
        <w:t>(</w:t>
      </w:r>
      <w:proofErr w:type="spellStart"/>
      <w:r w:rsidRPr="00B50702">
        <w:rPr>
          <w:i/>
          <w:iCs/>
        </w:rPr>
        <w:t>E</w:t>
      </w:r>
      <w:r w:rsidRPr="00B50702">
        <w:rPr>
          <w:vertAlign w:val="subscript"/>
        </w:rPr>
        <w:t>m</w:t>
      </w:r>
      <w:r w:rsidRPr="00B50702">
        <w:t>+</w:t>
      </w:r>
      <w:r w:rsidRPr="00B50702">
        <w:rPr>
          <w:i/>
          <w:iCs/>
        </w:rPr>
        <w:t>E</w:t>
      </w:r>
      <w:r w:rsidRPr="00B50702">
        <w:rPr>
          <w:vertAlign w:val="subscript"/>
        </w:rPr>
        <w:t>I</w:t>
      </w:r>
      <w:proofErr w:type="spellEnd"/>
      <w:r>
        <w:rPr>
          <w:rFonts w:hint="eastAsia"/>
        </w:rPr>
        <w:t>)</w:t>
      </w:r>
      <w:r w:rsidRPr="00C24A2D">
        <w:t xml:space="preserve">, where </w:t>
      </w:r>
      <w:r w:rsidRPr="00B50702">
        <w:rPr>
          <w:i/>
          <w:iCs/>
        </w:rPr>
        <w:t>E</w:t>
      </w:r>
      <w:r w:rsidRPr="00B50702">
        <w:rPr>
          <w:vertAlign w:val="subscript"/>
        </w:rPr>
        <w:t>ads</w:t>
      </w:r>
      <w:r>
        <w:rPr>
          <w:vertAlign w:val="subscript"/>
        </w:rPr>
        <w:t xml:space="preserve"> </w:t>
      </w:r>
      <w:r>
        <w:rPr>
          <w:rFonts w:hint="eastAsia"/>
        </w:rPr>
        <w:t>(</w:t>
      </w:r>
      <w:r w:rsidRPr="00B50702">
        <w:t>kJ</w:t>
      </w:r>
      <w:r w:rsidRPr="007D7724">
        <w:t>·</w:t>
      </w:r>
      <w:r w:rsidRPr="00B50702">
        <w:t>mol</w:t>
      </w:r>
      <w:r w:rsidRPr="00B50702">
        <w:rPr>
          <w:vertAlign w:val="superscript"/>
        </w:rPr>
        <w:t>-1</w:t>
      </w:r>
      <w:r>
        <w:rPr>
          <w:rFonts w:hint="eastAsia"/>
        </w:rPr>
        <w:t>)</w:t>
      </w:r>
      <w:r>
        <w:t xml:space="preserve"> </w:t>
      </w:r>
      <w:r w:rsidRPr="00C24A2D">
        <w:t xml:space="preserve">represents the adsorption energy, </w:t>
      </w:r>
      <w:r w:rsidRPr="00B50702">
        <w:rPr>
          <w:i/>
          <w:iCs/>
        </w:rPr>
        <w:t>E</w:t>
      </w:r>
      <w:r w:rsidRPr="00B50702">
        <w:rPr>
          <w:vertAlign w:val="subscript"/>
        </w:rPr>
        <w:t>t</w:t>
      </w:r>
      <w:r>
        <w:rPr>
          <w:vertAlign w:val="subscript"/>
        </w:rPr>
        <w:t xml:space="preserve"> </w:t>
      </w:r>
      <w:r>
        <w:rPr>
          <w:rFonts w:hint="eastAsia"/>
        </w:rPr>
        <w:t>(</w:t>
      </w:r>
      <w:r w:rsidRPr="00B50702">
        <w:t>kJ</w:t>
      </w:r>
      <w:r w:rsidRPr="007D7724">
        <w:t>·</w:t>
      </w:r>
      <w:r w:rsidRPr="00B50702">
        <w:t>mol</w:t>
      </w:r>
      <w:r w:rsidRPr="00B50702">
        <w:rPr>
          <w:vertAlign w:val="superscript"/>
        </w:rPr>
        <w:t>-1</w:t>
      </w:r>
      <w:r>
        <w:rPr>
          <w:rFonts w:hint="eastAsia"/>
        </w:rPr>
        <w:t>)</w:t>
      </w:r>
      <w:r w:rsidRPr="00C24A2D">
        <w:t xml:space="preserve"> is the total electronic energy of the system after adsorption, and </w:t>
      </w:r>
      <w:proofErr w:type="spellStart"/>
      <w:r w:rsidRPr="00B50702">
        <w:rPr>
          <w:i/>
          <w:iCs/>
        </w:rPr>
        <w:t>E</w:t>
      </w:r>
      <w:r w:rsidRPr="00B50702">
        <w:rPr>
          <w:vertAlign w:val="subscript"/>
        </w:rPr>
        <w:t>m</w:t>
      </w:r>
      <w:proofErr w:type="spellEnd"/>
      <w:r>
        <w:rPr>
          <w:vertAlign w:val="subscript"/>
        </w:rPr>
        <w:t xml:space="preserve"> </w:t>
      </w:r>
      <w:r>
        <w:rPr>
          <w:rFonts w:hint="eastAsia"/>
        </w:rPr>
        <w:t>(</w:t>
      </w:r>
      <w:r w:rsidRPr="00B50702">
        <w:t>kJ</w:t>
      </w:r>
      <w:r w:rsidRPr="007D7724">
        <w:t>·</w:t>
      </w:r>
      <w:r w:rsidRPr="00B50702">
        <w:t>mol</w:t>
      </w:r>
      <w:r w:rsidRPr="00B50702">
        <w:rPr>
          <w:vertAlign w:val="superscript"/>
        </w:rPr>
        <w:t>-1</w:t>
      </w:r>
      <w:r>
        <w:rPr>
          <w:rFonts w:hint="eastAsia"/>
        </w:rPr>
        <w:t>)</w:t>
      </w:r>
      <w:r>
        <w:t xml:space="preserve"> </w:t>
      </w:r>
      <w:r w:rsidRPr="00C24A2D">
        <w:t xml:space="preserve">and </w:t>
      </w:r>
      <w:r w:rsidRPr="00B50702">
        <w:rPr>
          <w:i/>
          <w:iCs/>
        </w:rPr>
        <w:t>E</w:t>
      </w:r>
      <w:r w:rsidRPr="00B50702">
        <w:rPr>
          <w:vertAlign w:val="subscript"/>
        </w:rPr>
        <w:t>I</w:t>
      </w:r>
      <w:r>
        <w:rPr>
          <w:vertAlign w:val="subscript"/>
        </w:rPr>
        <w:t xml:space="preserve"> </w:t>
      </w:r>
      <w:r>
        <w:rPr>
          <w:rFonts w:hint="eastAsia"/>
        </w:rPr>
        <w:t>(</w:t>
      </w:r>
      <w:r w:rsidRPr="00B50702">
        <w:t>kJ</w:t>
      </w:r>
      <w:r w:rsidRPr="007D7724">
        <w:t>·</w:t>
      </w:r>
      <w:r w:rsidRPr="00B50702">
        <w:t>mol</w:t>
      </w:r>
      <w:r w:rsidRPr="00B50702">
        <w:rPr>
          <w:vertAlign w:val="superscript"/>
        </w:rPr>
        <w:t>-1</w:t>
      </w:r>
      <w:r>
        <w:rPr>
          <w:rFonts w:hint="eastAsia"/>
        </w:rPr>
        <w:t>)</w:t>
      </w:r>
      <w:r w:rsidRPr="00C24A2D">
        <w:t xml:space="preserve"> are the electronic energies of the adsorbent molecules and iodine molecules before adsorption, respectively.</w:t>
      </w:r>
    </w:p>
    <w:p w14:paraId="275F5658" w14:textId="77777777" w:rsidR="007E3433" w:rsidRPr="00B50702" w:rsidRDefault="007E3433" w:rsidP="007E3433">
      <w:pPr>
        <w:ind w:firstLine="240"/>
        <w:jc w:val="both"/>
      </w:pPr>
      <w:r w:rsidRPr="00C24A2D">
        <w:t xml:space="preserve">To deeply explain the mechanism of the adsorption process and reveal the nature of </w:t>
      </w:r>
      <w:r w:rsidRPr="00C24A2D">
        <w:lastRenderedPageBreak/>
        <w:t xml:space="preserve">chemical bond strength and weak interactions, this study employed the Interaction Region Indicator (IRI) defined by Equation (S1) for interaction analysis </w:t>
      </w:r>
      <w:r w:rsidRPr="00B50702">
        <w:fldChar w:fldCharType="begin"/>
      </w:r>
      <w:r w:rsidRPr="00B50702">
        <w:instrText xml:space="preserve"> ADDIN ZOTERO_ITEM CSL_CITATION {"citationID":"KLhBFzjY","properties":{"formattedCitation":"[6]","plainCitation":"[6]","noteIndex":0},"citationItems":[{"id":843,"uris":["http://zotero.org/users/14169885/items/DYN7DG3J"],"itemData":{"id":843,"type":"article-journal","abstract":"AbstractGraphically revealing interaction regions in a chemical system enables chemists to quickly recognize where significant interactions have formed. Reduced density gradient (RDG) has already been widely employed in literatures to visually exhibit weak interaction regions, in fact it also has the ability of revealing chemical bonding regions. Unfortunately, RDG cannot clearly show both types of the interactions at the same time. In this work, we propose a new real space function named interaction region indicator (IRI), which is a slight modification on RDG. We found IRI can reveal chemical bonding and weak interaction regions equally well, which brings great convenience in the study of various chemical systems as well as chemical reactions. IRI is also compared with atom‐in‐molecules (AIM) topology analysis of electron density, it is demonstrated that IRI has the ability to reveal additional interactions to provide chemists a more complete picture. In addition, we put forward a variant of IRI named IRI‐π, which is dedicated to reveal interactions of π electrons. It is found that IRI‐π can not only distinguish type of π interactions but also exhibit π‐interaction strength. IRI and IRI‐π have been efficiently implemented in our freely available Multiwfn wavefunction analysis code (http://sobereva.com/multiwfn), and are expected to become new useful members of computational chemists′ toolbox in studying chemical problems.","container-title":"Chemistry–Methods","DOI":"10.1002/cmtd.202100007","ISSN":"2628-9725, 2628-9725","issue":"5","journalAbbreviation":"Chemistry Methods","language":"en","license":"http://creativecommons.org/licenses/by-nc-nd/4.0/","note":"publisher: Wiley\ntitleTranslation: </w:instrText>
      </w:r>
      <w:r w:rsidRPr="00B50702">
        <w:instrText>相互作用区域指示器：一个简单的实空间函数，清楚地揭示了化学键和弱相互作用</w:instrText>
      </w:r>
      <w:r w:rsidRPr="00B50702">
        <w:instrText xml:space="preserve">**\nabstractTranslation: </w:instrText>
      </w:r>
      <w:r w:rsidRPr="00B50702">
        <w:instrText>摘要以图形方式揭示化学系统中的相互作用区域使化学家能够快速识别显着相互作用形成的位置。降低密度梯度（</w:instrText>
      </w:r>
      <w:r w:rsidRPr="00B50702">
        <w:instrText>RDG</w:instrText>
      </w:r>
      <w:r w:rsidRPr="00B50702">
        <w:instrText>）已经在文献中被广泛用于直观地展示弱相互作用区域，实际上它还具有揭示化学键区域的能力。不幸的是，</w:instrText>
      </w:r>
      <w:r w:rsidRPr="00B50702">
        <w:instrText xml:space="preserve">RDG </w:instrText>
      </w:r>
      <w:r w:rsidRPr="00B50702">
        <w:instrText>无法同时清楚地显示两种类型的交互。在这项工作中，我们提出了一种新的实空间函数，称为交互区域指示器（</w:instrText>
      </w:r>
      <w:r w:rsidRPr="00B50702">
        <w:instrText>IRI</w:instrText>
      </w:r>
      <w:r w:rsidRPr="00B50702">
        <w:instrText>），它是对</w:instrText>
      </w:r>
      <w:r w:rsidRPr="00B50702">
        <w:instrText>RDG</w:instrText>
      </w:r>
      <w:r w:rsidRPr="00B50702">
        <w:instrText>的轻微修改。研究发现，</w:instrText>
      </w:r>
      <w:r w:rsidRPr="00B50702">
        <w:instrText>IRI</w:instrText>
      </w:r>
      <w:r w:rsidRPr="00B50702">
        <w:instrText>能够同样很好地揭示化学键和弱相互作用区域，这为各种化学体系和化学反应的研究带来了极大的便利。</w:instrText>
      </w:r>
      <w:r w:rsidRPr="00B50702">
        <w:instrText xml:space="preserve">IRI </w:instrText>
      </w:r>
      <w:r w:rsidRPr="00B50702">
        <w:instrText>还与电子密度的分子中原子</w:instrText>
      </w:r>
      <w:r w:rsidRPr="00B50702">
        <w:instrText xml:space="preserve"> </w:instrText>
      </w:r>
      <w:r w:rsidRPr="00B50702">
        <w:instrText>（</w:instrText>
      </w:r>
      <w:r w:rsidRPr="00B50702">
        <w:instrText>AIM</w:instrText>
      </w:r>
      <w:r w:rsidRPr="00B50702">
        <w:instrText>）</w:instrText>
      </w:r>
      <w:r w:rsidRPr="00B50702">
        <w:instrText xml:space="preserve"> </w:instrText>
      </w:r>
      <w:r w:rsidRPr="00B50702">
        <w:instrText>拓扑分析进行了比较，证明</w:instrText>
      </w:r>
      <w:r w:rsidRPr="00B50702">
        <w:instrText xml:space="preserve"> IRI </w:instrText>
      </w:r>
      <w:r w:rsidRPr="00B50702">
        <w:instrText>能够揭示额外的相互作用，为化学家提供更完整的画面。此外，我们提出了一种名为</w:instrText>
      </w:r>
      <w:r w:rsidRPr="00B50702">
        <w:instrText>IRI-π</w:instrText>
      </w:r>
      <w:r w:rsidRPr="00B50702">
        <w:instrText>的</w:instrText>
      </w:r>
      <w:r w:rsidRPr="00B50702">
        <w:instrText>IRI</w:instrText>
      </w:r>
      <w:r w:rsidRPr="00B50702">
        <w:instrText>变体，它致力于揭示</w:instrText>
      </w:r>
      <w:r w:rsidRPr="00B50702">
        <w:instrText>π</w:instrText>
      </w:r>
      <w:r w:rsidRPr="00B50702">
        <w:instrText>电子的相互作用。研究发现，</w:instrText>
      </w:r>
      <w:r w:rsidRPr="00B50702">
        <w:instrText>IRI-π</w:instrText>
      </w:r>
      <w:r w:rsidRPr="00B50702">
        <w:instrText>不仅可以区分</w:instrText>
      </w:r>
      <w:r w:rsidRPr="00B50702">
        <w:instrText>π</w:instrText>
      </w:r>
      <w:r w:rsidRPr="00B50702">
        <w:instrText>相互作用的类型，而且表现出</w:instrText>
      </w:r>
      <w:r w:rsidRPr="00B50702">
        <w:instrText>π</w:instrText>
      </w:r>
      <w:r w:rsidRPr="00B50702">
        <w:instrText>相互作用强度。</w:instrText>
      </w:r>
      <w:r w:rsidRPr="00B50702">
        <w:instrText>IRI</w:instrText>
      </w:r>
      <w:r w:rsidRPr="00B50702">
        <w:instrText>和</w:instrText>
      </w:r>
      <w:r w:rsidRPr="00B50702">
        <w:instrText>IRI-π</w:instrText>
      </w:r>
      <w:r w:rsidRPr="00B50702">
        <w:instrText>已在我们免费提供的</w:instrText>
      </w:r>
      <w:r w:rsidRPr="00B50702">
        <w:instrText>Multiwfn</w:instrText>
      </w:r>
      <w:r w:rsidRPr="00B50702">
        <w:instrText>波函数分析代码（</w:instrText>
      </w:r>
      <w:r w:rsidRPr="00B50702">
        <w:instrText>http://sobereva.com/multiwfn</w:instrText>
      </w:r>
      <w:r w:rsidRPr="00B50702">
        <w:instrText>）中得到有效实现，并有望成为计算化学家研究化学问题工具箱中的新有用成员。</w:instrText>
      </w:r>
      <w:r w:rsidRPr="00B50702">
        <w:instrText xml:space="preserve">","page":"231-239","source":"Crossref","title":"Interaction Region Indicator: A Simple Real Space Function Clearly Revealing Both Chemical Bonds and Weak Interactions**","title-short":"Interaction Region Indicator","volume":"1","author":[{"family":"Lu","given":"Tian"},{"family":"Chen","given":"Qinxue"}],"issued":{"date-parts":[["2021",5]]}}}],"schema":"https://github.com/citation-style-language/schema/raw/master/csl-citation.json"} </w:instrText>
      </w:r>
      <w:r w:rsidRPr="00B50702">
        <w:fldChar w:fldCharType="separate"/>
      </w:r>
      <w:r w:rsidRPr="00B50702">
        <w:t>[6]</w:t>
      </w:r>
      <w:r w:rsidRPr="00B50702">
        <w:fldChar w:fldCharType="end"/>
      </w:r>
      <w:r w:rsidRPr="00C24A2D">
        <w:t xml:space="preserve">. The corresponding data were processed using Visual Molecular Dynamics (VMD) </w:t>
      </w:r>
      <w:r w:rsidRPr="00B50702">
        <w:fldChar w:fldCharType="begin"/>
      </w:r>
      <w:r w:rsidRPr="00B50702">
        <w:instrText xml:space="preserve"> ADDIN ZOTERO_ITEM CSL_CITATION {"citationID":"gOofYpEF","properties":{"formattedCitation":"[7]","plainCitation":"[7]","noteIndex":0},"citationItems":[{"id":845,"uris":["http://zotero.org/users/14169885/items/K576624C"],"itemData":{"id":845,"type":"article-journal","abstract":"VMD is a molecular graphics program designed for the display and analysis of molecular assemblies, in particular biopolymers such as proteins and nucleic acids. VMD can simultaneously display any number of structures using a wide variety of rendering styles and coloring methods. Molecules are displayed as one or more \"representations,\" in which each representation embodies a particular rendering method and coloring scheme Jor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High-resolution raster images of displayed molecules may be produced by generating input scripts for use by a number of photorealistic image-rendering applications. VMD has also been expressly designed with the ability to animate molecular dynamics (MD) simulation trajectories, imported either from ,files or from a direct connection to a running MD simulation. VMD is the visualization component of MDScope, a set of tools .for interactive problem solving in structural biology,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Web.","container-title":"Journal of Molecular Graphics","DOI":"10.1016/0263-7855(96)00018-5","ISSN":"0263-7855","issue":"1","language":"en","license":"https://www.elsevier.com/tdm/userlicense/1.0/","note":"publisher: Elsevier BV\ntitleTranslation: VMD</w:instrText>
      </w:r>
      <w:r w:rsidRPr="00B50702">
        <w:instrText>：视觉分子动力学</w:instrText>
      </w:r>
      <w:r w:rsidRPr="00B50702">
        <w:instrText xml:space="preserve">\nabstractTranslation: VMD </w:instrText>
      </w:r>
      <w:r w:rsidRPr="00B50702">
        <w:instrText>是一种分子图形程序，旨在显示和分析分子组装体，特别是蛋白质和核酸等生物聚合物。</w:instrText>
      </w:r>
      <w:r w:rsidRPr="00B50702">
        <w:instrText xml:space="preserve">VMD </w:instrText>
      </w:r>
      <w:r w:rsidRPr="00B50702">
        <w:instrText>可以使用各种渲染样式和着色方法同时显示任意数量的结构。分子显示为一个或多个</w:instrText>
      </w:r>
      <w:r w:rsidRPr="00B50702">
        <w:instrText>“</w:instrText>
      </w:r>
      <w:r w:rsidRPr="00B50702">
        <w:instrText>表示</w:instrText>
      </w:r>
      <w:r w:rsidRPr="00B50702">
        <w:instrText>”</w:instrText>
      </w:r>
      <w:r w:rsidRPr="00B50702">
        <w:instrText>，其中每个表示都体现了特定的渲染方法和着色方案</w:instrText>
      </w:r>
      <w:r w:rsidRPr="00B50702">
        <w:instrText xml:space="preserve"> Jor </w:instrText>
      </w:r>
      <w:r w:rsidRPr="00B50702">
        <w:instrText>选定的原子子集。每个表示中显示的原子是使用广泛的原子选择语法选择的，其中包括布尔运算符和正则表达式。</w:instrText>
      </w:r>
      <w:r w:rsidRPr="00B50702">
        <w:instrText xml:space="preserve">VMD </w:instrText>
      </w:r>
      <w:r w:rsidRPr="00B50702">
        <w:instrText>为程序控制提供了完整的图形用户界面，以及使用</w:instrText>
      </w:r>
      <w:r w:rsidRPr="00B50702">
        <w:instrText xml:space="preserve"> Tcl </w:instrText>
      </w:r>
      <w:r w:rsidRPr="00B50702">
        <w:instrText>嵌入式解析器的文本界面，以允许具有变量替换、控制循环和函数调用的复杂脚本。支持完整会话日志记录，生成</w:instrText>
      </w:r>
      <w:r w:rsidRPr="00B50702">
        <w:instrText xml:space="preserve"> VMD </w:instrText>
      </w:r>
      <w:r w:rsidRPr="00B50702">
        <w:instrText>命令脚本以供以后播放。通过生成供许多逼真的图像渲染应用程序使用的输入脚本，可以生成显示分子的高分辨率光栅图像。</w:instrText>
      </w:r>
      <w:r w:rsidRPr="00B50702">
        <w:instrText xml:space="preserve">VMD </w:instrText>
      </w:r>
      <w:r w:rsidRPr="00B50702">
        <w:instrText>还被明确设计为能够对分子动力学</w:instrText>
      </w:r>
      <w:r w:rsidRPr="00B50702">
        <w:instrText xml:space="preserve"> </w:instrText>
      </w:r>
      <w:r w:rsidRPr="00B50702">
        <w:instrText>（</w:instrText>
      </w:r>
      <w:r w:rsidRPr="00B50702">
        <w:instrText>MD</w:instrText>
      </w:r>
      <w:r w:rsidRPr="00B50702">
        <w:instrText>）</w:instrText>
      </w:r>
      <w:r w:rsidRPr="00B50702">
        <w:instrText xml:space="preserve"> </w:instrText>
      </w:r>
      <w:r w:rsidRPr="00B50702">
        <w:instrText>模拟轨迹进行动画处理，这些轨迹可以从文件导入或从直接连接到正在运行的</w:instrText>
      </w:r>
      <w:r w:rsidRPr="00B50702">
        <w:instrText xml:space="preserve"> MD </w:instrText>
      </w:r>
      <w:r w:rsidRPr="00B50702">
        <w:instrText>模拟导入。</w:instrText>
      </w:r>
      <w:r w:rsidRPr="00B50702">
        <w:instrText>VMD</w:instrText>
      </w:r>
      <w:r w:rsidRPr="00B50702">
        <w:instrText>是</w:instrText>
      </w:r>
      <w:r w:rsidRPr="00B50702">
        <w:instrText>MDScope</w:instrText>
      </w:r>
      <w:r w:rsidRPr="00B50702">
        <w:instrText>的可视化组件，</w:instrText>
      </w:r>
      <w:r w:rsidRPr="00B50702">
        <w:instrText>MDScope</w:instrText>
      </w:r>
      <w:r w:rsidRPr="00B50702">
        <w:instrText>是一组用于结构生物学中交互式问题解决的工具，其中还包括并行</w:instrText>
      </w:r>
      <w:r w:rsidRPr="00B50702">
        <w:instrText>MD</w:instrText>
      </w:r>
      <w:r w:rsidRPr="00B50702">
        <w:instrText>程序</w:instrText>
      </w:r>
      <w:r w:rsidRPr="00B50702">
        <w:instrText>NAMD</w:instrText>
      </w:r>
      <w:r w:rsidRPr="00B50702">
        <w:instrText>以及用于连接可视化和模拟程序的</w:instrText>
      </w:r>
      <w:r w:rsidRPr="00B50702">
        <w:instrText>MDCOMM</w:instrText>
      </w:r>
      <w:r w:rsidRPr="00B50702">
        <w:instrText>软件。</w:instrText>
      </w:r>
      <w:r w:rsidRPr="00B50702">
        <w:instrText xml:space="preserve">VMD </w:instrText>
      </w:r>
      <w:r w:rsidRPr="00B50702">
        <w:instrText>是用</w:instrText>
      </w:r>
      <w:r w:rsidRPr="00B50702">
        <w:instrText xml:space="preserve"> C++ </w:instrText>
      </w:r>
      <w:r w:rsidRPr="00B50702">
        <w:instrText>编写的，使用面向对象的设计</w:instrText>
      </w:r>
      <w:r w:rsidRPr="00B50702">
        <w:instrText>;</w:instrText>
      </w:r>
      <w:r w:rsidRPr="00B50702">
        <w:instrText>该程序，包括源代码和大量文档，可通过匿名</w:instrText>
      </w:r>
      <w:r w:rsidRPr="00B50702">
        <w:instrText xml:space="preserve"> ftp </w:instrText>
      </w:r>
      <w:r w:rsidRPr="00B50702">
        <w:instrText>和万维网免费获得。</w:instrText>
      </w:r>
      <w:r w:rsidRPr="00B50702">
        <w:instrText xml:space="preserve">","page":"33-38","source":"Crossref","title":"VMD: Visual molecular dynamics","title-short":"VMD","volume":"14","author":[{"family":"Humphrey","given":"William"},{"family":"Dalke","given":"Andrew"},{"family":"Schulten","given":"Klaus"}],"issued":{"date-parts":[["1996",2]]}}}],"schema":"https://github.com/citation-style-language/schema/raw/master/csl-citation.json"} </w:instrText>
      </w:r>
      <w:r w:rsidRPr="00B50702">
        <w:fldChar w:fldCharType="separate"/>
      </w:r>
      <w:r w:rsidRPr="00B50702">
        <w:t>[7]</w:t>
      </w:r>
      <w:r w:rsidRPr="00B50702">
        <w:fldChar w:fldCharType="end"/>
      </w:r>
      <w:r w:rsidRPr="00C24A2D">
        <w:t xml:space="preserve"> and the open-source </w:t>
      </w:r>
      <w:proofErr w:type="spellStart"/>
      <w:r w:rsidRPr="00C24A2D">
        <w:t>Gnuplot</w:t>
      </w:r>
      <w:proofErr w:type="spellEnd"/>
      <w:r w:rsidRPr="00C24A2D">
        <w:t xml:space="preserve"> software package for generating color scatter plots to obtain visual images. The electrostatic potential (ESP) </w:t>
      </w:r>
      <w:r w:rsidRPr="00B50702">
        <w:fldChar w:fldCharType="begin"/>
      </w:r>
      <w:r w:rsidRPr="00B50702">
        <w:instrText xml:space="preserve"> ADDIN ZOTERO_ITEM CSL_CITATION {"citationID":"wnllCzmN","properties":{"formattedCitation":"[8]","plainCitation":"[8]","noteIndex":0},"citationItems":[{"id":849,"uris":["http://zotero.org/users/14169885/items/8B62IWXW"],"itemData":{"id":849,"type":"article-journal","abstract":"The computerized optimized code enables Multiwfn to carry out large scale electronstatic potential analyses for systems of considerable size.","container-title":"Physical Chemistry Chemical Physics","DOI":"10.1039/d1cp02805g","ISSN":"1463-9076, 1463-9084","issue":"36","journalAbbreviation":"Phys. Chem. Chem. Phys.","language":"en","license":"http://rsc.li/journals-terms-of-use","note":"publisher: Royal Society of Chemistry (RSC)\ntitleTranslation: </w:instrText>
      </w:r>
      <w:r w:rsidRPr="00B50702">
        <w:instrText>使用计算机优化代码对静电势进行高效评估</w:instrText>
      </w:r>
      <w:r w:rsidRPr="00B50702">
        <w:instrText xml:space="preserve">\nabstractTranslation: </w:instrText>
      </w:r>
      <w:r w:rsidRPr="00B50702">
        <w:instrText>计算机优化的代码使</w:instrText>
      </w:r>
      <w:r w:rsidRPr="00B50702">
        <w:instrText>Multiwfn</w:instrText>
      </w:r>
      <w:r w:rsidRPr="00B50702">
        <w:instrText>能够对相当大的系统进行大规模的静电势分析。</w:instrText>
      </w:r>
      <w:r w:rsidRPr="00B50702">
        <w:instrText xml:space="preserve">","page":"20323-20328","source":"Crossref","title":"Efficient evaluation of electrostatic potential with computerized optimized code","volume":"23","author":[{"family":"Zhang","given":"Jun"},{"family":"Lu","given":"Tian"}],"issued":{"date-parts":[["2021"]]}}}],"schema":"https://github.com/citation-style-language/schema/raw/master/csl-citation.json"} </w:instrText>
      </w:r>
      <w:r w:rsidRPr="00B50702">
        <w:fldChar w:fldCharType="separate"/>
      </w:r>
      <w:r w:rsidRPr="00B50702">
        <w:t>[8]</w:t>
      </w:r>
      <w:r w:rsidRPr="00B50702">
        <w:fldChar w:fldCharType="end"/>
      </w:r>
      <w:r w:rsidRPr="00C24A2D">
        <w:t xml:space="preserve"> analysis was conducted via the wavefunction analysis software </w:t>
      </w:r>
      <w:proofErr w:type="spellStart"/>
      <w:r w:rsidRPr="00C24A2D">
        <w:t>Multiwfn</w:t>
      </w:r>
      <w:proofErr w:type="spellEnd"/>
      <w:r w:rsidRPr="00C24A2D">
        <w:t xml:space="preserve"> </w:t>
      </w:r>
      <w:r w:rsidRPr="00B50702">
        <w:fldChar w:fldCharType="begin"/>
      </w:r>
      <w:r w:rsidRPr="00B50702">
        <w:instrText xml:space="preserve"> ADDIN ZOTERO_ITEM CSL_CITATION {"citationID":"aT1lhI6B","properties":{"formattedCitation":"[9]","plainCitation":"[9]","noteIndex":0},"citationItems":[{"id":847,"uris":["http://zotero.org/users/14169885/items/VTRW25EX"],"itemData":{"id":847,"type":"article-journal","abstract":"AbstractMultiwfn is a multifunctional program for wavefunction analysis. Its main functions are: (1) Calculating and visualizing real space function, such as electrostatic potential and electron localization function at point, in a line, in a plane or in a spatial scope. (2) Population analysis. (3) Bond order analysis. (4) Orbital composition analysis. (5) Plot density‐of‐states and spectrum. (6) Topology analysis for electron density. Some other useful utilities involved in quantum chemistry studies are also provided. The built‐in graph module enables the results of wavefunction analysis to be plotted directly or exported to high‐quality graphic file. The program interface is very user‐friendly and suitable for both research and teaching purpose. The code of Multiwfn is substantially optimized and parallelized. Its efficiency is demonstrated to be significantly higher than related programs with the same functions. Five practical examples involving a wide variety of systems and analysis methods are given to illustrate the usefulness of Multiwfn. The program is free of charge and open‐source. Its precompiled file and source codes are available from http://multiwfn.codeplex.com. © 2011 Wiley Periodicals, Inc. J Comput Chem, 2011","container-title":"Journal of Computational Chemistry","DOI":"10.1002/jcc.22885","ISSN":"0192-8651, 1096-987X","issue":"5","journalAbbreviation":"J Comput Chem","language":"en","license":"http://onlinelibrary.wiley.com/termsAndConditions#vor","note":"publisher: Wiley\ntitleTranslation: Multiwfn</w:instrText>
      </w:r>
      <w:r w:rsidRPr="00B50702">
        <w:instrText>：多功能波函数分析仪</w:instrText>
      </w:r>
      <w:r w:rsidRPr="00B50702">
        <w:instrText xml:space="preserve">\nabstractTranslation: </w:instrText>
      </w:r>
      <w:r w:rsidRPr="00B50702">
        <w:instrText>摘要</w:instrText>
      </w:r>
      <w:r w:rsidRPr="00B50702">
        <w:instrText>Multiwfn</w:instrText>
      </w:r>
      <w:r w:rsidRPr="00B50702">
        <w:instrText>是一个用于波函数分析的多功能程序。其主要功能是：（</w:instrText>
      </w:r>
      <w:r w:rsidRPr="00B50702">
        <w:instrText>1</w:instrText>
      </w:r>
      <w:r w:rsidRPr="00B50702">
        <w:instrText>）计算和可视化真实空间函数，如点、线、平面或空间范围内的静电势和电子定位函数。（</w:instrText>
      </w:r>
      <w:r w:rsidRPr="00B50702">
        <w:instrText>2</w:instrText>
      </w:r>
      <w:r w:rsidRPr="00B50702">
        <w:instrText>）人口分析。（</w:instrText>
      </w:r>
      <w:r w:rsidRPr="00B50702">
        <w:instrText>3</w:instrText>
      </w:r>
      <w:r w:rsidRPr="00B50702">
        <w:instrText>）债券顺序分析。（</w:instrText>
      </w:r>
      <w:r w:rsidRPr="00B50702">
        <w:instrText>4</w:instrText>
      </w:r>
      <w:r w:rsidRPr="00B50702">
        <w:instrText>）轨道成分分析。（</w:instrText>
      </w:r>
      <w:r w:rsidRPr="00B50702">
        <w:instrText>5</w:instrText>
      </w:r>
      <w:r w:rsidRPr="00B50702">
        <w:instrText>）绘图状态密度和光谱。（</w:instrText>
      </w:r>
      <w:r w:rsidRPr="00B50702">
        <w:instrText>6</w:instrText>
      </w:r>
      <w:r w:rsidRPr="00B50702">
        <w:instrText>）电子密度的拓扑分析。还提供了量子化学研究中涉及的其他一些有用的实用程序。内置的图形模块可以直接绘制波函数分析的结果或导出到高质量的图形文件。程序界面非常人性化，适用于研究和教学目的。</w:instrText>
      </w:r>
      <w:r w:rsidRPr="00B50702">
        <w:instrText xml:space="preserve">Multiwfn </w:instrText>
      </w:r>
      <w:r w:rsidRPr="00B50702">
        <w:instrText>的代码经过大幅优化和并行化。其效率被证明明显高于具有相同功能的相关程序。给出了涉及各种系统和分析方法的五个实际示例来说明</w:instrText>
      </w:r>
      <w:r w:rsidRPr="00B50702">
        <w:instrText>Multiwfn</w:instrText>
      </w:r>
      <w:r w:rsidRPr="00B50702">
        <w:instrText>的有用性。该程序是免费和开源的。其预编译文件和源代码可从</w:instrText>
      </w:r>
      <w:r w:rsidRPr="00B50702">
        <w:instrText xml:space="preserve"> http://multiwfn.codeplex.com </w:instrText>
      </w:r>
      <w:r w:rsidRPr="00B50702">
        <w:instrText>获得。</w:instrText>
      </w:r>
      <w:r w:rsidRPr="00B50702">
        <w:instrText>© 2011 Wiley Periodicals</w:instrText>
      </w:r>
      <w:r w:rsidRPr="00B50702">
        <w:instrText>，</w:instrText>
      </w:r>
      <w:r w:rsidRPr="00B50702">
        <w:instrText xml:space="preserve"> Inc. J Comput Chem</w:instrText>
      </w:r>
      <w:r w:rsidRPr="00B50702">
        <w:instrText>，</w:instrText>
      </w:r>
      <w:r w:rsidRPr="00B50702">
        <w:instrText xml:space="preserve">2011 </w:instrText>
      </w:r>
      <w:r w:rsidRPr="00B50702">
        <w:instrText>年</w:instrText>
      </w:r>
      <w:r w:rsidRPr="00B50702">
        <w:instrText xml:space="preserve">","page":"580-592","source":"Crossref","title":"Multiwfn: A multifunctional wavefunction analyzer","title-short":"Multiwfn","volume":"33","author":[{"family":"Lu","given":"Tian"},{"family":"Chen","given":"Feiwu"}],"issued":{"date-parts":[["2012",2,15]]}}}],"schema":"https://github.com/citation-style-language/schema/raw/master/csl-citation.json"} </w:instrText>
      </w:r>
      <w:r w:rsidRPr="00B50702">
        <w:fldChar w:fldCharType="separate"/>
      </w:r>
      <w:r w:rsidRPr="00B50702">
        <w:t>[9]</w:t>
      </w:r>
      <w:r w:rsidRPr="00B50702">
        <w:fldChar w:fldCharType="end"/>
      </w:r>
      <w:r w:rsidRPr="00C24A2D">
        <w:t>.</w:t>
      </w:r>
    </w:p>
    <w:p w14:paraId="0F803694" w14:textId="77777777" w:rsidR="007E3433" w:rsidRPr="00B50702" w:rsidRDefault="007E3433" w:rsidP="007E3433">
      <w:pPr>
        <w:widowControl/>
        <w:tabs>
          <w:tab w:val="center" w:pos="4253"/>
          <w:tab w:val="center" w:pos="6663"/>
        </w:tabs>
        <w:ind w:firstLine="240"/>
        <w:jc w:val="both"/>
        <w:rPr>
          <w:rFonts w:cs="Times New Roman"/>
        </w:rPr>
      </w:pPr>
      <w:r w:rsidRPr="00B50702">
        <w:rPr>
          <w:rFonts w:cs="Times New Roman"/>
        </w:rPr>
        <w:tab/>
      </w:r>
      <m:oMath>
        <m:r>
          <m:rPr>
            <m:nor/>
          </m:rPr>
          <w:rPr>
            <w:rFonts w:cs="Times New Roman"/>
            <w:sz w:val="28"/>
            <w:szCs w:val="28"/>
          </w:rPr>
          <m:t>IRI</m:t>
        </m:r>
        <m:r>
          <w:rPr>
            <w:rFonts w:ascii="Cambria Math" w:hAnsi="Cambria Math" w:cs="Times New Roman"/>
            <w:sz w:val="28"/>
            <w:szCs w:val="28"/>
          </w:rPr>
          <m:t>=</m:t>
        </m:r>
        <m:f>
          <m:fPr>
            <m:ctrlPr>
              <w:rPr>
                <w:rFonts w:ascii="Cambria Math" w:hAnsi="Cambria Math" w:cs="Times New Roman"/>
                <w:i/>
                <w:sz w:val="28"/>
                <w:szCs w:val="28"/>
              </w:rPr>
            </m:ctrlPr>
          </m:fPr>
          <m:num>
            <m:d>
              <m:dPr>
                <m:begChr m:val="|"/>
                <m:endChr m:val="|"/>
                <m:ctrlPr>
                  <w:rPr>
                    <w:rFonts w:ascii="Cambria Math" w:hAnsi="Cambria Math" w:cs="Times New Roman"/>
                    <w:sz w:val="28"/>
                    <w:szCs w:val="28"/>
                  </w:rPr>
                </m:ctrlPr>
              </m:dPr>
              <m:e>
                <m:r>
                  <w:rPr>
                    <w:rFonts w:ascii="Cambria Math" w:hAnsi="Cambria Math" w:cs="Times New Roman"/>
                    <w:sz w:val="28"/>
                    <w:szCs w:val="28"/>
                  </w:rPr>
                  <m:t>∇ρ(r)</m:t>
                </m:r>
              </m:e>
            </m:d>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ρ(r)</m:t>
                    </m:r>
                  </m:e>
                </m:d>
              </m:e>
              <m:sup>
                <m:r>
                  <w:rPr>
                    <w:rFonts w:ascii="Cambria Math" w:hAnsi="Cambria Math" w:cs="Times New Roman"/>
                    <w:sz w:val="28"/>
                    <w:szCs w:val="28"/>
                  </w:rPr>
                  <m:t>a</m:t>
                </m:r>
              </m:sup>
            </m:sSup>
          </m:den>
        </m:f>
      </m:oMath>
      <w:r w:rsidRPr="00B50702">
        <w:rPr>
          <w:rFonts w:cs="Times New Roman"/>
        </w:rPr>
        <w:tab/>
      </w:r>
      <w:r w:rsidRPr="00264F0C">
        <w:rPr>
          <w:rFonts w:cs="Times New Roman"/>
        </w:rPr>
        <w:t>(</w:t>
      </w:r>
      <w:r w:rsidRPr="00B50702">
        <w:rPr>
          <w:rFonts w:cs="Times New Roman"/>
        </w:rPr>
        <w:t>1</w:t>
      </w:r>
      <w:r w:rsidRPr="00264F0C">
        <w:rPr>
          <w:rFonts w:cs="Times New Roman"/>
        </w:rPr>
        <w:t>)</w:t>
      </w:r>
    </w:p>
    <w:p w14:paraId="44BA7F9E" w14:textId="77777777" w:rsidR="007E3433" w:rsidRPr="00B50702" w:rsidRDefault="007E3433" w:rsidP="007E3433">
      <w:pPr>
        <w:ind w:firstLine="240"/>
        <w:jc w:val="both"/>
      </w:pPr>
      <w:r w:rsidRPr="00F55CB3">
        <w:t xml:space="preserve">In the equation, </w:t>
      </w:r>
      <w:r w:rsidRPr="00F55CB3">
        <w:rPr>
          <w:i/>
          <w:iCs/>
        </w:rPr>
        <w:t>a</w:t>
      </w:r>
      <w:r w:rsidRPr="00F55CB3">
        <w:t xml:space="preserve"> is an adjustable parameter, and the standard definition of IRI uses </w:t>
      </w:r>
      <w:r w:rsidRPr="00F55CB3">
        <w:rPr>
          <w:i/>
          <w:iCs/>
        </w:rPr>
        <w:t>a</w:t>
      </w:r>
      <w:r w:rsidRPr="00F55CB3">
        <w:t xml:space="preserve"> = 1. </w:t>
      </w:r>
      <w:r w:rsidRPr="00F55CB3">
        <w:rPr>
          <w:i/>
          <w:iCs/>
        </w:rPr>
        <w:t>ρ</w:t>
      </w:r>
      <w:r w:rsidRPr="00F55CB3">
        <w:t xml:space="preserve"> represents the electron density, and </w:t>
      </w:r>
      <w:r w:rsidRPr="00F55CB3">
        <w:rPr>
          <w:i/>
          <w:iCs/>
        </w:rPr>
        <w:t>r</w:t>
      </w:r>
      <w:r w:rsidRPr="00F55CB3">
        <w:t xml:space="preserve"> denotes the interatomic distance.</w:t>
      </w:r>
      <w:r w:rsidRPr="00B50702">
        <w:t xml:space="preserve">     </w:t>
      </w:r>
    </w:p>
    <w:p w14:paraId="41BE9E8D" w14:textId="77777777" w:rsidR="007E3433" w:rsidRDefault="007E3433" w:rsidP="007E3433">
      <w:pPr>
        <w:ind w:firstLineChars="0" w:firstLine="0"/>
        <w:jc w:val="both"/>
        <w:rPr>
          <w:rFonts w:cs="Times New Roman"/>
          <w:b/>
          <w:bCs/>
          <w:sz w:val="32"/>
          <w:szCs w:val="28"/>
        </w:rPr>
      </w:pPr>
      <w:r w:rsidRPr="00B50702">
        <w:rPr>
          <w:rFonts w:cs="Times New Roman"/>
          <w:b/>
          <w:bCs/>
          <w:sz w:val="32"/>
          <w:szCs w:val="28"/>
        </w:rPr>
        <w:t xml:space="preserve">4. </w:t>
      </w:r>
      <w:r w:rsidRPr="00CB51AF">
        <w:rPr>
          <w:rFonts w:cs="Times New Roman"/>
          <w:b/>
          <w:bCs/>
          <w:sz w:val="32"/>
          <w:szCs w:val="28"/>
        </w:rPr>
        <w:t>Iodine Adsorption Experiments</w:t>
      </w:r>
    </w:p>
    <w:p w14:paraId="48D54C02" w14:textId="77777777" w:rsidR="007E3433" w:rsidRPr="000426C5" w:rsidRDefault="007E3433" w:rsidP="007E3433">
      <w:pPr>
        <w:ind w:firstLineChars="0" w:firstLine="0"/>
        <w:jc w:val="both"/>
        <w:rPr>
          <w:rFonts w:eastAsiaTheme="minorEastAsia" w:cs="Times New Roman"/>
          <w:b/>
          <w:bCs/>
        </w:rPr>
      </w:pPr>
      <w:r w:rsidRPr="000426C5">
        <w:rPr>
          <w:rFonts w:eastAsiaTheme="minorEastAsia" w:cs="Times New Roman" w:hint="eastAsia"/>
          <w:b/>
          <w:bCs/>
        </w:rPr>
        <w:t>4</w:t>
      </w:r>
      <w:r w:rsidRPr="000426C5">
        <w:rPr>
          <w:rFonts w:eastAsiaTheme="minorEastAsia" w:cs="Times New Roman"/>
          <w:b/>
          <w:bCs/>
        </w:rPr>
        <w:t>.1 Iodine Adsorption Capacity Test</w:t>
      </w:r>
    </w:p>
    <w:p w14:paraId="39D1B8D3" w14:textId="77777777" w:rsidR="007E3433" w:rsidRPr="00CB51AF" w:rsidRDefault="007E3433" w:rsidP="007E3433">
      <w:pPr>
        <w:ind w:firstLine="240"/>
        <w:jc w:val="both"/>
      </w:pPr>
      <w:r w:rsidRPr="00CB51AF">
        <w:t xml:space="preserve">The PEI@PAA aerogel was dried in a vacuum drying oven at 100 °C for 12 h. Then, a PEI@PAA aerogel with a mass of </w:t>
      </w:r>
      <w:r w:rsidRPr="00D012AC">
        <w:t>m</w:t>
      </w:r>
      <w:r w:rsidRPr="00D012AC">
        <w:rPr>
          <w:vertAlign w:val="subscript"/>
        </w:rPr>
        <w:t>1</w:t>
      </w:r>
      <w:r w:rsidRPr="00CB51AF">
        <w:t xml:space="preserve"> was weighed and placed in a 5 mL beaker. The beaker was transferred to a 200 mL quartz jar (with internal threads and a polytetrafluoroethylene lid). Subsequently, iodine powder with a mass of </w:t>
      </w:r>
      <w:r w:rsidRPr="00D012AC">
        <w:t>m</w:t>
      </w:r>
      <w:r w:rsidRPr="00D012AC">
        <w:rPr>
          <w:vertAlign w:val="subscript"/>
        </w:rPr>
        <w:t>3</w:t>
      </w:r>
      <w:r w:rsidRPr="00CB51AF">
        <w:t xml:space="preserve"> was weighed and poured into the quartz jar, and the jar mouth was quickly tightened. After that, the sealed quartz jar was transferred to a thermostat at temperature T for the static gaseous iodine adsorption experiment. When the predetermined time </w:t>
      </w:r>
      <w:proofErr w:type="spellStart"/>
      <w:r w:rsidRPr="00CB51AF">
        <w:t>t</w:t>
      </w:r>
      <w:proofErr w:type="spellEnd"/>
      <w:r w:rsidRPr="00CB51AF">
        <w:t xml:space="preserve"> was reached, the quartz jar was taken out of the thermostat, and the mass of the aerogel after adsorption was weighed and recorded as </w:t>
      </w:r>
      <w:r w:rsidRPr="00D012AC">
        <w:t>m</w:t>
      </w:r>
      <w:r w:rsidRPr="00D012AC">
        <w:rPr>
          <w:vertAlign w:val="subscript"/>
        </w:rPr>
        <w:t>2</w:t>
      </w:r>
      <w:r w:rsidRPr="00CB51AF">
        <w:t>. The adsorbed sample was denoted as PEI@PAA-</w:t>
      </w:r>
      <w:r w:rsidRPr="00D012AC">
        <w:t>I</w:t>
      </w:r>
      <w:r w:rsidRPr="00D012AC">
        <w:rPr>
          <w:vertAlign w:val="subscript"/>
        </w:rPr>
        <w:t>2</w:t>
      </w:r>
      <w:r w:rsidRPr="00CB51AF">
        <w:t>.</w:t>
      </w:r>
    </w:p>
    <w:p w14:paraId="3DAC5729" w14:textId="77777777" w:rsidR="007E3433" w:rsidRPr="00CB51AF" w:rsidRDefault="007E3433" w:rsidP="007E3433">
      <w:pPr>
        <w:ind w:firstLine="240"/>
        <w:jc w:val="both"/>
      </w:pPr>
      <w:r w:rsidRPr="00CB51AF">
        <w:t>To ensure the reliability and repeatability of the data, the adsorption experiments under each condition were independently conducted three times, and the final results were taken as the average value. The iodine adsorption capacity (</w:t>
      </w:r>
      <w:r w:rsidRPr="00D012AC">
        <w:rPr>
          <w:i/>
          <w:iCs/>
        </w:rPr>
        <w:t>q</w:t>
      </w:r>
      <w:r w:rsidRPr="00D012AC">
        <w:t>, g</w:t>
      </w:r>
      <w:r>
        <w:rPr>
          <w:rFonts w:ascii="Segoe UI" w:hAnsi="Segoe UI" w:cs="Segoe UI"/>
          <w:shd w:val="clear" w:color="auto" w:fill="FFFFFF"/>
        </w:rPr>
        <w:t>·</w:t>
      </w:r>
      <w:r w:rsidRPr="00D012AC">
        <w:t>g</w:t>
      </w:r>
      <w:r w:rsidRPr="005522B3">
        <w:rPr>
          <w:vertAlign w:val="superscript"/>
        </w:rPr>
        <w:t>-1</w:t>
      </w:r>
      <w:r w:rsidRPr="00CB51AF">
        <w:t>) of the aerogel was calculated according to the following formula:</w:t>
      </w:r>
    </w:p>
    <w:p w14:paraId="179897F0" w14:textId="77777777" w:rsidR="007E3433" w:rsidRPr="00D012AC" w:rsidRDefault="007E3433" w:rsidP="007E3433">
      <w:pPr>
        <w:tabs>
          <w:tab w:val="center" w:pos="4253"/>
          <w:tab w:val="decimal" w:pos="6663"/>
        </w:tabs>
        <w:ind w:firstLine="240"/>
        <w:jc w:val="both"/>
        <w:rPr>
          <w:rFonts w:cs="Times New Roman"/>
        </w:rPr>
      </w:pPr>
      <w:r w:rsidRPr="00D012AC">
        <w:rPr>
          <w:rFonts w:cs="Times New Roman"/>
        </w:rPr>
        <w:tab/>
      </w:r>
      <m:oMath>
        <m:r>
          <m:rPr>
            <m:nor/>
          </m:rPr>
          <w:rPr>
            <w:rFonts w:cs="Times New Roman"/>
            <w:i/>
            <w:iCs/>
            <w:sz w:val="28"/>
            <w:szCs w:val="28"/>
          </w:rPr>
          <m:t xml:space="preserve">q </m:t>
        </m:r>
        <m:r>
          <m:rPr>
            <m:nor/>
          </m:rPr>
          <w:rPr>
            <w:rFonts w:cs="Times New Roman"/>
            <w:sz w:val="28"/>
            <w:szCs w:val="28"/>
          </w:rPr>
          <m:t xml:space="preserve">= </m:t>
        </m:r>
        <m:f>
          <m:fPr>
            <m:ctrlPr>
              <w:rPr>
                <w:rFonts w:ascii="DejaVu Math TeX Gyre" w:hAnsi="DejaVu Math TeX Gyre" w:cs="Times New Roman"/>
                <w:i/>
                <w:iCs/>
                <w:sz w:val="28"/>
                <w:szCs w:val="28"/>
              </w:rPr>
            </m:ctrlPr>
          </m:fPr>
          <m:num>
            <m:sSub>
              <m:sSubPr>
                <m:ctrlPr>
                  <w:rPr>
                    <w:rFonts w:ascii="DejaVu Math TeX Gyre" w:hAnsi="DejaVu Math TeX Gyre" w:cs="Times New Roman"/>
                    <w:i/>
                    <w:iCs/>
                    <w:sz w:val="28"/>
                    <w:szCs w:val="28"/>
                  </w:rPr>
                </m:ctrlPr>
              </m:sSubPr>
              <m:e>
                <m:r>
                  <m:rPr>
                    <m:nor/>
                  </m:rPr>
                  <w:rPr>
                    <w:rFonts w:cs="Times New Roman"/>
                    <w:i/>
                    <w:iCs/>
                    <w:sz w:val="28"/>
                    <w:szCs w:val="28"/>
                  </w:rPr>
                  <m:t>m</m:t>
                </m:r>
              </m:e>
              <m:sub>
                <m:r>
                  <m:rPr>
                    <m:nor/>
                  </m:rPr>
                  <w:rPr>
                    <w:rFonts w:cs="Times New Roman"/>
                    <w:sz w:val="28"/>
                    <w:szCs w:val="28"/>
                  </w:rPr>
                  <m:t>2</m:t>
                </m:r>
              </m:sub>
            </m:sSub>
            <m:r>
              <m:rPr>
                <m:nor/>
              </m:rPr>
              <w:rPr>
                <w:rFonts w:cs="Times New Roman"/>
                <w:i/>
                <w:iCs/>
                <w:sz w:val="28"/>
                <w:szCs w:val="28"/>
              </w:rPr>
              <m:t>-</m:t>
            </m:r>
            <m:sSub>
              <m:sSubPr>
                <m:ctrlPr>
                  <w:rPr>
                    <w:rFonts w:ascii="DejaVu Math TeX Gyre" w:hAnsi="DejaVu Math TeX Gyre" w:cs="Times New Roman"/>
                    <w:i/>
                    <w:iCs/>
                    <w:sz w:val="28"/>
                    <w:szCs w:val="28"/>
                  </w:rPr>
                </m:ctrlPr>
              </m:sSubPr>
              <m:e>
                <m:r>
                  <m:rPr>
                    <m:nor/>
                  </m:rPr>
                  <w:rPr>
                    <w:rFonts w:cs="Times New Roman"/>
                    <w:i/>
                    <w:iCs/>
                    <w:sz w:val="28"/>
                    <w:szCs w:val="28"/>
                  </w:rPr>
                  <m:t>m</m:t>
                </m:r>
              </m:e>
              <m:sub>
                <m:r>
                  <m:rPr>
                    <m:nor/>
                  </m:rPr>
                  <w:rPr>
                    <w:rFonts w:cs="Times New Roman"/>
                    <w:sz w:val="28"/>
                    <w:szCs w:val="28"/>
                  </w:rPr>
                  <m:t>1</m:t>
                </m:r>
              </m:sub>
            </m:sSub>
          </m:num>
          <m:den>
            <m:sSub>
              <m:sSubPr>
                <m:ctrlPr>
                  <w:rPr>
                    <w:rFonts w:ascii="DejaVu Math TeX Gyre" w:hAnsi="DejaVu Math TeX Gyre" w:cs="Times New Roman"/>
                    <w:i/>
                    <w:iCs/>
                    <w:sz w:val="28"/>
                    <w:szCs w:val="28"/>
                  </w:rPr>
                </m:ctrlPr>
              </m:sSubPr>
              <m:e>
                <m:r>
                  <m:rPr>
                    <m:nor/>
                  </m:rPr>
                  <w:rPr>
                    <w:rFonts w:cs="Times New Roman"/>
                    <w:i/>
                    <w:iCs/>
                    <w:sz w:val="28"/>
                    <w:szCs w:val="28"/>
                  </w:rPr>
                  <m:t>m</m:t>
                </m:r>
              </m:e>
              <m:sub>
                <m:r>
                  <m:rPr>
                    <m:nor/>
                  </m:rPr>
                  <w:rPr>
                    <w:rFonts w:cs="Times New Roman"/>
                    <w:sz w:val="28"/>
                    <w:szCs w:val="28"/>
                  </w:rPr>
                  <m:t>1</m:t>
                </m:r>
              </m:sub>
            </m:sSub>
          </m:den>
        </m:f>
      </m:oMath>
      <w:r w:rsidRPr="00D012AC">
        <w:rPr>
          <w:rFonts w:cs="Times New Roman"/>
          <w:i/>
        </w:rPr>
        <w:tab/>
      </w:r>
      <w:r w:rsidRPr="00D012AC">
        <w:rPr>
          <w:rFonts w:cs="Times New Roman"/>
          <w:i/>
        </w:rPr>
        <w:tab/>
      </w:r>
      <w:r w:rsidRPr="00264F0C">
        <w:rPr>
          <w:rFonts w:cs="Times New Roman"/>
        </w:rPr>
        <w:t>(</w:t>
      </w:r>
      <w:r>
        <w:rPr>
          <w:rFonts w:cs="Times New Roman"/>
        </w:rPr>
        <w:t>2</w:t>
      </w:r>
      <w:r w:rsidRPr="00264F0C">
        <w:rPr>
          <w:rFonts w:cs="Times New Roman"/>
        </w:rPr>
        <w:t>)</w:t>
      </w:r>
      <w:r w:rsidRPr="00D012AC">
        <w:rPr>
          <w:rFonts w:cs="Times New Roman"/>
        </w:rPr>
        <w:tab/>
      </w:r>
    </w:p>
    <w:p w14:paraId="54099612" w14:textId="77777777" w:rsidR="007E3433" w:rsidRDefault="007E3433" w:rsidP="007E3433">
      <w:pPr>
        <w:ind w:firstLine="240"/>
        <w:jc w:val="both"/>
      </w:pPr>
      <w:r w:rsidRPr="00CB51AF">
        <w:t xml:space="preserve">where </w:t>
      </w:r>
      <w:r w:rsidRPr="005522B3">
        <w:rPr>
          <w:i/>
          <w:iCs/>
        </w:rPr>
        <w:t>q</w:t>
      </w:r>
      <w:r w:rsidRPr="00CB51AF">
        <w:t xml:space="preserve"> (g·g</w:t>
      </w:r>
      <w:r w:rsidRPr="005522B3">
        <w:rPr>
          <w:vertAlign w:val="superscript"/>
        </w:rPr>
        <w:t>-1</w:t>
      </w:r>
      <w:r w:rsidRPr="00CB51AF">
        <w:t xml:space="preserve">) is the adsorption capacity of the sample, </w:t>
      </w:r>
      <w:r w:rsidRPr="005522B3">
        <w:rPr>
          <w:i/>
          <w:iCs/>
        </w:rPr>
        <w:t>m</w:t>
      </w:r>
      <w:r w:rsidRPr="005522B3">
        <w:rPr>
          <w:vertAlign w:val="subscript"/>
        </w:rPr>
        <w:t>1</w:t>
      </w:r>
      <w:r w:rsidRPr="00CB51AF">
        <w:t xml:space="preserve"> (g) is the mass of the sample before adsorption, and </w:t>
      </w:r>
      <w:r w:rsidRPr="005522B3">
        <w:rPr>
          <w:i/>
          <w:iCs/>
        </w:rPr>
        <w:t>m</w:t>
      </w:r>
      <w:r w:rsidRPr="005522B3">
        <w:rPr>
          <w:vertAlign w:val="subscript"/>
        </w:rPr>
        <w:t>2</w:t>
      </w:r>
      <w:r w:rsidRPr="00CB51AF">
        <w:t xml:space="preserve"> (g) is the mass of the sample after adsorption.</w:t>
      </w:r>
    </w:p>
    <w:p w14:paraId="0ECF201C" w14:textId="77777777" w:rsidR="007E3433" w:rsidRDefault="007E3433" w:rsidP="007E3433">
      <w:pPr>
        <w:ind w:firstLine="240"/>
        <w:jc w:val="both"/>
      </w:pPr>
      <w:r w:rsidRPr="005522B3">
        <w:lastRenderedPageBreak/>
        <w:t>The initial concentration of iodine vapor was calculated using Equation (2).</w:t>
      </w:r>
      <w:r w:rsidRPr="00D012AC">
        <w:tab/>
      </w:r>
    </w:p>
    <w:p w14:paraId="3B0F9768" w14:textId="77777777" w:rsidR="007E3433" w:rsidRPr="00D012AC" w:rsidRDefault="007E3433" w:rsidP="007E3433">
      <w:pPr>
        <w:tabs>
          <w:tab w:val="center" w:pos="4253"/>
          <w:tab w:val="decimal" w:pos="6663"/>
        </w:tabs>
        <w:ind w:firstLineChars="0" w:firstLine="0"/>
        <w:jc w:val="both"/>
        <w:rPr>
          <w:rFonts w:cs="Times New Roman"/>
          <w:iCs/>
        </w:rPr>
      </w:pPr>
      <w:r>
        <w:rPr>
          <w:rFonts w:cs="Times New Roman"/>
        </w:rPr>
        <w:tab/>
      </w:r>
      <m:oMath>
        <m:r>
          <m:rPr>
            <m:nor/>
          </m:rPr>
          <w:rPr>
            <w:rFonts w:cs="Times New Roman"/>
            <w:i/>
            <w:iCs/>
            <w:sz w:val="28"/>
            <w:szCs w:val="24"/>
          </w:rPr>
          <m:t xml:space="preserve">C </m:t>
        </m:r>
        <m:r>
          <m:rPr>
            <m:nor/>
          </m:rPr>
          <w:rPr>
            <w:rFonts w:cs="Times New Roman"/>
            <w:sz w:val="28"/>
            <w:szCs w:val="24"/>
          </w:rPr>
          <m:t>=</m:t>
        </m:r>
        <m:r>
          <m:rPr>
            <m:nor/>
          </m:rPr>
          <w:rPr>
            <w:rFonts w:cs="Times New Roman"/>
            <w:i/>
            <w:iCs/>
            <w:sz w:val="28"/>
            <w:szCs w:val="24"/>
          </w:rPr>
          <m:t xml:space="preserve"> </m:t>
        </m:r>
        <m:f>
          <m:fPr>
            <m:ctrlPr>
              <w:rPr>
                <w:rFonts w:ascii="DejaVu Math TeX Gyre" w:hAnsi="DejaVu Math TeX Gyre" w:cs="Times New Roman"/>
                <w:i/>
                <w:iCs/>
                <w:sz w:val="28"/>
                <w:szCs w:val="24"/>
              </w:rPr>
            </m:ctrlPr>
          </m:fPr>
          <m:num>
            <m:sSub>
              <m:sSubPr>
                <m:ctrlPr>
                  <w:rPr>
                    <w:rFonts w:ascii="DejaVu Math TeX Gyre" w:hAnsi="DejaVu Math TeX Gyre" w:cs="Times New Roman"/>
                    <w:i/>
                    <w:iCs/>
                    <w:sz w:val="28"/>
                    <w:szCs w:val="24"/>
                  </w:rPr>
                </m:ctrlPr>
              </m:sSubPr>
              <m:e>
                <m:r>
                  <m:rPr>
                    <m:nor/>
                  </m:rPr>
                  <w:rPr>
                    <w:rFonts w:cs="Times New Roman"/>
                    <w:i/>
                    <w:iCs/>
                    <w:sz w:val="28"/>
                    <w:szCs w:val="24"/>
                  </w:rPr>
                  <m:t>m</m:t>
                </m:r>
              </m:e>
              <m:sub>
                <m:r>
                  <m:rPr>
                    <m:nor/>
                  </m:rPr>
                  <w:rPr>
                    <w:rFonts w:cs="Times New Roman"/>
                    <w:sz w:val="28"/>
                    <w:szCs w:val="24"/>
                  </w:rPr>
                  <m:t>3</m:t>
                </m:r>
              </m:sub>
            </m:sSub>
          </m:num>
          <m:den>
            <m:r>
              <m:rPr>
                <m:nor/>
              </m:rPr>
              <w:rPr>
                <w:rFonts w:cs="Times New Roman"/>
                <w:i/>
                <w:iCs/>
                <w:sz w:val="28"/>
                <w:szCs w:val="24"/>
              </w:rPr>
              <m:t>V</m:t>
            </m:r>
          </m:den>
        </m:f>
      </m:oMath>
      <w:r w:rsidRPr="00D012AC">
        <w:rPr>
          <w:rFonts w:cs="Times New Roman"/>
        </w:rPr>
        <w:tab/>
      </w:r>
      <w:r w:rsidRPr="00D012AC">
        <w:rPr>
          <w:rFonts w:cs="Times New Roman"/>
        </w:rPr>
        <w:tab/>
      </w:r>
      <w:r w:rsidRPr="00264F0C">
        <w:rPr>
          <w:rFonts w:cs="Times New Roman"/>
          <w:iCs/>
        </w:rPr>
        <w:t>(</w:t>
      </w:r>
      <w:r>
        <w:rPr>
          <w:rFonts w:cs="Times New Roman"/>
          <w:iCs/>
        </w:rPr>
        <w:t>3</w:t>
      </w:r>
      <w:r w:rsidRPr="00264F0C">
        <w:rPr>
          <w:rFonts w:cs="Times New Roman"/>
          <w:iCs/>
        </w:rPr>
        <w:t>)</w:t>
      </w:r>
      <w:r w:rsidRPr="00D012AC">
        <w:rPr>
          <w:rFonts w:cs="Times New Roman"/>
          <w:iCs/>
        </w:rPr>
        <w:tab/>
      </w:r>
    </w:p>
    <w:p w14:paraId="60304453" w14:textId="77777777" w:rsidR="007E3433" w:rsidRPr="007D7724" w:rsidRDefault="007E3433" w:rsidP="007E3433">
      <w:pPr>
        <w:ind w:firstLine="240"/>
        <w:jc w:val="both"/>
      </w:pPr>
      <w:r>
        <w:t>W</w:t>
      </w:r>
      <w:r w:rsidRPr="007D7724">
        <w:t xml:space="preserve">here </w:t>
      </w:r>
      <w:r w:rsidRPr="00D012AC">
        <w:rPr>
          <w:i/>
        </w:rPr>
        <w:t>C</w:t>
      </w:r>
      <w:r>
        <w:rPr>
          <w:i/>
        </w:rPr>
        <w:t xml:space="preserve"> </w:t>
      </w:r>
      <w:r>
        <w:rPr>
          <w:rFonts w:hint="eastAsia"/>
          <w:iCs/>
        </w:rPr>
        <w:t>(</w:t>
      </w:r>
      <w:r w:rsidRPr="00D012AC">
        <w:rPr>
          <w:iCs/>
        </w:rPr>
        <w:t>g</w:t>
      </w:r>
      <w:r w:rsidRPr="007D7724">
        <w:t>·</w:t>
      </w:r>
      <w:r w:rsidRPr="00D012AC">
        <w:rPr>
          <w:iCs/>
        </w:rPr>
        <w:t>L</w:t>
      </w:r>
      <w:r w:rsidRPr="00D012AC">
        <w:rPr>
          <w:iCs/>
          <w:vertAlign w:val="superscript"/>
        </w:rPr>
        <w:t>-1</w:t>
      </w:r>
      <w:r>
        <w:rPr>
          <w:rFonts w:hint="eastAsia"/>
          <w:iCs/>
        </w:rPr>
        <w:t>)</w:t>
      </w:r>
      <w:r>
        <w:rPr>
          <w:iCs/>
        </w:rPr>
        <w:t xml:space="preserve"> </w:t>
      </w:r>
      <w:r w:rsidRPr="007D7724">
        <w:t xml:space="preserve">is the initial concentration of iodine vapor, </w:t>
      </w:r>
      <w:r w:rsidRPr="00D012AC">
        <w:rPr>
          <w:i/>
        </w:rPr>
        <w:t>m</w:t>
      </w:r>
      <w:r w:rsidRPr="00D012AC">
        <w:rPr>
          <w:iCs/>
          <w:vertAlign w:val="subscript"/>
        </w:rPr>
        <w:t>3</w:t>
      </w:r>
      <w:r w:rsidRPr="007D7724">
        <w:t xml:space="preserve"> (g) is the mass of iodine powder, and </w:t>
      </w:r>
      <w:r w:rsidRPr="00D012AC">
        <w:rPr>
          <w:i/>
        </w:rPr>
        <w:t>V</w:t>
      </w:r>
      <w:r w:rsidRPr="007D7724">
        <w:t xml:space="preserve"> (L) is the volume of the quartz sealed jar.</w:t>
      </w:r>
    </w:p>
    <w:p w14:paraId="36BA124C" w14:textId="77777777" w:rsidR="007E3433" w:rsidRPr="000426C5" w:rsidRDefault="007E3433" w:rsidP="007E3433">
      <w:pPr>
        <w:ind w:firstLineChars="0" w:firstLine="0"/>
        <w:jc w:val="both"/>
        <w:rPr>
          <w:rFonts w:eastAsiaTheme="minorEastAsia" w:cs="Times New Roman"/>
          <w:b/>
          <w:bCs/>
        </w:rPr>
      </w:pPr>
      <w:r w:rsidRPr="000426C5">
        <w:rPr>
          <w:rFonts w:eastAsiaTheme="minorEastAsia" w:cs="Times New Roman"/>
          <w:b/>
          <w:bCs/>
        </w:rPr>
        <w:t>4.2 Batch Experiments - Effect of Reaction Conditions on Adsorption Capacity</w:t>
      </w:r>
    </w:p>
    <w:p w14:paraId="1B5CC7E7" w14:textId="77777777" w:rsidR="007E3433" w:rsidRPr="007D7724" w:rsidRDefault="007E3433" w:rsidP="007E3433">
      <w:pPr>
        <w:ind w:firstLine="240"/>
        <w:jc w:val="both"/>
      </w:pPr>
      <w:r w:rsidRPr="007D7724">
        <w:t>To determine the optimal synthesis conditions for PEI@PAA, we sequentially investigated the effects of the contents of EDC, NHS, and PEI, as well as the grafting time of PEI, on the adsorption capacity.</w:t>
      </w:r>
    </w:p>
    <w:p w14:paraId="516D97AC" w14:textId="77777777" w:rsidR="007E3433" w:rsidRPr="007D7724" w:rsidRDefault="007E3433" w:rsidP="007E3433">
      <w:pPr>
        <w:ind w:firstLine="240"/>
        <w:jc w:val="both"/>
      </w:pPr>
      <w:r w:rsidRPr="007D7724">
        <w:t xml:space="preserve">Approximately 0.2 g of dried PAA was weighed into a 15 mL sample vial, and 10 mL of deionized water was added. Then, following the procedure for modifying PAA with PEI, </w:t>
      </w:r>
      <w:r w:rsidRPr="007D7724">
        <w:rPr>
          <w:i/>
          <w:iCs/>
        </w:rPr>
        <w:t>m</w:t>
      </w:r>
      <w:r w:rsidRPr="007D7724">
        <w:t>(</w:t>
      </w:r>
      <w:r w:rsidRPr="00E63D6E">
        <w:t>EDC</w:t>
      </w:r>
      <w:r w:rsidRPr="007D7724">
        <w:t xml:space="preserve">), </w:t>
      </w:r>
      <w:r w:rsidRPr="007D7724">
        <w:rPr>
          <w:i/>
          <w:iCs/>
        </w:rPr>
        <w:t>m</w:t>
      </w:r>
      <w:r w:rsidRPr="007D7724">
        <w:t>(</w:t>
      </w:r>
      <w:r w:rsidRPr="00E63D6E">
        <w:t>NHS</w:t>
      </w:r>
      <w:r w:rsidRPr="007D7724">
        <w:t xml:space="preserve">), and </w:t>
      </w:r>
      <w:r w:rsidRPr="007D7724">
        <w:rPr>
          <w:i/>
          <w:iCs/>
        </w:rPr>
        <w:t>m</w:t>
      </w:r>
      <w:r w:rsidRPr="007D7724">
        <w:t>(</w:t>
      </w:r>
      <w:r w:rsidRPr="00E63D6E">
        <w:t>PEI</w:t>
      </w:r>
      <w:r w:rsidRPr="007D7724">
        <w:t>) were added in sequence. The dosages of the reagents and the grafting time are shown in Tables S</w:t>
      </w:r>
      <w:r>
        <w:t>2</w:t>
      </w:r>
      <w:r w:rsidRPr="007D7724">
        <w:t>, S</w:t>
      </w:r>
      <w:r>
        <w:t>3</w:t>
      </w:r>
      <w:r w:rsidRPr="007D7724">
        <w:t>, S</w:t>
      </w:r>
      <w:r>
        <w:t>4</w:t>
      </w:r>
      <w:r w:rsidRPr="007D7724">
        <w:t>, and S</w:t>
      </w:r>
      <w:r>
        <w:t>5</w:t>
      </w:r>
      <w:r w:rsidRPr="007D7724">
        <w:t>. After a constant-temperature water bath (60 °C), the product was washed with deionized water (5 times), sonicated (15 min), washed again (3 times), and air-dried at room temperature (24 h) to obtain the PEI@PAA aerogel.</w:t>
      </w:r>
    </w:p>
    <w:p w14:paraId="74608882" w14:textId="77777777" w:rsidR="007E3433" w:rsidRPr="007D7724" w:rsidRDefault="007E3433" w:rsidP="007E3433">
      <w:pPr>
        <w:ind w:firstLine="240"/>
        <w:jc w:val="both"/>
      </w:pPr>
      <w:r w:rsidRPr="007D7724">
        <w:t>50 mg of each resulting sample was weighed into a 50 mL beaker, then placed together with 1 g of iodine powder in a 200 mL quartz jar. After sealing, the jar was incubated at 80 °C for 12 h. Upon completion, the weight of the sample was recorded, and the adsorption capacity was calculated according to Equation (1).</w:t>
      </w:r>
    </w:p>
    <w:p w14:paraId="3661DA10" w14:textId="77777777" w:rsidR="007E3433" w:rsidRPr="000426C5" w:rsidRDefault="007E3433" w:rsidP="007E3433">
      <w:pPr>
        <w:ind w:firstLineChars="0" w:firstLine="0"/>
        <w:jc w:val="both"/>
        <w:rPr>
          <w:rFonts w:eastAsiaTheme="minorEastAsia" w:cs="Times New Roman"/>
          <w:b/>
          <w:bCs/>
        </w:rPr>
      </w:pPr>
      <w:r w:rsidRPr="000426C5">
        <w:rPr>
          <w:rFonts w:eastAsiaTheme="minorEastAsia" w:cs="Times New Roman"/>
          <w:b/>
          <w:bCs/>
        </w:rPr>
        <w:t>4.3 Adsorption Kinetics</w:t>
      </w:r>
    </w:p>
    <w:p w14:paraId="62F774F2" w14:textId="77777777" w:rsidR="007E3433" w:rsidRPr="00B50702" w:rsidRDefault="007E3433" w:rsidP="007E3433">
      <w:pPr>
        <w:ind w:firstLine="240"/>
        <w:jc w:val="both"/>
      </w:pPr>
      <w:r w:rsidRPr="007D7724">
        <w:t xml:space="preserve">The adsorption kinetics of PEI@PAA for gaseous iodine was investigated at 80 °C. Eight 200 mL quartz sealed jars (with polytetrafluoroethylene lids) were prepared. 50 mg of PEI@PAA was weighed into a 5 mL beaker using an electronic balance, and the beaker was placed in a corresponding sealed jar. Then, 1 g of iodine powder was weighed and poured into the sealed jar, which was then capped tightly. The sealed jars were placed in an oven at 80 °C, and taken out at 1, 2, 3, 4, 6, 8, 10, and 18 h respectively to weigh the mass change of the adsorbent in the beaker. Thus, the adsorption kinetic curve of the adsorbent for iodine could be obtained. The adsorption process was fitted </w:t>
      </w:r>
      <w:r w:rsidRPr="007D7724">
        <w:lastRenderedPageBreak/>
        <w:t>using the pseudo-first-order kinetics, pseudo-second-order kinetics, and Weber-Morris intraparticle diffusion models, with their equations as follows:</w:t>
      </w:r>
    </w:p>
    <w:p w14:paraId="4A4E5FA6" w14:textId="77777777" w:rsidR="007E3433" w:rsidRPr="00B50702" w:rsidRDefault="007E3433" w:rsidP="007E3433">
      <w:pPr>
        <w:tabs>
          <w:tab w:val="left" w:pos="426"/>
          <w:tab w:val="center" w:pos="4253"/>
          <w:tab w:val="center" w:pos="6663"/>
        </w:tabs>
        <w:ind w:firstLine="240"/>
        <w:jc w:val="both"/>
        <w:rPr>
          <w:rFonts w:cs="Times New Roman"/>
          <w:sz w:val="28"/>
          <w:szCs w:val="24"/>
        </w:rPr>
      </w:pPr>
      <w:r>
        <w:rPr>
          <w:rFonts w:cs="Times New Roman"/>
        </w:rPr>
        <w:tab/>
      </w:r>
      <w:r w:rsidRPr="00B50702">
        <w:rPr>
          <w:rFonts w:cs="Times New Roman"/>
        </w:rPr>
        <w:tab/>
      </w:r>
      <m:oMath>
        <m:func>
          <m:funcPr>
            <m:ctrlPr>
              <w:rPr>
                <w:rFonts w:ascii="Cambria Math" w:hAnsi="Cambria Math" w:cs="Times New Roman"/>
                <w:i/>
                <w:sz w:val="28"/>
                <w:szCs w:val="24"/>
              </w:rPr>
            </m:ctrlPr>
          </m:funcPr>
          <m:fName>
            <m:r>
              <m:rPr>
                <m:nor/>
              </m:rPr>
              <w:rPr>
                <w:rFonts w:cs="Times New Roman"/>
                <w:i/>
                <w:sz w:val="28"/>
                <w:szCs w:val="24"/>
              </w:rPr>
              <m:t>ln</m:t>
            </m:r>
          </m:fName>
          <m:e>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m:rPr>
                        <m:nor/>
                      </m:rPr>
                      <w:rPr>
                        <w:rFonts w:cs="Times New Roman"/>
                        <w:i/>
                        <w:sz w:val="28"/>
                        <w:szCs w:val="24"/>
                      </w:rPr>
                      <m:t>q</m:t>
                    </m:r>
                  </m:e>
                  <m:sub>
                    <m:r>
                      <m:rPr>
                        <m:nor/>
                      </m:rPr>
                      <w:rPr>
                        <w:rFonts w:cs="Times New Roman"/>
                        <w:iCs/>
                        <w:sz w:val="28"/>
                        <w:szCs w:val="24"/>
                      </w:rPr>
                      <m:t>e</m:t>
                    </m:r>
                  </m:sub>
                </m:sSub>
                <m:r>
                  <m:rPr>
                    <m:nor/>
                  </m:rPr>
                  <w:rPr>
                    <w:rFonts w:cs="Times New Roman"/>
                    <w:i/>
                    <w:sz w:val="28"/>
                    <w:szCs w:val="24"/>
                  </w:rPr>
                  <m:t>-</m:t>
                </m:r>
                <m:sSub>
                  <m:sSubPr>
                    <m:ctrlPr>
                      <w:rPr>
                        <w:rFonts w:ascii="Cambria Math" w:hAnsi="Cambria Math" w:cs="Times New Roman"/>
                        <w:i/>
                        <w:sz w:val="28"/>
                        <w:szCs w:val="24"/>
                      </w:rPr>
                    </m:ctrlPr>
                  </m:sSubPr>
                  <m:e>
                    <m:r>
                      <m:rPr>
                        <m:nor/>
                      </m:rPr>
                      <w:rPr>
                        <w:rFonts w:cs="Times New Roman"/>
                        <w:i/>
                        <w:sz w:val="28"/>
                        <w:szCs w:val="24"/>
                      </w:rPr>
                      <m:t>q</m:t>
                    </m:r>
                  </m:e>
                  <m:sub>
                    <m:r>
                      <m:rPr>
                        <m:nor/>
                      </m:rPr>
                      <w:rPr>
                        <w:rFonts w:cs="Times New Roman"/>
                        <w:iCs/>
                        <w:sz w:val="28"/>
                        <w:szCs w:val="24"/>
                      </w:rPr>
                      <m:t>t</m:t>
                    </m:r>
                  </m:sub>
                </m:sSub>
              </m:e>
            </m:d>
          </m:e>
        </m:func>
        <m:r>
          <m:rPr>
            <m:nor/>
          </m:rPr>
          <w:rPr>
            <w:rFonts w:cs="Times New Roman"/>
            <w:iCs/>
            <w:sz w:val="28"/>
            <w:szCs w:val="24"/>
          </w:rPr>
          <m:t xml:space="preserve"> = </m:t>
        </m:r>
        <m:r>
          <m:rPr>
            <m:nor/>
          </m:rPr>
          <w:rPr>
            <w:rFonts w:cs="Times New Roman"/>
            <w:i/>
            <w:sz w:val="28"/>
            <w:szCs w:val="24"/>
          </w:rPr>
          <m:t>ln</m:t>
        </m:r>
        <m:sSub>
          <m:sSubPr>
            <m:ctrlPr>
              <w:rPr>
                <w:rFonts w:ascii="Cambria Math" w:hAnsi="Cambria Math" w:cs="Times New Roman"/>
                <w:i/>
                <w:sz w:val="28"/>
                <w:szCs w:val="24"/>
              </w:rPr>
            </m:ctrlPr>
          </m:sSubPr>
          <m:e>
            <m:r>
              <m:rPr>
                <m:nor/>
              </m:rPr>
              <w:rPr>
                <w:rFonts w:cs="Times New Roman"/>
                <w:i/>
                <w:sz w:val="28"/>
                <w:szCs w:val="24"/>
              </w:rPr>
              <m:t>q</m:t>
            </m:r>
          </m:e>
          <m:sub>
            <m:r>
              <m:rPr>
                <m:nor/>
              </m:rPr>
              <w:rPr>
                <w:rFonts w:cs="Times New Roman"/>
                <w:iCs/>
                <w:sz w:val="28"/>
                <w:szCs w:val="24"/>
              </w:rPr>
              <m:t>e</m:t>
            </m:r>
          </m:sub>
        </m:sSub>
        <m:r>
          <m:rPr>
            <m:nor/>
          </m:rPr>
          <w:rPr>
            <w:rFonts w:cs="Times New Roman"/>
            <w:iCs/>
            <w:sz w:val="28"/>
            <w:szCs w:val="24"/>
          </w:rPr>
          <m:t>-</m:t>
        </m:r>
        <m:sSub>
          <m:sSubPr>
            <m:ctrlPr>
              <w:rPr>
                <w:rFonts w:ascii="Cambria Math" w:hAnsi="Cambria Math" w:cs="Times New Roman"/>
                <w:i/>
                <w:sz w:val="28"/>
                <w:szCs w:val="24"/>
              </w:rPr>
            </m:ctrlPr>
          </m:sSubPr>
          <m:e>
            <m:r>
              <m:rPr>
                <m:nor/>
              </m:rPr>
              <w:rPr>
                <w:rFonts w:cs="Times New Roman"/>
                <w:i/>
                <w:sz w:val="28"/>
                <w:szCs w:val="24"/>
              </w:rPr>
              <m:t>k</m:t>
            </m:r>
          </m:e>
          <m:sub>
            <m:r>
              <m:rPr>
                <m:nor/>
              </m:rPr>
              <w:rPr>
                <w:rFonts w:cs="Times New Roman"/>
                <w:iCs/>
                <w:sz w:val="28"/>
                <w:szCs w:val="24"/>
              </w:rPr>
              <m:t>1</m:t>
            </m:r>
          </m:sub>
        </m:sSub>
        <m:r>
          <m:rPr>
            <m:nor/>
          </m:rPr>
          <w:rPr>
            <w:rFonts w:cs="Times New Roman"/>
            <w:i/>
            <w:sz w:val="28"/>
            <w:szCs w:val="24"/>
          </w:rPr>
          <m:t>t</m:t>
        </m:r>
      </m:oMath>
      <w:r w:rsidRPr="0028394E">
        <w:rPr>
          <w:rFonts w:cs="Times New Roman"/>
          <w:sz w:val="28"/>
          <w:szCs w:val="24"/>
        </w:rPr>
        <w:t xml:space="preserve"> </w:t>
      </w:r>
      <w:r w:rsidRPr="00B50702">
        <w:rPr>
          <w:rFonts w:cs="Times New Roman"/>
          <w:sz w:val="28"/>
          <w:szCs w:val="24"/>
        </w:rPr>
        <w:tab/>
      </w:r>
      <w:r w:rsidRPr="00264F0C">
        <w:rPr>
          <w:rFonts w:cs="Times New Roman"/>
        </w:rPr>
        <w:t>(</w:t>
      </w:r>
      <w:r>
        <w:rPr>
          <w:rFonts w:cs="Times New Roman"/>
        </w:rPr>
        <w:t>4</w:t>
      </w:r>
      <w:r w:rsidRPr="00264F0C">
        <w:rPr>
          <w:rFonts w:cs="Times New Roman"/>
        </w:rPr>
        <w:t>)</w:t>
      </w:r>
    </w:p>
    <w:p w14:paraId="3BB8472F" w14:textId="77777777" w:rsidR="007E3433" w:rsidRPr="00B50702" w:rsidRDefault="007E3433" w:rsidP="007E3433">
      <w:pPr>
        <w:tabs>
          <w:tab w:val="left" w:pos="426"/>
          <w:tab w:val="center" w:pos="4253"/>
          <w:tab w:val="center" w:pos="6663"/>
        </w:tabs>
        <w:ind w:firstLine="320"/>
        <w:jc w:val="both"/>
        <w:rPr>
          <w:rFonts w:cs="Times New Roman"/>
          <w:sz w:val="28"/>
          <w:szCs w:val="24"/>
        </w:rPr>
      </w:pPr>
      <w:r>
        <w:rPr>
          <w:rFonts w:cs="Times New Roman"/>
          <w:sz w:val="32"/>
          <w:szCs w:val="32"/>
        </w:rPr>
        <w:tab/>
      </w:r>
      <w:r w:rsidRPr="00B50702">
        <w:rPr>
          <w:rFonts w:cs="Times New Roman"/>
          <w:sz w:val="32"/>
          <w:szCs w:val="32"/>
        </w:rPr>
        <w:tab/>
      </w:r>
      <m:oMath>
        <m:f>
          <m:fPr>
            <m:ctrlPr>
              <w:rPr>
                <w:rFonts w:ascii="Cambria Math" w:hAnsi="Cambria Math" w:cs="Times New Roman"/>
                <w:i/>
                <w:sz w:val="28"/>
                <w:szCs w:val="28"/>
              </w:rPr>
            </m:ctrlPr>
          </m:fPr>
          <m:num>
            <m:r>
              <m:rPr>
                <m:nor/>
              </m:rPr>
              <w:rPr>
                <w:rFonts w:cs="Times New Roman"/>
                <w:i/>
                <w:sz w:val="28"/>
                <w:szCs w:val="28"/>
              </w:rPr>
              <m:t>t</m:t>
            </m:r>
          </m:num>
          <m:den>
            <m:sSub>
              <m:sSubPr>
                <m:ctrlPr>
                  <w:rPr>
                    <w:rFonts w:ascii="Cambria Math" w:hAnsi="Cambria Math" w:cs="Times New Roman"/>
                    <w:i/>
                    <w:sz w:val="28"/>
                    <w:szCs w:val="28"/>
                  </w:rPr>
                </m:ctrlPr>
              </m:sSubPr>
              <m:e>
                <m:r>
                  <m:rPr>
                    <m:nor/>
                  </m:rPr>
                  <w:rPr>
                    <w:rFonts w:cs="Times New Roman"/>
                    <w:i/>
                    <w:sz w:val="28"/>
                    <w:szCs w:val="28"/>
                  </w:rPr>
                  <m:t>q</m:t>
                </m:r>
              </m:e>
              <m:sub>
                <m:r>
                  <m:rPr>
                    <m:nor/>
                  </m:rPr>
                  <w:rPr>
                    <w:rFonts w:cs="Times New Roman"/>
                    <w:i/>
                    <w:sz w:val="28"/>
                    <w:szCs w:val="28"/>
                  </w:rPr>
                  <m:t>t</m:t>
                </m:r>
              </m:sub>
            </m:sSub>
          </m:den>
        </m:f>
        <m:r>
          <m:rPr>
            <m:nor/>
          </m:rPr>
          <w:rPr>
            <w:rFonts w:cs="Times New Roman"/>
            <w:iCs/>
            <w:sz w:val="28"/>
            <w:szCs w:val="28"/>
          </w:rPr>
          <m:t xml:space="preserve"> = </m:t>
        </m:r>
        <m:f>
          <m:fPr>
            <m:ctrlPr>
              <w:rPr>
                <w:rFonts w:ascii="Cambria Math" w:hAnsi="Cambria Math" w:cs="Times New Roman"/>
                <w:i/>
                <w:sz w:val="28"/>
                <w:szCs w:val="28"/>
              </w:rPr>
            </m:ctrlPr>
          </m:fPr>
          <m:num>
            <m:r>
              <m:rPr>
                <m:nor/>
              </m:rPr>
              <w:rPr>
                <w:rFonts w:cs="Times New Roman"/>
                <w:iCs/>
                <w:sz w:val="28"/>
                <w:szCs w:val="28"/>
              </w:rPr>
              <m:t>1</m:t>
            </m:r>
          </m:num>
          <m:den>
            <m:sSub>
              <m:sSubPr>
                <m:ctrlPr>
                  <w:rPr>
                    <w:rFonts w:ascii="Cambria Math" w:hAnsi="Cambria Math" w:cs="Times New Roman"/>
                    <w:i/>
                    <w:sz w:val="28"/>
                    <w:szCs w:val="28"/>
                  </w:rPr>
                </m:ctrlPr>
              </m:sSubPr>
              <m:e>
                <m:r>
                  <m:rPr>
                    <m:nor/>
                  </m:rPr>
                  <w:rPr>
                    <w:rFonts w:cs="Times New Roman"/>
                    <w:i/>
                    <w:sz w:val="28"/>
                    <w:szCs w:val="28"/>
                  </w:rPr>
                  <m:t>k</m:t>
                </m:r>
              </m:e>
              <m:sub>
                <m:r>
                  <m:rPr>
                    <m:nor/>
                  </m:rPr>
                  <w:rPr>
                    <w:rFonts w:cs="Times New Roman"/>
                    <w:iCs/>
                    <w:sz w:val="28"/>
                    <w:szCs w:val="28"/>
                  </w:rPr>
                  <m:t>2</m:t>
                </m:r>
              </m:sub>
            </m:sSub>
            <m:sSubSup>
              <m:sSubSupPr>
                <m:ctrlPr>
                  <w:rPr>
                    <w:rFonts w:ascii="Cambria Math" w:hAnsi="Cambria Math" w:cs="Times New Roman"/>
                    <w:i/>
                    <w:sz w:val="28"/>
                    <w:szCs w:val="28"/>
                  </w:rPr>
                </m:ctrlPr>
              </m:sSubSupPr>
              <m:e>
                <m:r>
                  <m:rPr>
                    <m:nor/>
                  </m:rPr>
                  <w:rPr>
                    <w:rFonts w:cs="Times New Roman"/>
                    <w:i/>
                    <w:sz w:val="28"/>
                    <w:szCs w:val="28"/>
                  </w:rPr>
                  <m:t>q</m:t>
                </m:r>
              </m:e>
              <m:sub>
                <m:r>
                  <m:rPr>
                    <m:nor/>
                  </m:rPr>
                  <w:rPr>
                    <w:rFonts w:cs="Times New Roman"/>
                    <w:i/>
                    <w:sz w:val="28"/>
                    <w:szCs w:val="28"/>
                  </w:rPr>
                  <m:t>e</m:t>
                </m:r>
              </m:sub>
              <m:sup>
                <m:r>
                  <m:rPr>
                    <m:nor/>
                  </m:rPr>
                  <w:rPr>
                    <w:rFonts w:cs="Times New Roman"/>
                    <w:i/>
                    <w:sz w:val="28"/>
                    <w:szCs w:val="28"/>
                  </w:rPr>
                  <m:t>2</m:t>
                </m:r>
              </m:sup>
            </m:sSubSup>
          </m:den>
        </m:f>
        <m:r>
          <m:rPr>
            <m:nor/>
          </m:rPr>
          <w:rPr>
            <w:rFonts w:cs="Times New Roman"/>
            <w:i/>
            <w:sz w:val="28"/>
            <w:szCs w:val="28"/>
          </w:rPr>
          <m:t>+</m:t>
        </m:r>
        <m:f>
          <m:fPr>
            <m:ctrlPr>
              <w:rPr>
                <w:rFonts w:ascii="Cambria Math" w:hAnsi="Cambria Math" w:cs="Times New Roman"/>
                <w:i/>
                <w:sz w:val="28"/>
                <w:szCs w:val="28"/>
              </w:rPr>
            </m:ctrlPr>
          </m:fPr>
          <m:num>
            <m:r>
              <m:rPr>
                <m:nor/>
              </m:rPr>
              <w:rPr>
                <w:rFonts w:cs="Times New Roman"/>
                <w:i/>
                <w:sz w:val="28"/>
                <w:szCs w:val="28"/>
              </w:rPr>
              <m:t>t</m:t>
            </m:r>
          </m:num>
          <m:den>
            <m:sSub>
              <m:sSubPr>
                <m:ctrlPr>
                  <w:rPr>
                    <w:rFonts w:ascii="Cambria Math" w:hAnsi="Cambria Math" w:cs="Times New Roman"/>
                    <w:i/>
                    <w:sz w:val="28"/>
                    <w:szCs w:val="28"/>
                  </w:rPr>
                </m:ctrlPr>
              </m:sSubPr>
              <m:e>
                <m:r>
                  <m:rPr>
                    <m:nor/>
                  </m:rPr>
                  <w:rPr>
                    <w:rFonts w:cs="Times New Roman"/>
                    <w:i/>
                    <w:sz w:val="28"/>
                    <w:szCs w:val="28"/>
                  </w:rPr>
                  <m:t>q</m:t>
                </m:r>
              </m:e>
              <m:sub>
                <m:r>
                  <m:rPr>
                    <m:nor/>
                  </m:rPr>
                  <w:rPr>
                    <w:rFonts w:cs="Times New Roman"/>
                    <w:i/>
                    <w:sz w:val="28"/>
                    <w:szCs w:val="28"/>
                  </w:rPr>
                  <m:t>e</m:t>
                </m:r>
              </m:sub>
            </m:sSub>
          </m:den>
        </m:f>
      </m:oMath>
      <w:r w:rsidRPr="00B50702">
        <w:rPr>
          <w:rFonts w:cs="Times New Roman"/>
          <w:sz w:val="32"/>
          <w:szCs w:val="32"/>
        </w:rPr>
        <w:t xml:space="preserve"> </w:t>
      </w:r>
      <w:r w:rsidRPr="00B50702">
        <w:rPr>
          <w:rFonts w:cs="Times New Roman"/>
          <w:sz w:val="32"/>
          <w:szCs w:val="32"/>
        </w:rPr>
        <w:tab/>
      </w:r>
      <w:r w:rsidRPr="00264F0C">
        <w:rPr>
          <w:rFonts w:cs="Times New Roman"/>
        </w:rPr>
        <w:t>(</w:t>
      </w:r>
      <w:r>
        <w:rPr>
          <w:rFonts w:cs="Times New Roman"/>
        </w:rPr>
        <w:t>5</w:t>
      </w:r>
      <w:r w:rsidRPr="00264F0C">
        <w:rPr>
          <w:rFonts w:cs="Times New Roman"/>
        </w:rPr>
        <w:t>)</w:t>
      </w:r>
    </w:p>
    <w:p w14:paraId="278FB4C9" w14:textId="77777777" w:rsidR="007E3433" w:rsidRPr="00B50702" w:rsidRDefault="007E3433" w:rsidP="007E3433">
      <w:pPr>
        <w:tabs>
          <w:tab w:val="left" w:pos="426"/>
          <w:tab w:val="center" w:pos="4253"/>
          <w:tab w:val="center" w:pos="6663"/>
        </w:tabs>
        <w:ind w:firstLine="280"/>
        <w:jc w:val="both"/>
        <w:rPr>
          <w:rFonts w:cs="Times New Roman"/>
          <w:i/>
        </w:rPr>
      </w:pPr>
      <w:r>
        <w:rPr>
          <w:rFonts w:cs="Times New Roman"/>
          <w:sz w:val="28"/>
          <w:szCs w:val="24"/>
        </w:rPr>
        <w:tab/>
      </w:r>
      <w:r w:rsidRPr="00B50702">
        <w:rPr>
          <w:rFonts w:cs="Times New Roman"/>
          <w:sz w:val="28"/>
          <w:szCs w:val="24"/>
        </w:rPr>
        <w:tab/>
      </w:r>
      <m:oMath>
        <m:sSub>
          <m:sSubPr>
            <m:ctrlPr>
              <w:rPr>
                <w:rFonts w:ascii="Cambria Math" w:hAnsi="Cambria Math" w:cs="Times New Roman"/>
                <w:i/>
                <w:sz w:val="28"/>
                <w:szCs w:val="24"/>
              </w:rPr>
            </m:ctrlPr>
          </m:sSubPr>
          <m:e>
            <m:r>
              <m:rPr>
                <m:nor/>
              </m:rPr>
              <w:rPr>
                <w:rFonts w:cs="Times New Roman"/>
                <w:i/>
                <w:sz w:val="28"/>
                <w:szCs w:val="24"/>
              </w:rPr>
              <m:t>q</m:t>
            </m:r>
          </m:e>
          <m:sub>
            <m:r>
              <m:rPr>
                <m:nor/>
              </m:rPr>
              <w:rPr>
                <w:rFonts w:cs="Times New Roman"/>
                <w:iCs/>
                <w:sz w:val="28"/>
                <w:szCs w:val="24"/>
              </w:rPr>
              <m:t>t</m:t>
            </m:r>
          </m:sub>
        </m:sSub>
        <m:r>
          <m:rPr>
            <m:nor/>
          </m:rPr>
          <w:rPr>
            <w:rFonts w:cs="Times New Roman"/>
            <w:iCs/>
            <w:sz w:val="28"/>
            <w:szCs w:val="24"/>
          </w:rPr>
          <m:t xml:space="preserve"> = </m:t>
        </m:r>
        <m:sSub>
          <m:sSubPr>
            <m:ctrlPr>
              <w:rPr>
                <w:rFonts w:ascii="Cambria Math" w:hAnsi="Cambria Math" w:cs="Times New Roman"/>
                <w:i/>
                <w:sz w:val="28"/>
                <w:szCs w:val="24"/>
              </w:rPr>
            </m:ctrlPr>
          </m:sSubPr>
          <m:e>
            <m:r>
              <m:rPr>
                <m:nor/>
              </m:rPr>
              <w:rPr>
                <w:rFonts w:cs="Times New Roman"/>
                <w:i/>
                <w:sz w:val="28"/>
                <w:szCs w:val="24"/>
              </w:rPr>
              <m:t>k</m:t>
            </m:r>
          </m:e>
          <m:sub>
            <m:r>
              <m:rPr>
                <m:nor/>
              </m:rPr>
              <w:rPr>
                <w:rFonts w:cs="Times New Roman"/>
                <w:iCs/>
                <w:sz w:val="28"/>
                <w:szCs w:val="24"/>
              </w:rPr>
              <m:t>3</m:t>
            </m:r>
          </m:sub>
        </m:sSub>
        <m:sSup>
          <m:sSupPr>
            <m:ctrlPr>
              <w:rPr>
                <w:rFonts w:ascii="Cambria Math" w:hAnsi="Cambria Math" w:cs="Times New Roman"/>
                <w:i/>
                <w:sz w:val="28"/>
                <w:szCs w:val="24"/>
              </w:rPr>
            </m:ctrlPr>
          </m:sSupPr>
          <m:e>
            <m:r>
              <m:rPr>
                <m:nor/>
              </m:rPr>
              <w:rPr>
                <w:rFonts w:cs="Times New Roman"/>
                <w:i/>
                <w:sz w:val="28"/>
                <w:szCs w:val="24"/>
              </w:rPr>
              <m:t>t</m:t>
            </m:r>
          </m:e>
          <m:sup>
            <m:f>
              <m:fPr>
                <m:type m:val="lin"/>
                <m:ctrlPr>
                  <w:rPr>
                    <w:rFonts w:ascii="Cambria Math" w:hAnsi="Cambria Math" w:cs="Times New Roman"/>
                    <w:iCs/>
                    <w:sz w:val="28"/>
                    <w:szCs w:val="24"/>
                  </w:rPr>
                </m:ctrlPr>
              </m:fPr>
              <m:num>
                <m:r>
                  <m:rPr>
                    <m:nor/>
                  </m:rPr>
                  <w:rPr>
                    <w:rFonts w:cs="Times New Roman"/>
                    <w:iCs/>
                    <w:sz w:val="28"/>
                    <w:szCs w:val="24"/>
                  </w:rPr>
                  <m:t>1</m:t>
                </m:r>
              </m:num>
              <m:den>
                <m:r>
                  <m:rPr>
                    <m:nor/>
                  </m:rPr>
                  <w:rPr>
                    <w:rFonts w:cs="Times New Roman"/>
                    <w:iCs/>
                    <w:sz w:val="28"/>
                    <w:szCs w:val="24"/>
                  </w:rPr>
                  <m:t>2</m:t>
                </m:r>
              </m:den>
            </m:f>
          </m:sup>
        </m:sSup>
        <m:r>
          <m:rPr>
            <m:nor/>
          </m:rPr>
          <w:rPr>
            <w:rFonts w:cs="Times New Roman"/>
            <w:i/>
            <w:sz w:val="28"/>
            <w:szCs w:val="24"/>
          </w:rPr>
          <m:t>+C</m:t>
        </m:r>
      </m:oMath>
      <w:r w:rsidRPr="00B50702">
        <w:rPr>
          <w:rFonts w:cs="Times New Roman"/>
          <w:i/>
          <w:sz w:val="28"/>
          <w:szCs w:val="24"/>
        </w:rPr>
        <w:t xml:space="preserve"> </w:t>
      </w:r>
      <w:r w:rsidRPr="00B50702">
        <w:rPr>
          <w:rFonts w:cs="Times New Roman"/>
          <w:i/>
        </w:rPr>
        <w:t xml:space="preserve"> </w:t>
      </w:r>
      <w:r w:rsidRPr="00B50702">
        <w:rPr>
          <w:rFonts w:cs="Times New Roman"/>
          <w:iCs/>
        </w:rPr>
        <w:tab/>
      </w:r>
      <w:r w:rsidRPr="00264F0C">
        <w:rPr>
          <w:rFonts w:cs="Times New Roman"/>
          <w:iCs/>
        </w:rPr>
        <w:t>(</w:t>
      </w:r>
      <w:r>
        <w:rPr>
          <w:rFonts w:cs="Times New Roman"/>
          <w:iCs/>
        </w:rPr>
        <w:t>6</w:t>
      </w:r>
      <w:r w:rsidRPr="00264F0C">
        <w:rPr>
          <w:rFonts w:cs="Times New Roman"/>
          <w:iCs/>
        </w:rPr>
        <w:t>)</w:t>
      </w:r>
    </w:p>
    <w:p w14:paraId="4F174D46" w14:textId="77777777" w:rsidR="007E3433" w:rsidRPr="00B50702" w:rsidRDefault="007E3433" w:rsidP="007E3433">
      <w:pPr>
        <w:tabs>
          <w:tab w:val="left" w:pos="426"/>
          <w:tab w:val="center" w:pos="4253"/>
          <w:tab w:val="center" w:pos="6663"/>
        </w:tabs>
        <w:ind w:firstLineChars="0" w:firstLine="0"/>
        <w:jc w:val="both"/>
        <w:rPr>
          <w:rFonts w:cs="Times New Roman"/>
        </w:rPr>
      </w:pPr>
      <w:r w:rsidRPr="00B50702">
        <w:rPr>
          <w:rFonts w:cs="Times New Roman"/>
          <w:i/>
        </w:rPr>
        <w:t>k</w:t>
      </w:r>
      <w:r w:rsidRPr="00B50702">
        <w:rPr>
          <w:rFonts w:cs="Times New Roman"/>
          <w:vertAlign w:val="subscript"/>
        </w:rPr>
        <w:t>1</w:t>
      </w:r>
      <w:r w:rsidRPr="00B50702">
        <w:rPr>
          <w:rFonts w:cs="Times New Roman"/>
        </w:rPr>
        <w:t xml:space="preserve">: </w:t>
      </w:r>
      <w:r w:rsidRPr="003345E5">
        <w:rPr>
          <w:rFonts w:cs="Times New Roman"/>
        </w:rPr>
        <w:t>pseudo-first-order rate constant</w:t>
      </w:r>
      <w:r>
        <w:rPr>
          <w:rFonts w:cs="Times New Roman"/>
        </w:rPr>
        <w:t xml:space="preserve">, </w:t>
      </w:r>
      <w:r w:rsidRPr="00B50702">
        <w:rPr>
          <w:rFonts w:cs="Times New Roman"/>
        </w:rPr>
        <w:t>h</w:t>
      </w:r>
      <w:r w:rsidRPr="00B50702">
        <w:rPr>
          <w:rFonts w:cs="Times New Roman"/>
          <w:vertAlign w:val="superscript"/>
        </w:rPr>
        <w:t>-1</w:t>
      </w:r>
      <w:r w:rsidRPr="00264F0C">
        <w:rPr>
          <w:rFonts w:cs="Times New Roman"/>
        </w:rPr>
        <w:t>;</w:t>
      </w:r>
    </w:p>
    <w:p w14:paraId="4BFC507E" w14:textId="77777777" w:rsidR="007E3433" w:rsidRPr="00B50702" w:rsidRDefault="007E3433" w:rsidP="007E3433">
      <w:pPr>
        <w:tabs>
          <w:tab w:val="left" w:pos="426"/>
        </w:tabs>
        <w:ind w:left="120" w:hangingChars="50" w:hanging="120"/>
        <w:jc w:val="both"/>
        <w:rPr>
          <w:rFonts w:cs="Times New Roman"/>
          <w:bCs/>
          <w:iCs/>
        </w:rPr>
      </w:pPr>
      <w:r w:rsidRPr="00B50702">
        <w:rPr>
          <w:rFonts w:cs="Times New Roman"/>
          <w:i/>
        </w:rPr>
        <w:t>k</w:t>
      </w:r>
      <w:r w:rsidRPr="00B50702">
        <w:rPr>
          <w:rFonts w:cs="Times New Roman"/>
          <w:vertAlign w:val="subscript"/>
        </w:rPr>
        <w:t>2</w:t>
      </w:r>
      <w:r w:rsidRPr="00B50702">
        <w:rPr>
          <w:rFonts w:cs="Times New Roman"/>
        </w:rPr>
        <w:t xml:space="preserve">: </w:t>
      </w:r>
      <w:r w:rsidRPr="003345E5">
        <w:rPr>
          <w:rFonts w:cs="Times New Roman"/>
        </w:rPr>
        <w:t>pseudo-second-order rate constant</w:t>
      </w:r>
      <w:r>
        <w:rPr>
          <w:rFonts w:cs="Times New Roman"/>
        </w:rPr>
        <w:t xml:space="preserve">, </w:t>
      </w:r>
      <w:r w:rsidRPr="00B50702">
        <w:rPr>
          <w:rFonts w:cs="Times New Roman"/>
        </w:rPr>
        <w:t>[</w:t>
      </w:r>
      <w:r w:rsidRPr="00B50702">
        <w:rPr>
          <w:rFonts w:cs="Times New Roman"/>
          <w:bCs/>
          <w:iCs/>
        </w:rPr>
        <w:t>g (</w:t>
      </w:r>
      <w:proofErr w:type="spellStart"/>
      <w:r w:rsidRPr="00B50702">
        <w:rPr>
          <w:rFonts w:cs="Times New Roman"/>
          <w:bCs/>
          <w:iCs/>
        </w:rPr>
        <w:t>mg</w:t>
      </w:r>
      <w:r w:rsidRPr="007D7724">
        <w:rPr>
          <w:rFonts w:cs="Times New Roman"/>
        </w:rPr>
        <w:t>·</w:t>
      </w:r>
      <w:r w:rsidRPr="00B50702">
        <w:rPr>
          <w:rFonts w:cs="Times New Roman"/>
          <w:bCs/>
          <w:iCs/>
        </w:rPr>
        <w:t>h</w:t>
      </w:r>
      <w:proofErr w:type="spellEnd"/>
      <w:r w:rsidRPr="00B50702">
        <w:rPr>
          <w:rFonts w:cs="Times New Roman"/>
          <w:bCs/>
          <w:iCs/>
        </w:rPr>
        <w:t>)</w:t>
      </w:r>
      <w:r w:rsidRPr="00B50702">
        <w:rPr>
          <w:rFonts w:cs="Times New Roman"/>
          <w:bCs/>
          <w:iCs/>
          <w:vertAlign w:val="superscript"/>
        </w:rPr>
        <w:t>-1</w:t>
      </w:r>
      <w:r w:rsidRPr="00B50702">
        <w:rPr>
          <w:rFonts w:cs="Times New Roman"/>
          <w:bCs/>
          <w:iCs/>
        </w:rPr>
        <w:t>]</w:t>
      </w:r>
      <w:r w:rsidRPr="00264F0C">
        <w:rPr>
          <w:rFonts w:cs="Times New Roman"/>
          <w:bCs/>
          <w:iCs/>
        </w:rPr>
        <w:t>;</w:t>
      </w:r>
    </w:p>
    <w:p w14:paraId="29A8D85A" w14:textId="77777777" w:rsidR="007E3433" w:rsidRPr="00B50702" w:rsidRDefault="007E3433" w:rsidP="007E3433">
      <w:pPr>
        <w:tabs>
          <w:tab w:val="left" w:pos="426"/>
        </w:tabs>
        <w:ind w:left="120" w:hangingChars="50" w:hanging="120"/>
        <w:jc w:val="both"/>
        <w:rPr>
          <w:rFonts w:cs="Times New Roman"/>
          <w:bCs/>
          <w:iCs/>
        </w:rPr>
      </w:pPr>
      <w:r w:rsidRPr="00B50702">
        <w:rPr>
          <w:rFonts w:cs="Times New Roman"/>
          <w:i/>
        </w:rPr>
        <w:t>k</w:t>
      </w:r>
      <w:r w:rsidRPr="00B50702">
        <w:rPr>
          <w:rFonts w:cs="Times New Roman"/>
          <w:vertAlign w:val="subscript"/>
        </w:rPr>
        <w:t>3</w:t>
      </w:r>
      <w:r w:rsidRPr="00B50702">
        <w:rPr>
          <w:rFonts w:cs="Times New Roman"/>
        </w:rPr>
        <w:t xml:space="preserve">: </w:t>
      </w:r>
      <w:r w:rsidRPr="003345E5">
        <w:rPr>
          <w:rFonts w:cs="Times New Roman"/>
        </w:rPr>
        <w:t>intraparticle diffusion rate constant</w:t>
      </w:r>
      <w:r>
        <w:rPr>
          <w:rFonts w:cs="Times New Roman"/>
        </w:rPr>
        <w:t xml:space="preserve">, </w:t>
      </w:r>
      <w:r w:rsidRPr="00B50702">
        <w:rPr>
          <w:rFonts w:cs="Times New Roman"/>
          <w:bCs/>
          <w:iCs/>
        </w:rPr>
        <w:t>g</w:t>
      </w:r>
      <w:r w:rsidRPr="007D7724">
        <w:rPr>
          <w:rFonts w:cs="Times New Roman"/>
        </w:rPr>
        <w:t>·</w:t>
      </w:r>
      <w:r w:rsidRPr="00B50702">
        <w:rPr>
          <w:rFonts w:cs="Times New Roman"/>
          <w:bCs/>
          <w:iCs/>
        </w:rPr>
        <w:t>g</w:t>
      </w:r>
      <w:r w:rsidRPr="00B50702">
        <w:rPr>
          <w:rFonts w:cs="Times New Roman"/>
          <w:bCs/>
          <w:iCs/>
          <w:vertAlign w:val="superscript"/>
        </w:rPr>
        <w:t>-1</w:t>
      </w:r>
      <w:r w:rsidRPr="00B50702">
        <w:rPr>
          <w:rFonts w:cs="Times New Roman"/>
          <w:bCs/>
          <w:iCs/>
        </w:rPr>
        <w:t xml:space="preserve"> h</w:t>
      </w:r>
      <w:r w:rsidRPr="00B50702">
        <w:rPr>
          <w:rFonts w:cs="Times New Roman"/>
          <w:bCs/>
          <w:iCs/>
          <w:vertAlign w:val="superscript"/>
        </w:rPr>
        <w:t>-0.5</w:t>
      </w:r>
      <w:r w:rsidRPr="00264F0C">
        <w:rPr>
          <w:rFonts w:cs="Times New Roman"/>
          <w:bCs/>
          <w:iCs/>
        </w:rPr>
        <w:t>;</w:t>
      </w:r>
    </w:p>
    <w:p w14:paraId="4D80C1B9" w14:textId="77777777" w:rsidR="007E3433" w:rsidRPr="00B50702" w:rsidRDefault="007E3433" w:rsidP="007E3433">
      <w:pPr>
        <w:tabs>
          <w:tab w:val="left" w:pos="426"/>
        </w:tabs>
        <w:ind w:left="120" w:hangingChars="50" w:hanging="120"/>
        <w:jc w:val="both"/>
        <w:rPr>
          <w:rFonts w:cs="Times New Roman"/>
        </w:rPr>
      </w:pPr>
      <w:proofErr w:type="spellStart"/>
      <w:r w:rsidRPr="00B50702">
        <w:rPr>
          <w:rFonts w:cs="Times New Roman"/>
          <w:i/>
        </w:rPr>
        <w:t>q</w:t>
      </w:r>
      <w:r w:rsidRPr="00B50702">
        <w:rPr>
          <w:rFonts w:cs="Times New Roman"/>
          <w:vertAlign w:val="subscript"/>
        </w:rPr>
        <w:t>e</w:t>
      </w:r>
      <w:proofErr w:type="spellEnd"/>
      <w:r w:rsidRPr="00B50702">
        <w:rPr>
          <w:rFonts w:cs="Times New Roman"/>
        </w:rPr>
        <w:t xml:space="preserve">: </w:t>
      </w:r>
      <w:bookmarkStart w:id="3" w:name="_Hlk101683729"/>
      <w:r w:rsidRPr="003345E5">
        <w:rPr>
          <w:rFonts w:cs="Times New Roman"/>
        </w:rPr>
        <w:t>equilibrium adsorption capacity</w:t>
      </w:r>
      <w:r>
        <w:rPr>
          <w:rFonts w:cs="Times New Roman"/>
        </w:rPr>
        <w:t xml:space="preserve">, </w:t>
      </w:r>
      <w:r w:rsidRPr="00B50702">
        <w:rPr>
          <w:rFonts w:cs="Times New Roman"/>
        </w:rPr>
        <w:t>g</w:t>
      </w:r>
      <w:r w:rsidRPr="007D7724">
        <w:rPr>
          <w:rFonts w:cs="Times New Roman"/>
        </w:rPr>
        <w:t>·</w:t>
      </w:r>
      <w:r w:rsidRPr="00B50702">
        <w:rPr>
          <w:rFonts w:cs="Times New Roman"/>
        </w:rPr>
        <w:t>g</w:t>
      </w:r>
      <w:r w:rsidRPr="00B50702">
        <w:rPr>
          <w:rFonts w:cs="Times New Roman"/>
          <w:vertAlign w:val="superscript"/>
        </w:rPr>
        <w:t>-1</w:t>
      </w:r>
      <w:bookmarkEnd w:id="3"/>
      <w:r w:rsidRPr="00264F0C">
        <w:rPr>
          <w:rFonts w:cs="Times New Roman"/>
        </w:rPr>
        <w:t>;</w:t>
      </w:r>
    </w:p>
    <w:p w14:paraId="5F94A58E" w14:textId="77777777" w:rsidR="007E3433" w:rsidRPr="00B50702" w:rsidRDefault="007E3433" w:rsidP="007E3433">
      <w:pPr>
        <w:tabs>
          <w:tab w:val="left" w:pos="426"/>
        </w:tabs>
        <w:ind w:firstLineChars="0" w:firstLine="0"/>
        <w:jc w:val="both"/>
        <w:rPr>
          <w:rFonts w:cs="Times New Roman"/>
          <w:iCs/>
        </w:rPr>
      </w:pPr>
      <w:r w:rsidRPr="00B50702">
        <w:rPr>
          <w:rFonts w:cs="Times New Roman"/>
          <w:i/>
        </w:rPr>
        <w:t>q</w:t>
      </w:r>
      <w:r w:rsidRPr="00B50702">
        <w:rPr>
          <w:rFonts w:cs="Times New Roman"/>
          <w:vertAlign w:val="subscript"/>
        </w:rPr>
        <w:t>t</w:t>
      </w:r>
      <w:r w:rsidRPr="00B50702">
        <w:rPr>
          <w:rFonts w:cs="Times New Roman"/>
          <w:iCs/>
        </w:rPr>
        <w:t xml:space="preserve">: </w:t>
      </w:r>
      <w:r w:rsidRPr="003345E5">
        <w:rPr>
          <w:rFonts w:cs="Times New Roman"/>
        </w:rPr>
        <w:t xml:space="preserve">adsorption capacity within t </w:t>
      </w:r>
      <w:r>
        <w:rPr>
          <w:rFonts w:cs="Times New Roman"/>
        </w:rPr>
        <w:t>h</w:t>
      </w:r>
      <w:r>
        <w:rPr>
          <w:rFonts w:cs="Times New Roman" w:hint="eastAsia"/>
        </w:rPr>
        <w:t>,</w:t>
      </w:r>
      <w:r>
        <w:rPr>
          <w:rFonts w:cs="Times New Roman"/>
        </w:rPr>
        <w:t xml:space="preserve"> </w:t>
      </w:r>
      <w:r w:rsidRPr="00B50702">
        <w:rPr>
          <w:rFonts w:cs="Times New Roman"/>
        </w:rPr>
        <w:t>g</w:t>
      </w:r>
      <w:r w:rsidRPr="007D7724">
        <w:rPr>
          <w:rFonts w:cs="Times New Roman"/>
        </w:rPr>
        <w:t>·</w:t>
      </w:r>
      <w:r w:rsidRPr="00B50702">
        <w:rPr>
          <w:rFonts w:cs="Times New Roman"/>
        </w:rPr>
        <w:t>g</w:t>
      </w:r>
      <w:r w:rsidRPr="00B50702">
        <w:rPr>
          <w:rFonts w:cs="Times New Roman"/>
          <w:vertAlign w:val="superscript"/>
        </w:rPr>
        <w:t>-1</w:t>
      </w:r>
      <w:r w:rsidRPr="00B50702">
        <w:rPr>
          <w:rFonts w:cs="Times New Roman"/>
          <w:iCs/>
        </w:rPr>
        <w:t>。</w:t>
      </w:r>
    </w:p>
    <w:p w14:paraId="64A02023" w14:textId="77777777" w:rsidR="007E3433" w:rsidRPr="00B50702" w:rsidRDefault="007E3433" w:rsidP="007E3433">
      <w:pPr>
        <w:tabs>
          <w:tab w:val="left" w:pos="426"/>
        </w:tabs>
        <w:ind w:firstLineChars="0" w:firstLine="0"/>
        <w:jc w:val="both"/>
        <w:rPr>
          <w:rFonts w:cs="Times New Roman"/>
          <w:position w:val="-12"/>
        </w:rPr>
      </w:pPr>
      <w:r w:rsidRPr="00B50702">
        <w:rPr>
          <w:rFonts w:cs="Times New Roman"/>
          <w:i/>
        </w:rPr>
        <w:t>C</w:t>
      </w:r>
      <w:r w:rsidRPr="00B50702">
        <w:rPr>
          <w:rFonts w:cs="Times New Roman"/>
          <w:iCs/>
        </w:rPr>
        <w:t xml:space="preserve">: </w:t>
      </w:r>
      <w:r w:rsidRPr="003345E5">
        <w:rPr>
          <w:rFonts w:cs="Times New Roman"/>
          <w:iCs/>
        </w:rPr>
        <w:t xml:space="preserve">constant, reaction boundary layer effect (liquid film resistance); </w:t>
      </w:r>
      <w:r w:rsidRPr="003345E5">
        <w:rPr>
          <w:rFonts w:cs="Times New Roman"/>
          <w:i/>
        </w:rPr>
        <w:t>C</w:t>
      </w:r>
      <w:r w:rsidRPr="003345E5">
        <w:rPr>
          <w:rFonts w:cs="Times New Roman"/>
          <w:iCs/>
        </w:rPr>
        <w:t xml:space="preserve"> &gt; 0 indicates that liquid film diffusion is involved in the control.</w:t>
      </w:r>
    </w:p>
    <w:p w14:paraId="6DFDB99A" w14:textId="77777777" w:rsidR="007E3433" w:rsidRPr="000426C5" w:rsidRDefault="007E3433" w:rsidP="007E3433">
      <w:pPr>
        <w:ind w:firstLineChars="0" w:firstLine="0"/>
        <w:jc w:val="both"/>
        <w:rPr>
          <w:rFonts w:eastAsiaTheme="minorEastAsia" w:cs="Times New Roman"/>
          <w:b/>
          <w:bCs/>
        </w:rPr>
      </w:pPr>
      <w:r w:rsidRPr="000426C5">
        <w:rPr>
          <w:rFonts w:eastAsiaTheme="minorEastAsia" w:cs="Times New Roman"/>
          <w:b/>
          <w:bCs/>
        </w:rPr>
        <w:t>4.4</w:t>
      </w:r>
      <w:r w:rsidRPr="000426C5">
        <w:rPr>
          <w:b/>
          <w:bCs/>
          <w:sz w:val="22"/>
          <w:szCs w:val="21"/>
        </w:rPr>
        <w:t xml:space="preserve"> </w:t>
      </w:r>
      <w:r w:rsidRPr="000426C5">
        <w:rPr>
          <w:rFonts w:eastAsiaTheme="minorEastAsia" w:cs="Times New Roman"/>
          <w:b/>
          <w:bCs/>
        </w:rPr>
        <w:t>Adsorption isotherm</w:t>
      </w:r>
    </w:p>
    <w:p w14:paraId="39C62F73" w14:textId="77777777" w:rsidR="007E3433" w:rsidRPr="00B50702" w:rsidRDefault="007E3433" w:rsidP="007E3433">
      <w:pPr>
        <w:ind w:firstLine="240"/>
        <w:jc w:val="both"/>
      </w:pPr>
      <w:r w:rsidRPr="003345E5">
        <w:t>The adsorption isotherms of PEI@PAA aerogel for gaseous iodine were measured at 80, 100, and 120 °C. 50 mg of adsorbent was added into the sealed jar, where the equilibrium concentration of iodine vapor varied from 0 to 1200 mg·L</w:t>
      </w:r>
      <w:r w:rsidRPr="00264F0C">
        <w:rPr>
          <w:vertAlign w:val="superscript"/>
        </w:rPr>
        <w:t>-1</w:t>
      </w:r>
      <w:r w:rsidRPr="003345E5">
        <w:t>. The adsorption time was 20 h. The adsorption process was fitted using Langmuir, Freundlich, and Temkin isothermal adsorption models, with the equations as follows:</w:t>
      </w:r>
    </w:p>
    <w:p w14:paraId="031714D7" w14:textId="77777777" w:rsidR="007E3433" w:rsidRPr="00B50702" w:rsidRDefault="007E3433" w:rsidP="007E3433">
      <w:pPr>
        <w:tabs>
          <w:tab w:val="left" w:pos="426"/>
          <w:tab w:val="center" w:pos="4253"/>
          <w:tab w:val="center" w:pos="6663"/>
        </w:tabs>
        <w:ind w:firstLineChars="0" w:firstLine="0"/>
        <w:jc w:val="both"/>
        <w:rPr>
          <w:rFonts w:cs="Times New Roman"/>
          <w:iCs/>
          <w:sz w:val="28"/>
          <w:szCs w:val="24"/>
        </w:rPr>
      </w:pPr>
      <w:r w:rsidRPr="00B50702">
        <w:rPr>
          <w:rFonts w:cs="Times New Roman"/>
          <w:sz w:val="28"/>
          <w:szCs w:val="24"/>
        </w:rPr>
        <w:tab/>
      </w:r>
      <w:r>
        <w:rPr>
          <w:rFonts w:cs="Times New Roman"/>
          <w:sz w:val="28"/>
          <w:szCs w:val="24"/>
        </w:rPr>
        <w:tab/>
      </w:r>
      <m:oMath>
        <m:sSub>
          <m:sSubPr>
            <m:ctrlPr>
              <w:rPr>
                <w:rFonts w:ascii="Cambria Math" w:hAnsi="Cambria Math" w:cs="Times New Roman"/>
                <w:i/>
                <w:sz w:val="28"/>
                <w:szCs w:val="24"/>
              </w:rPr>
            </m:ctrlPr>
          </m:sSubPr>
          <m:e>
            <m:r>
              <m:rPr>
                <m:nor/>
              </m:rPr>
              <w:rPr>
                <w:rFonts w:cs="Times New Roman"/>
                <w:i/>
                <w:sz w:val="28"/>
                <w:szCs w:val="24"/>
              </w:rPr>
              <m:t>q</m:t>
            </m:r>
          </m:e>
          <m:sub>
            <m:r>
              <m:rPr>
                <m:nor/>
              </m:rPr>
              <w:rPr>
                <w:rFonts w:cs="Times New Roman"/>
                <w:i/>
                <w:sz w:val="28"/>
                <w:szCs w:val="24"/>
              </w:rPr>
              <m:t>e</m:t>
            </m:r>
          </m:sub>
        </m:sSub>
        <m:r>
          <m:rPr>
            <m:nor/>
          </m:rPr>
          <w:rPr>
            <w:rFonts w:cs="Times New Roman"/>
            <w:iCs/>
            <w:sz w:val="28"/>
            <w:szCs w:val="24"/>
          </w:rPr>
          <m:t xml:space="preserve"> = </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m:rPr>
                    <m:nor/>
                  </m:rPr>
                  <w:rPr>
                    <w:rFonts w:cs="Times New Roman"/>
                    <w:i/>
                    <w:sz w:val="28"/>
                    <w:szCs w:val="24"/>
                  </w:rPr>
                  <m:t>k</m:t>
                </m:r>
              </m:e>
              <m:sub>
                <m:r>
                  <m:rPr>
                    <m:nor/>
                  </m:rPr>
                  <w:rPr>
                    <w:rFonts w:cs="Times New Roman"/>
                    <w:iCs/>
                    <w:sz w:val="28"/>
                    <w:szCs w:val="24"/>
                  </w:rPr>
                  <m:t>L</m:t>
                </m:r>
              </m:sub>
            </m:sSub>
            <m:r>
              <w:rPr>
                <w:rFonts w:ascii="Cambria Math" w:hAnsi="Cambria Math" w:cs="Times New Roman"/>
                <w:sz w:val="28"/>
                <w:szCs w:val="24"/>
              </w:rPr>
              <m:t xml:space="preserve"> </m:t>
            </m:r>
            <m:sSub>
              <m:sSubPr>
                <m:ctrlPr>
                  <w:rPr>
                    <w:rFonts w:ascii="Cambria Math" w:hAnsi="Cambria Math" w:cs="Times New Roman"/>
                    <w:i/>
                    <w:sz w:val="28"/>
                    <w:szCs w:val="24"/>
                  </w:rPr>
                </m:ctrlPr>
              </m:sSubPr>
              <m:e>
                <m:r>
                  <m:rPr>
                    <m:nor/>
                  </m:rPr>
                  <w:rPr>
                    <w:rFonts w:cs="Times New Roman"/>
                    <w:i/>
                    <w:sz w:val="28"/>
                    <w:szCs w:val="24"/>
                  </w:rPr>
                  <m:t>C</m:t>
                </m:r>
              </m:e>
              <m:sub>
                <m:r>
                  <m:rPr>
                    <m:nor/>
                  </m:rPr>
                  <w:rPr>
                    <w:rFonts w:cs="Times New Roman"/>
                    <w:iCs/>
                    <w:sz w:val="28"/>
                    <w:szCs w:val="24"/>
                  </w:rPr>
                  <m:t>e</m:t>
                </m:r>
              </m:sub>
            </m:sSub>
            <m:r>
              <w:rPr>
                <w:rFonts w:ascii="Cambria Math" w:hAnsi="Cambria Math" w:cs="Times New Roman"/>
                <w:sz w:val="28"/>
                <w:szCs w:val="24"/>
              </w:rPr>
              <m:t xml:space="preserve"> </m:t>
            </m:r>
            <m:sSub>
              <m:sSubPr>
                <m:ctrlPr>
                  <w:rPr>
                    <w:rFonts w:ascii="Cambria Math" w:hAnsi="Cambria Math" w:cs="Times New Roman"/>
                    <w:i/>
                    <w:sz w:val="28"/>
                    <w:szCs w:val="24"/>
                  </w:rPr>
                </m:ctrlPr>
              </m:sSubPr>
              <m:e>
                <m:r>
                  <m:rPr>
                    <m:nor/>
                  </m:rPr>
                  <w:rPr>
                    <w:rFonts w:cs="Times New Roman"/>
                    <w:i/>
                    <w:sz w:val="28"/>
                    <w:szCs w:val="24"/>
                  </w:rPr>
                  <m:t>q</m:t>
                </m:r>
              </m:e>
              <m:sub>
                <m:r>
                  <m:rPr>
                    <m:nor/>
                  </m:rPr>
                  <w:rPr>
                    <w:rFonts w:cs="Times New Roman"/>
                    <w:iCs/>
                    <w:sz w:val="28"/>
                    <w:szCs w:val="24"/>
                  </w:rPr>
                  <m:t>m</m:t>
                </m:r>
              </m:sub>
            </m:sSub>
          </m:num>
          <m:den>
            <m:r>
              <m:rPr>
                <m:nor/>
              </m:rPr>
              <w:rPr>
                <w:rFonts w:cs="Times New Roman"/>
                <w:iCs/>
                <w:sz w:val="28"/>
                <w:szCs w:val="24"/>
              </w:rPr>
              <m:t>1</m:t>
            </m:r>
            <m:r>
              <m:rPr>
                <m:nor/>
              </m:rPr>
              <w:rPr>
                <w:rFonts w:cs="Times New Roman"/>
                <w:i/>
                <w:sz w:val="28"/>
                <w:szCs w:val="24"/>
              </w:rPr>
              <m:t>+</m:t>
            </m:r>
            <m:sSub>
              <m:sSubPr>
                <m:ctrlPr>
                  <w:rPr>
                    <w:rFonts w:ascii="Cambria Math" w:hAnsi="Cambria Math" w:cs="Times New Roman"/>
                    <w:i/>
                    <w:sz w:val="28"/>
                    <w:szCs w:val="24"/>
                  </w:rPr>
                </m:ctrlPr>
              </m:sSubPr>
              <m:e>
                <m:r>
                  <m:rPr>
                    <m:nor/>
                  </m:rPr>
                  <w:rPr>
                    <w:rFonts w:cs="Times New Roman"/>
                    <w:i/>
                    <w:sz w:val="28"/>
                    <w:szCs w:val="24"/>
                  </w:rPr>
                  <m:t>k</m:t>
                </m:r>
              </m:e>
              <m:sub>
                <m:r>
                  <m:rPr>
                    <m:nor/>
                  </m:rPr>
                  <w:rPr>
                    <w:rFonts w:cs="Times New Roman"/>
                    <w:iCs/>
                    <w:sz w:val="28"/>
                    <w:szCs w:val="24"/>
                  </w:rPr>
                  <m:t>L</m:t>
                </m:r>
              </m:sub>
            </m:sSub>
            <m:sSub>
              <m:sSubPr>
                <m:ctrlPr>
                  <w:rPr>
                    <w:rFonts w:ascii="Cambria Math" w:hAnsi="Cambria Math" w:cs="Times New Roman"/>
                    <w:i/>
                    <w:sz w:val="28"/>
                    <w:szCs w:val="24"/>
                  </w:rPr>
                </m:ctrlPr>
              </m:sSubPr>
              <m:e>
                <m:r>
                  <m:rPr>
                    <m:nor/>
                  </m:rPr>
                  <w:rPr>
                    <w:rFonts w:cs="Times New Roman"/>
                    <w:i/>
                    <w:sz w:val="28"/>
                    <w:szCs w:val="24"/>
                  </w:rPr>
                  <m:t>C</m:t>
                </m:r>
              </m:e>
              <m:sub>
                <m:r>
                  <m:rPr>
                    <m:nor/>
                  </m:rPr>
                  <w:rPr>
                    <w:rFonts w:cs="Times New Roman"/>
                    <w:iCs/>
                    <w:sz w:val="28"/>
                    <w:szCs w:val="24"/>
                  </w:rPr>
                  <m:t>e</m:t>
                </m:r>
              </m:sub>
            </m:sSub>
          </m:den>
        </m:f>
      </m:oMath>
      <w:r w:rsidRPr="00B50702">
        <w:rPr>
          <w:rFonts w:cs="Times New Roman"/>
          <w:i/>
          <w:sz w:val="28"/>
          <w:szCs w:val="24"/>
        </w:rPr>
        <w:t xml:space="preserve">  </w:t>
      </w:r>
      <w:r w:rsidRPr="00B50702">
        <w:rPr>
          <w:rFonts w:cs="Times New Roman"/>
          <w:i/>
          <w:sz w:val="28"/>
          <w:szCs w:val="24"/>
        </w:rPr>
        <w:tab/>
      </w:r>
      <w:r w:rsidRPr="00264F0C">
        <w:rPr>
          <w:rFonts w:cs="Times New Roman"/>
          <w:iCs/>
          <w:szCs w:val="24"/>
        </w:rPr>
        <w:t>(</w:t>
      </w:r>
      <w:r>
        <w:rPr>
          <w:rFonts w:cs="Times New Roman"/>
          <w:iCs/>
          <w:szCs w:val="24"/>
        </w:rPr>
        <w:t>7</w:t>
      </w:r>
      <w:r w:rsidRPr="00264F0C">
        <w:rPr>
          <w:rFonts w:cs="Times New Roman"/>
          <w:iCs/>
          <w:szCs w:val="24"/>
        </w:rPr>
        <w:t>)</w:t>
      </w:r>
    </w:p>
    <w:p w14:paraId="27872937" w14:textId="77777777" w:rsidR="007E3433" w:rsidRPr="00B50702" w:rsidRDefault="007E3433" w:rsidP="007E3433">
      <w:pPr>
        <w:tabs>
          <w:tab w:val="left" w:pos="426"/>
          <w:tab w:val="center" w:pos="4253"/>
          <w:tab w:val="center" w:pos="6663"/>
        </w:tabs>
        <w:ind w:firstLine="280"/>
        <w:jc w:val="both"/>
        <w:rPr>
          <w:rFonts w:cs="Times New Roman"/>
          <w:sz w:val="28"/>
          <w:szCs w:val="24"/>
        </w:rPr>
      </w:pPr>
      <w:r>
        <w:rPr>
          <w:rFonts w:cs="Times New Roman"/>
          <w:iCs/>
          <w:sz w:val="28"/>
          <w:szCs w:val="24"/>
        </w:rPr>
        <w:tab/>
      </w:r>
      <w:r w:rsidRPr="00B50702">
        <w:rPr>
          <w:rFonts w:cs="Times New Roman"/>
          <w:iCs/>
          <w:sz w:val="28"/>
          <w:szCs w:val="24"/>
        </w:rPr>
        <w:tab/>
      </w:r>
      <m:oMath>
        <m:sSub>
          <m:sSubPr>
            <m:ctrlPr>
              <w:rPr>
                <w:rFonts w:ascii="Cambria Math" w:hAnsi="Cambria Math" w:cs="Times New Roman"/>
                <w:i/>
                <w:iCs/>
                <w:sz w:val="28"/>
                <w:szCs w:val="24"/>
              </w:rPr>
            </m:ctrlPr>
          </m:sSubPr>
          <m:e>
            <m:r>
              <m:rPr>
                <m:nor/>
              </m:rPr>
              <w:rPr>
                <w:rFonts w:cs="Times New Roman"/>
                <w:i/>
                <w:iCs/>
                <w:sz w:val="28"/>
                <w:szCs w:val="24"/>
              </w:rPr>
              <m:t>q</m:t>
            </m:r>
          </m:e>
          <m:sub>
            <m:r>
              <m:rPr>
                <m:nor/>
              </m:rPr>
              <w:rPr>
                <w:rFonts w:cs="Times New Roman"/>
                <w:sz w:val="28"/>
                <w:szCs w:val="24"/>
              </w:rPr>
              <m:t>e</m:t>
            </m:r>
          </m:sub>
        </m:sSub>
        <m:r>
          <m:rPr>
            <m:nor/>
          </m:rPr>
          <w:rPr>
            <w:rFonts w:cs="Times New Roman"/>
            <w:sz w:val="28"/>
            <w:szCs w:val="24"/>
          </w:rPr>
          <m:t xml:space="preserve"> = </m:t>
        </m:r>
        <m:sSub>
          <m:sSubPr>
            <m:ctrlPr>
              <w:rPr>
                <w:rFonts w:ascii="Cambria Math" w:hAnsi="Cambria Math" w:cs="Times New Roman"/>
                <w:i/>
                <w:iCs/>
                <w:sz w:val="28"/>
                <w:szCs w:val="24"/>
              </w:rPr>
            </m:ctrlPr>
          </m:sSubPr>
          <m:e>
            <m:r>
              <m:rPr>
                <m:nor/>
              </m:rPr>
              <w:rPr>
                <w:rFonts w:cs="Times New Roman"/>
                <w:i/>
                <w:iCs/>
                <w:sz w:val="28"/>
                <w:szCs w:val="24"/>
              </w:rPr>
              <m:t>k</m:t>
            </m:r>
          </m:e>
          <m:sub>
            <m:r>
              <m:rPr>
                <m:nor/>
              </m:rPr>
              <w:rPr>
                <w:rFonts w:cs="Times New Roman"/>
                <w:sz w:val="28"/>
                <w:szCs w:val="24"/>
              </w:rPr>
              <m:t>F</m:t>
            </m:r>
          </m:sub>
        </m:sSub>
        <m:sSubSup>
          <m:sSubSupPr>
            <m:ctrlPr>
              <w:rPr>
                <w:rFonts w:ascii="Cambria Math" w:hAnsi="Cambria Math" w:cs="Times New Roman"/>
                <w:i/>
                <w:iCs/>
                <w:sz w:val="28"/>
                <w:szCs w:val="24"/>
              </w:rPr>
            </m:ctrlPr>
          </m:sSubSupPr>
          <m:e>
            <m:r>
              <m:rPr>
                <m:nor/>
              </m:rPr>
              <w:rPr>
                <w:rFonts w:cs="Times New Roman"/>
                <w:i/>
                <w:iCs/>
                <w:sz w:val="28"/>
                <w:szCs w:val="24"/>
              </w:rPr>
              <m:t>C</m:t>
            </m:r>
          </m:e>
          <m:sub>
            <m:r>
              <m:rPr>
                <m:nor/>
              </m:rPr>
              <w:rPr>
                <w:rFonts w:cs="Times New Roman"/>
                <w:sz w:val="28"/>
                <w:szCs w:val="24"/>
              </w:rPr>
              <m:t>e</m:t>
            </m:r>
          </m:sub>
          <m:sup>
            <m:f>
              <m:fPr>
                <m:type m:val="lin"/>
                <m:ctrlPr>
                  <w:rPr>
                    <w:rFonts w:ascii="Cambria Math" w:hAnsi="Cambria Math" w:cs="Times New Roman"/>
                    <w:i/>
                    <w:iCs/>
                    <w:sz w:val="28"/>
                    <w:szCs w:val="24"/>
                  </w:rPr>
                </m:ctrlPr>
              </m:fPr>
              <m:num>
                <m:r>
                  <m:rPr>
                    <m:nor/>
                  </m:rPr>
                  <w:rPr>
                    <w:rFonts w:cs="Times New Roman"/>
                    <w:sz w:val="28"/>
                    <w:szCs w:val="24"/>
                  </w:rPr>
                  <m:t>1</m:t>
                </m:r>
              </m:num>
              <m:den>
                <m:r>
                  <m:rPr>
                    <m:nor/>
                  </m:rPr>
                  <w:rPr>
                    <w:rFonts w:cs="Times New Roman"/>
                    <w:i/>
                    <w:iCs/>
                    <w:sz w:val="28"/>
                    <w:szCs w:val="24"/>
                  </w:rPr>
                  <m:t>n</m:t>
                </m:r>
              </m:den>
            </m:f>
          </m:sup>
        </m:sSubSup>
      </m:oMath>
      <w:r w:rsidRPr="00B50702">
        <w:rPr>
          <w:rFonts w:cs="Times New Roman"/>
          <w:i/>
          <w:iCs/>
          <w:sz w:val="28"/>
          <w:szCs w:val="24"/>
        </w:rPr>
        <w:t xml:space="preserve"> </w:t>
      </w:r>
      <w:r w:rsidRPr="00B50702">
        <w:rPr>
          <w:rFonts w:cs="Times New Roman"/>
          <w:i/>
          <w:iCs/>
          <w:sz w:val="28"/>
          <w:szCs w:val="24"/>
        </w:rPr>
        <w:tab/>
      </w:r>
      <w:r w:rsidRPr="00264F0C">
        <w:rPr>
          <w:rFonts w:cs="Times New Roman"/>
        </w:rPr>
        <w:t>(</w:t>
      </w:r>
      <w:r>
        <w:rPr>
          <w:rFonts w:cs="Times New Roman"/>
        </w:rPr>
        <w:t>8</w:t>
      </w:r>
      <w:r w:rsidRPr="00264F0C">
        <w:rPr>
          <w:rFonts w:cs="Times New Roman"/>
        </w:rPr>
        <w:t>)</w:t>
      </w:r>
    </w:p>
    <w:p w14:paraId="0744E3CD" w14:textId="77777777" w:rsidR="007E3433" w:rsidRPr="00B50702" w:rsidRDefault="007E3433" w:rsidP="007E3433">
      <w:pPr>
        <w:tabs>
          <w:tab w:val="left" w:pos="426"/>
          <w:tab w:val="center" w:pos="4253"/>
          <w:tab w:val="center" w:pos="6663"/>
        </w:tabs>
        <w:ind w:firstLine="280"/>
        <w:jc w:val="both"/>
        <w:rPr>
          <w:rFonts w:cs="Times New Roman"/>
          <w:i/>
          <w:iCs/>
          <w:sz w:val="28"/>
          <w:szCs w:val="24"/>
        </w:rPr>
      </w:pPr>
      <w:r>
        <w:rPr>
          <w:rFonts w:cs="Times New Roman"/>
          <w:iCs/>
          <w:sz w:val="28"/>
          <w:szCs w:val="24"/>
        </w:rPr>
        <w:tab/>
      </w:r>
      <w:r w:rsidRPr="00B50702">
        <w:rPr>
          <w:rFonts w:cs="Times New Roman"/>
          <w:iCs/>
          <w:sz w:val="28"/>
          <w:szCs w:val="24"/>
        </w:rPr>
        <w:tab/>
      </w:r>
      <m:oMath>
        <m:sSub>
          <m:sSubPr>
            <m:ctrlPr>
              <w:rPr>
                <w:rFonts w:ascii="Cambria Math" w:hAnsi="Cambria Math" w:cs="Times New Roman"/>
                <w:i/>
                <w:iCs/>
                <w:sz w:val="28"/>
                <w:szCs w:val="24"/>
              </w:rPr>
            </m:ctrlPr>
          </m:sSubPr>
          <m:e>
            <m:r>
              <m:rPr>
                <m:nor/>
              </m:rPr>
              <w:rPr>
                <w:rFonts w:cs="Times New Roman"/>
                <w:i/>
                <w:iCs/>
                <w:sz w:val="28"/>
                <w:szCs w:val="24"/>
              </w:rPr>
              <m:t>q</m:t>
            </m:r>
          </m:e>
          <m:sub>
            <m:r>
              <m:rPr>
                <m:nor/>
              </m:rPr>
              <w:rPr>
                <w:rFonts w:cs="Times New Roman"/>
                <w:i/>
                <w:iCs/>
                <w:sz w:val="28"/>
                <w:szCs w:val="24"/>
              </w:rPr>
              <m:t>e</m:t>
            </m:r>
          </m:sub>
        </m:sSub>
        <m:r>
          <m:rPr>
            <m:nor/>
          </m:rPr>
          <w:rPr>
            <w:rFonts w:cs="Times New Roman"/>
            <w:sz w:val="28"/>
            <w:szCs w:val="24"/>
          </w:rPr>
          <m:t xml:space="preserve"> = </m:t>
        </m:r>
        <w:proofErr w:type="spellStart"/>
        <m:r>
          <m:rPr>
            <m:nor/>
          </m:rPr>
          <w:rPr>
            <w:rFonts w:cs="Times New Roman"/>
            <w:i/>
            <w:iCs/>
            <w:sz w:val="28"/>
            <w:szCs w:val="24"/>
          </w:rPr>
          <m:t>Bln</m:t>
        </m:r>
        <w:proofErr w:type="spellEnd"/>
        <m:r>
          <m:rPr>
            <m:nor/>
          </m:rPr>
          <w:rPr>
            <w:rFonts w:cs="Times New Roman"/>
            <w:sz w:val="28"/>
            <w:szCs w:val="24"/>
          </w:rPr>
          <m:t>(</m:t>
        </m:r>
        <m:r>
          <m:rPr>
            <m:nor/>
          </m:rPr>
          <w:rPr>
            <w:rFonts w:cs="Times New Roman"/>
            <w:i/>
            <w:iCs/>
            <w:sz w:val="28"/>
            <w:szCs w:val="24"/>
          </w:rPr>
          <m:t>A</m:t>
        </m:r>
        <m:sSub>
          <m:sSubPr>
            <m:ctrlPr>
              <w:rPr>
                <w:rFonts w:ascii="Cambria Math" w:hAnsi="Cambria Math" w:cs="Times New Roman"/>
                <w:i/>
                <w:iCs/>
                <w:sz w:val="28"/>
                <w:szCs w:val="24"/>
              </w:rPr>
            </m:ctrlPr>
          </m:sSubPr>
          <m:e>
            <m:r>
              <m:rPr>
                <m:nor/>
              </m:rPr>
              <w:rPr>
                <w:rFonts w:cs="Times New Roman"/>
                <w:i/>
                <w:iCs/>
                <w:sz w:val="28"/>
                <w:szCs w:val="24"/>
              </w:rPr>
              <m:t>C</m:t>
            </m:r>
          </m:e>
          <m:sub>
            <m:r>
              <m:rPr>
                <m:nor/>
              </m:rPr>
              <w:rPr>
                <w:rFonts w:cs="Times New Roman"/>
                <w:sz w:val="28"/>
                <w:szCs w:val="24"/>
              </w:rPr>
              <m:t>e</m:t>
            </m:r>
          </m:sub>
        </m:sSub>
        <m:r>
          <m:rPr>
            <m:nor/>
          </m:rPr>
          <w:rPr>
            <w:rFonts w:cs="Times New Roman"/>
            <w:sz w:val="28"/>
            <w:szCs w:val="24"/>
          </w:rPr>
          <m:t>)</m:t>
        </m:r>
      </m:oMath>
      <w:r w:rsidRPr="00B50702">
        <w:rPr>
          <w:rFonts w:cs="Times New Roman"/>
          <w:i/>
          <w:iCs/>
          <w:sz w:val="28"/>
          <w:szCs w:val="24"/>
        </w:rPr>
        <w:t xml:space="preserve"> </w:t>
      </w:r>
      <w:r w:rsidRPr="00B50702">
        <w:rPr>
          <w:rFonts w:cs="Times New Roman"/>
          <w:i/>
          <w:iCs/>
          <w:sz w:val="28"/>
          <w:szCs w:val="24"/>
        </w:rPr>
        <w:tab/>
      </w:r>
      <w:r w:rsidRPr="00264F0C">
        <w:rPr>
          <w:rFonts w:cs="Times New Roman"/>
        </w:rPr>
        <w:t>(</w:t>
      </w:r>
      <w:r>
        <w:rPr>
          <w:rFonts w:cs="Times New Roman"/>
        </w:rPr>
        <w:t>9</w:t>
      </w:r>
      <w:r w:rsidRPr="00264F0C">
        <w:rPr>
          <w:rFonts w:cs="Times New Roman"/>
        </w:rPr>
        <w:t>)</w:t>
      </w:r>
    </w:p>
    <w:p w14:paraId="78E3D828" w14:textId="77777777" w:rsidR="007E3433" w:rsidRPr="00B50702" w:rsidRDefault="007E3433" w:rsidP="007E3433">
      <w:pPr>
        <w:tabs>
          <w:tab w:val="left" w:pos="426"/>
        </w:tabs>
        <w:ind w:firstLineChars="0" w:firstLine="0"/>
        <w:jc w:val="both"/>
        <w:rPr>
          <w:rFonts w:cs="Times New Roman"/>
        </w:rPr>
      </w:pPr>
      <w:proofErr w:type="spellStart"/>
      <w:r w:rsidRPr="00B50702">
        <w:rPr>
          <w:rFonts w:cs="Times New Roman"/>
          <w:i/>
        </w:rPr>
        <w:t>q</w:t>
      </w:r>
      <w:r w:rsidRPr="00B50702">
        <w:rPr>
          <w:rFonts w:cs="Times New Roman"/>
          <w:vertAlign w:val="subscript"/>
        </w:rPr>
        <w:t>m</w:t>
      </w:r>
      <w:proofErr w:type="spellEnd"/>
      <w:r w:rsidRPr="00B50702">
        <w:rPr>
          <w:rFonts w:cs="Times New Roman"/>
          <w:vertAlign w:val="subscript"/>
        </w:rPr>
        <w:softHyphen/>
      </w:r>
      <w:r w:rsidRPr="00B50702">
        <w:rPr>
          <w:rFonts w:cs="Times New Roman"/>
        </w:rPr>
        <w:t xml:space="preserve">: </w:t>
      </w:r>
      <w:r>
        <w:rPr>
          <w:rFonts w:cs="Times New Roman"/>
        </w:rPr>
        <w:t>T</w:t>
      </w:r>
      <w:r w:rsidRPr="00264F0C">
        <w:rPr>
          <w:rFonts w:cs="Times New Roman"/>
        </w:rPr>
        <w:t>heoretical maximum adsorption capacity</w:t>
      </w:r>
      <w:r>
        <w:rPr>
          <w:rFonts w:cs="Times New Roman" w:hint="eastAsia"/>
        </w:rPr>
        <w:t>,</w:t>
      </w:r>
      <w:r>
        <w:rPr>
          <w:rFonts w:cs="Times New Roman"/>
        </w:rPr>
        <w:t xml:space="preserve"> </w:t>
      </w:r>
      <w:r w:rsidRPr="00103A6F">
        <w:rPr>
          <w:rFonts w:cs="Times New Roman"/>
        </w:rPr>
        <w:t>g·g</w:t>
      </w:r>
      <w:r w:rsidRPr="00B50702">
        <w:rPr>
          <w:rFonts w:cs="Times New Roman"/>
          <w:vertAlign w:val="superscript"/>
        </w:rPr>
        <w:t>-1</w:t>
      </w:r>
      <w:r w:rsidRPr="00264F0C">
        <w:rPr>
          <w:rFonts w:cs="Times New Roman"/>
        </w:rPr>
        <w:t>;</w:t>
      </w:r>
    </w:p>
    <w:p w14:paraId="57E86892" w14:textId="77777777" w:rsidR="007E3433" w:rsidRPr="00B50702" w:rsidRDefault="007E3433" w:rsidP="007E3433">
      <w:pPr>
        <w:tabs>
          <w:tab w:val="left" w:pos="426"/>
        </w:tabs>
        <w:ind w:firstLineChars="0" w:firstLine="0"/>
        <w:jc w:val="both"/>
        <w:rPr>
          <w:rFonts w:cs="Times New Roman"/>
        </w:rPr>
      </w:pPr>
      <w:proofErr w:type="spellStart"/>
      <w:r w:rsidRPr="00B50702">
        <w:rPr>
          <w:rFonts w:cs="Times New Roman"/>
          <w:i/>
        </w:rPr>
        <w:t>q</w:t>
      </w:r>
      <w:r w:rsidRPr="00B50702">
        <w:rPr>
          <w:rFonts w:cs="Times New Roman"/>
          <w:vertAlign w:val="subscript"/>
        </w:rPr>
        <w:t>e</w:t>
      </w:r>
      <w:proofErr w:type="spellEnd"/>
      <w:r w:rsidRPr="00B50702">
        <w:rPr>
          <w:rFonts w:cs="Times New Roman"/>
        </w:rPr>
        <w:t xml:space="preserve">: </w:t>
      </w:r>
      <w:r>
        <w:rPr>
          <w:rFonts w:cs="Times New Roman"/>
        </w:rPr>
        <w:t>E</w:t>
      </w:r>
      <w:r w:rsidRPr="00264F0C">
        <w:rPr>
          <w:rFonts w:cs="Times New Roman"/>
        </w:rPr>
        <w:t>quilibrium adsorption capacity</w:t>
      </w:r>
      <w:r>
        <w:rPr>
          <w:rFonts w:cs="Times New Roman" w:hint="eastAsia"/>
        </w:rPr>
        <w:t>,</w:t>
      </w:r>
      <w:r>
        <w:rPr>
          <w:rFonts w:cs="Times New Roman"/>
        </w:rPr>
        <w:t xml:space="preserve"> </w:t>
      </w:r>
      <w:r w:rsidRPr="00103A6F">
        <w:rPr>
          <w:rFonts w:cs="Times New Roman"/>
        </w:rPr>
        <w:t>g·g</w:t>
      </w:r>
      <w:r w:rsidRPr="00B50702">
        <w:rPr>
          <w:rFonts w:cs="Times New Roman"/>
          <w:vertAlign w:val="superscript"/>
        </w:rPr>
        <w:t>-</w:t>
      </w:r>
      <w:proofErr w:type="gramStart"/>
      <w:r w:rsidRPr="00B50702">
        <w:rPr>
          <w:rFonts w:cs="Times New Roman"/>
          <w:vertAlign w:val="superscript"/>
        </w:rPr>
        <w:t>1</w:t>
      </w:r>
      <w:r w:rsidRPr="00B50702">
        <w:rPr>
          <w:rFonts w:cs="Times New Roman"/>
        </w:rPr>
        <w:t xml:space="preserve"> </w:t>
      </w:r>
      <w:r w:rsidRPr="00264F0C">
        <w:rPr>
          <w:rFonts w:cs="Times New Roman"/>
        </w:rPr>
        <w:t>;</w:t>
      </w:r>
      <w:proofErr w:type="gramEnd"/>
    </w:p>
    <w:p w14:paraId="0A009491" w14:textId="77777777" w:rsidR="007E3433" w:rsidRPr="00B50702" w:rsidRDefault="007E3433" w:rsidP="007E3433">
      <w:pPr>
        <w:tabs>
          <w:tab w:val="left" w:pos="426"/>
        </w:tabs>
        <w:ind w:firstLineChars="0" w:firstLine="0"/>
        <w:jc w:val="both"/>
        <w:rPr>
          <w:rFonts w:cs="Times New Roman"/>
        </w:rPr>
      </w:pPr>
      <w:r w:rsidRPr="00B50702">
        <w:rPr>
          <w:rFonts w:cs="Times New Roman"/>
          <w:i/>
        </w:rPr>
        <w:t>C</w:t>
      </w:r>
      <w:r w:rsidRPr="00B50702">
        <w:rPr>
          <w:rFonts w:cs="Times New Roman"/>
          <w:vertAlign w:val="subscript"/>
        </w:rPr>
        <w:t>e</w:t>
      </w:r>
      <w:r w:rsidRPr="00B50702">
        <w:rPr>
          <w:rFonts w:cs="Times New Roman"/>
        </w:rPr>
        <w:t xml:space="preserve">: </w:t>
      </w:r>
      <w:r w:rsidRPr="00264F0C">
        <w:rPr>
          <w:rFonts w:cs="Times New Roman"/>
        </w:rPr>
        <w:t>Concentration of iodine vapor at adsorption equilibrium</w:t>
      </w:r>
      <w:r>
        <w:rPr>
          <w:rFonts w:cs="Times New Roman" w:hint="eastAsia"/>
        </w:rPr>
        <w:t>,</w:t>
      </w:r>
      <w:r>
        <w:rPr>
          <w:rFonts w:cs="Times New Roman"/>
        </w:rPr>
        <w:t xml:space="preserve"> </w:t>
      </w:r>
      <w:r w:rsidRPr="00103A6F">
        <w:rPr>
          <w:rFonts w:cs="Times New Roman"/>
        </w:rPr>
        <w:t>g·L</w:t>
      </w:r>
      <w:r w:rsidRPr="00B50702">
        <w:rPr>
          <w:rFonts w:cs="Times New Roman"/>
          <w:vertAlign w:val="superscript"/>
        </w:rPr>
        <w:t>-1</w:t>
      </w:r>
      <w:r w:rsidRPr="00264F0C">
        <w:rPr>
          <w:rFonts w:cs="Times New Roman"/>
        </w:rPr>
        <w:t>;</w:t>
      </w:r>
    </w:p>
    <w:p w14:paraId="535024E3" w14:textId="77777777" w:rsidR="007E3433" w:rsidRPr="00B50702" w:rsidRDefault="007E3433" w:rsidP="007E3433">
      <w:pPr>
        <w:tabs>
          <w:tab w:val="left" w:pos="426"/>
        </w:tabs>
        <w:ind w:firstLineChars="0" w:firstLine="0"/>
        <w:jc w:val="both"/>
        <w:rPr>
          <w:rFonts w:cs="Times New Roman"/>
        </w:rPr>
      </w:pPr>
      <w:proofErr w:type="spellStart"/>
      <w:r w:rsidRPr="00B50702">
        <w:rPr>
          <w:rFonts w:cs="Times New Roman"/>
          <w:i/>
        </w:rPr>
        <w:t>k</w:t>
      </w:r>
      <w:r w:rsidRPr="00B50702">
        <w:rPr>
          <w:rFonts w:cs="Times New Roman"/>
          <w:iCs/>
          <w:vertAlign w:val="subscript"/>
        </w:rPr>
        <w:t>L</w:t>
      </w:r>
      <w:proofErr w:type="spellEnd"/>
      <w:r w:rsidRPr="00B50702">
        <w:rPr>
          <w:rFonts w:cs="Times New Roman"/>
        </w:rPr>
        <w:t xml:space="preserve">: </w:t>
      </w:r>
      <w:r w:rsidRPr="00264F0C">
        <w:rPr>
          <w:rFonts w:cs="Times New Roman"/>
        </w:rPr>
        <w:t>Langmuir adsorption constant</w:t>
      </w:r>
      <w:r>
        <w:rPr>
          <w:rFonts w:cs="Times New Roman" w:hint="eastAsia"/>
        </w:rPr>
        <w:t>,</w:t>
      </w:r>
      <w:r>
        <w:rPr>
          <w:rFonts w:cs="Times New Roman"/>
        </w:rPr>
        <w:t xml:space="preserve"> </w:t>
      </w:r>
      <w:r w:rsidRPr="00B50702">
        <w:rPr>
          <w:rFonts w:cs="Times New Roman"/>
        </w:rPr>
        <w:t>L</w:t>
      </w:r>
      <w:r w:rsidRPr="00264F0C">
        <w:rPr>
          <w:rFonts w:cs="Times New Roman"/>
        </w:rPr>
        <w:t>·</w:t>
      </w:r>
      <w:r w:rsidRPr="00B50702">
        <w:rPr>
          <w:rFonts w:cs="Times New Roman"/>
        </w:rPr>
        <w:t>g</w:t>
      </w:r>
      <w:r w:rsidRPr="00B50702">
        <w:rPr>
          <w:rFonts w:cs="Times New Roman"/>
          <w:vertAlign w:val="superscript"/>
        </w:rPr>
        <w:t>-1</w:t>
      </w:r>
      <w:r w:rsidRPr="00264F0C">
        <w:rPr>
          <w:rFonts w:cs="Times New Roman"/>
        </w:rPr>
        <w:t>;</w:t>
      </w:r>
    </w:p>
    <w:p w14:paraId="44A40ABB" w14:textId="77777777" w:rsidR="007E3433" w:rsidRPr="00B50702" w:rsidRDefault="007E3433" w:rsidP="007E3433">
      <w:pPr>
        <w:tabs>
          <w:tab w:val="left" w:pos="426"/>
        </w:tabs>
        <w:ind w:firstLineChars="0" w:firstLine="0"/>
        <w:jc w:val="both"/>
        <w:rPr>
          <w:rFonts w:cs="Times New Roman"/>
        </w:rPr>
      </w:pPr>
      <w:proofErr w:type="spellStart"/>
      <w:r>
        <w:rPr>
          <w:rFonts w:cs="Times New Roman"/>
          <w:i/>
        </w:rPr>
        <w:t>k</w:t>
      </w:r>
      <w:r w:rsidRPr="00B50702">
        <w:rPr>
          <w:rFonts w:cs="Times New Roman"/>
          <w:vertAlign w:val="subscript"/>
        </w:rPr>
        <w:t>F</w:t>
      </w:r>
      <w:proofErr w:type="spellEnd"/>
      <w:r w:rsidRPr="00B50702">
        <w:rPr>
          <w:rFonts w:cs="Times New Roman"/>
        </w:rPr>
        <w:t xml:space="preserve">: </w:t>
      </w:r>
      <w:r w:rsidRPr="00264F0C">
        <w:rPr>
          <w:rFonts w:cs="Times New Roman"/>
        </w:rPr>
        <w:t>Freundlich adsorption constant</w:t>
      </w:r>
      <w:r>
        <w:rPr>
          <w:rFonts w:cs="Times New Roman" w:hint="eastAsia"/>
        </w:rPr>
        <w:t>,</w:t>
      </w:r>
      <w:r>
        <w:rPr>
          <w:rFonts w:cs="Times New Roman"/>
        </w:rPr>
        <w:t xml:space="preserve"> </w:t>
      </w:r>
      <w:r w:rsidRPr="00B50702">
        <w:rPr>
          <w:rFonts w:cs="Times New Roman"/>
        </w:rPr>
        <w:t>(</w:t>
      </w:r>
      <w:bookmarkStart w:id="4" w:name="_Hlk214375528"/>
      <w:r w:rsidRPr="00B50702">
        <w:rPr>
          <w:rFonts w:cs="Times New Roman"/>
        </w:rPr>
        <w:t>g</w:t>
      </w:r>
      <w:r w:rsidRPr="00264F0C">
        <w:rPr>
          <w:rFonts w:cs="Times New Roman"/>
        </w:rPr>
        <w:t>·</w:t>
      </w:r>
      <w:r w:rsidRPr="00B50702">
        <w:rPr>
          <w:rFonts w:cs="Times New Roman"/>
        </w:rPr>
        <w:t>g</w:t>
      </w:r>
      <w:bookmarkEnd w:id="4"/>
      <w:r w:rsidRPr="00B50702">
        <w:rPr>
          <w:rFonts w:cs="Times New Roman"/>
          <w:vertAlign w:val="superscript"/>
        </w:rPr>
        <w:t>-1</w:t>
      </w:r>
      <w:r w:rsidRPr="00B50702">
        <w:rPr>
          <w:rFonts w:cs="Times New Roman"/>
        </w:rPr>
        <w:t>) (L</w:t>
      </w:r>
      <w:r w:rsidRPr="007D7724">
        <w:t>·</w:t>
      </w:r>
      <w:r w:rsidRPr="00B50702">
        <w:rPr>
          <w:rFonts w:cs="Times New Roman"/>
        </w:rPr>
        <w:t>g</w:t>
      </w:r>
      <w:r w:rsidRPr="00B50702">
        <w:rPr>
          <w:rFonts w:cs="Times New Roman"/>
          <w:vertAlign w:val="superscript"/>
        </w:rPr>
        <w:t>-1</w:t>
      </w:r>
      <w:r w:rsidRPr="00B50702">
        <w:rPr>
          <w:rFonts w:cs="Times New Roman"/>
        </w:rPr>
        <w:t>)</w:t>
      </w:r>
      <w:r w:rsidRPr="00B50702">
        <w:rPr>
          <w:rFonts w:cs="Times New Roman"/>
          <w:vertAlign w:val="superscript"/>
        </w:rPr>
        <w:t>1/n</w:t>
      </w:r>
      <w:r w:rsidRPr="00264F0C">
        <w:rPr>
          <w:rFonts w:cs="Times New Roman"/>
        </w:rPr>
        <w:t>;</w:t>
      </w:r>
    </w:p>
    <w:p w14:paraId="643C81D8" w14:textId="77777777" w:rsidR="007E3433" w:rsidRPr="00B50702" w:rsidRDefault="007E3433" w:rsidP="007E3433">
      <w:pPr>
        <w:tabs>
          <w:tab w:val="left" w:pos="426"/>
        </w:tabs>
        <w:ind w:firstLineChars="0" w:firstLine="0"/>
        <w:jc w:val="both"/>
        <w:rPr>
          <w:rFonts w:cs="Times New Roman"/>
        </w:rPr>
      </w:pPr>
      <w:r w:rsidRPr="00B50702">
        <w:rPr>
          <w:rFonts w:cs="Times New Roman"/>
          <w:i/>
        </w:rPr>
        <w:lastRenderedPageBreak/>
        <w:t>n</w:t>
      </w:r>
      <w:r w:rsidRPr="00B50702">
        <w:rPr>
          <w:rFonts w:cs="Times New Roman"/>
        </w:rPr>
        <w:t xml:space="preserve">: </w:t>
      </w:r>
      <w:r>
        <w:rPr>
          <w:rFonts w:cs="Times New Roman"/>
        </w:rPr>
        <w:t>A</w:t>
      </w:r>
      <w:r w:rsidRPr="00264F0C">
        <w:rPr>
          <w:rFonts w:cs="Times New Roman"/>
        </w:rPr>
        <w:t>dsorption intensity index, which characterizes surface heterogeneity and adsorption affinity (dimensionless)</w:t>
      </w:r>
      <w:r>
        <w:rPr>
          <w:rFonts w:cs="Times New Roman"/>
        </w:rPr>
        <w:t>;</w:t>
      </w:r>
    </w:p>
    <w:p w14:paraId="004E3A7A" w14:textId="77777777" w:rsidR="007E3433" w:rsidRPr="00B50702" w:rsidRDefault="007E3433" w:rsidP="007E3433">
      <w:pPr>
        <w:tabs>
          <w:tab w:val="left" w:pos="426"/>
        </w:tabs>
        <w:ind w:firstLineChars="0" w:firstLine="0"/>
        <w:jc w:val="both"/>
        <w:rPr>
          <w:rFonts w:cs="Times New Roman"/>
        </w:rPr>
      </w:pPr>
      <w:r w:rsidRPr="00B50702">
        <w:rPr>
          <w:rFonts w:cs="Times New Roman"/>
          <w:i/>
          <w:iCs/>
        </w:rPr>
        <w:t>A</w:t>
      </w:r>
      <w:r w:rsidRPr="00B50702">
        <w:rPr>
          <w:rFonts w:cs="Times New Roman"/>
        </w:rPr>
        <w:t xml:space="preserve">: </w:t>
      </w:r>
      <w:proofErr w:type="spellStart"/>
      <w:r>
        <w:rPr>
          <w:rFonts w:cs="Times New Roman"/>
        </w:rPr>
        <w:t>A</w:t>
      </w:r>
      <w:r w:rsidRPr="00264F0C">
        <w:rPr>
          <w:rFonts w:cs="Times New Roman"/>
        </w:rPr>
        <w:t>onstant</w:t>
      </w:r>
      <w:proofErr w:type="spellEnd"/>
      <w:r w:rsidRPr="00264F0C">
        <w:rPr>
          <w:rFonts w:cs="Times New Roman"/>
        </w:rPr>
        <w:t xml:space="preserve"> related to adsorption heat, with the unit of L·g</w:t>
      </w:r>
      <w:r w:rsidRPr="000C22F0">
        <w:rPr>
          <w:rFonts w:cs="Times New Roman"/>
          <w:vertAlign w:val="superscript"/>
        </w:rPr>
        <w:t>-1</w:t>
      </w:r>
      <w:r w:rsidRPr="00264F0C">
        <w:rPr>
          <w:rFonts w:cs="Times New Roman"/>
        </w:rPr>
        <w:t>, reflecting adsorption affinity</w:t>
      </w:r>
      <w:r>
        <w:rPr>
          <w:rFonts w:cs="Times New Roman"/>
        </w:rPr>
        <w:t>;</w:t>
      </w:r>
    </w:p>
    <w:p w14:paraId="54260939" w14:textId="77777777" w:rsidR="007E3433" w:rsidRPr="00264F0C" w:rsidRDefault="007E3433" w:rsidP="007E3433">
      <w:pPr>
        <w:tabs>
          <w:tab w:val="left" w:pos="426"/>
        </w:tabs>
        <w:ind w:firstLineChars="0" w:firstLine="0"/>
        <w:jc w:val="both"/>
        <w:rPr>
          <w:rFonts w:cs="Times New Roman"/>
        </w:rPr>
      </w:pPr>
      <w:r w:rsidRPr="00B50702">
        <w:rPr>
          <w:rFonts w:cs="Times New Roman"/>
          <w:i/>
          <w:iCs/>
        </w:rPr>
        <w:t>B</w:t>
      </w:r>
      <w:r>
        <w:rPr>
          <w:rFonts w:cs="Times New Roman" w:hint="eastAsia"/>
        </w:rPr>
        <w:t>:</w:t>
      </w:r>
      <w:r>
        <w:rPr>
          <w:rFonts w:cs="Times New Roman"/>
        </w:rPr>
        <w:t xml:space="preserve"> </w:t>
      </w:r>
      <w:proofErr w:type="spellStart"/>
      <w:r>
        <w:rPr>
          <w:rFonts w:cs="Times New Roman"/>
        </w:rPr>
        <w:t>A</w:t>
      </w:r>
      <w:r w:rsidRPr="00264F0C">
        <w:rPr>
          <w:rFonts w:cs="Times New Roman"/>
        </w:rPr>
        <w:t>onstant</w:t>
      </w:r>
      <w:proofErr w:type="spellEnd"/>
      <w:r w:rsidRPr="00264F0C">
        <w:rPr>
          <w:rFonts w:cs="Times New Roman"/>
        </w:rPr>
        <w:t xml:space="preserve"> related to adsorption free energy</w:t>
      </w:r>
      <w:r>
        <w:rPr>
          <w:rFonts w:cs="Times New Roman" w:hint="eastAsia"/>
        </w:rPr>
        <w:t xml:space="preserve">, </w:t>
      </w:r>
      <w:r w:rsidRPr="00B50702">
        <w:rPr>
          <w:rFonts w:cs="Times New Roman"/>
        </w:rPr>
        <w:t>J</w:t>
      </w:r>
      <w:r w:rsidRPr="00264F0C">
        <w:rPr>
          <w:rFonts w:cs="Times New Roman"/>
        </w:rPr>
        <w:t>·</w:t>
      </w:r>
      <w:r w:rsidRPr="00B50702">
        <w:rPr>
          <w:rFonts w:cs="Times New Roman"/>
        </w:rPr>
        <w:t>mol</w:t>
      </w:r>
      <w:r w:rsidRPr="00B50702">
        <w:rPr>
          <w:rFonts w:cs="Times New Roman"/>
          <w:vertAlign w:val="superscript"/>
        </w:rPr>
        <w:t>-1</w:t>
      </w:r>
      <w:r w:rsidRPr="00264F0C">
        <w:rPr>
          <w:rFonts w:cs="Times New Roman"/>
        </w:rPr>
        <w:t>.</w:t>
      </w:r>
    </w:p>
    <w:p w14:paraId="523CC4AC" w14:textId="77777777" w:rsidR="007E3433" w:rsidRPr="009D22D2" w:rsidRDefault="007E3433" w:rsidP="007E3433">
      <w:pPr>
        <w:tabs>
          <w:tab w:val="left" w:pos="426"/>
        </w:tabs>
        <w:ind w:firstLineChars="0" w:firstLine="0"/>
        <w:jc w:val="both"/>
        <w:rPr>
          <w:rFonts w:cs="Times New Roman"/>
          <w:b/>
          <w:bCs/>
          <w:color w:val="FF0000"/>
          <w:sz w:val="32"/>
          <w:szCs w:val="28"/>
        </w:rPr>
      </w:pPr>
      <w:r w:rsidRPr="00E7248A">
        <w:rPr>
          <w:rFonts w:cs="Times New Roman" w:hint="eastAsia"/>
          <w:b/>
          <w:bCs/>
          <w:sz w:val="32"/>
          <w:szCs w:val="28"/>
        </w:rPr>
        <w:t>5</w:t>
      </w:r>
      <w:r w:rsidRPr="00180EBD">
        <w:rPr>
          <w:rFonts w:cs="Times New Roman"/>
          <w:b/>
          <w:bCs/>
          <w:sz w:val="32"/>
          <w:szCs w:val="28"/>
        </w:rPr>
        <w:t xml:space="preserve">. </w:t>
      </w:r>
      <w:r w:rsidRPr="00264F0C">
        <w:rPr>
          <w:rFonts w:cs="Times New Roman"/>
          <w:b/>
          <w:bCs/>
          <w:sz w:val="32"/>
          <w:szCs w:val="28"/>
        </w:rPr>
        <w:t>Radiation resistance test</w:t>
      </w:r>
    </w:p>
    <w:p w14:paraId="0051D11B" w14:textId="77777777" w:rsidR="007E3433" w:rsidRPr="000426C5" w:rsidRDefault="007E3433" w:rsidP="007E3433">
      <w:pPr>
        <w:ind w:firstLineChars="0" w:firstLine="0"/>
        <w:jc w:val="both"/>
        <w:rPr>
          <w:b/>
          <w:bCs/>
        </w:rPr>
      </w:pPr>
      <w:r w:rsidRPr="000426C5">
        <w:rPr>
          <w:b/>
          <w:bCs/>
        </w:rPr>
        <w:t>5.1 Setting of Irradiation Conditions</w:t>
      </w:r>
    </w:p>
    <w:p w14:paraId="5DCFAB62" w14:textId="77777777" w:rsidR="007E3433" w:rsidRDefault="007E3433" w:rsidP="007E3433">
      <w:pPr>
        <w:ind w:firstLine="240"/>
        <w:jc w:val="both"/>
      </w:pPr>
      <w:r>
        <w:t xml:space="preserve">Two radiation sources β and γ rays (with a radiation dose of 50 </w:t>
      </w:r>
      <w:proofErr w:type="spellStart"/>
      <w:r>
        <w:t>kGy</w:t>
      </w:r>
      <w:proofErr w:type="spellEnd"/>
      <w:r>
        <w:t>), were used to irradiate PEI@PAA and BiMgO-2MBD materials for 24 h in sequence.</w:t>
      </w:r>
    </w:p>
    <w:p w14:paraId="02EEBFC0" w14:textId="77777777" w:rsidR="007E3433" w:rsidRPr="000426C5" w:rsidRDefault="007E3433" w:rsidP="007E3433">
      <w:pPr>
        <w:ind w:firstLineChars="0" w:firstLine="0"/>
        <w:jc w:val="both"/>
        <w:rPr>
          <w:b/>
          <w:bCs/>
        </w:rPr>
      </w:pPr>
      <w:r w:rsidRPr="000426C5">
        <w:rPr>
          <w:b/>
          <w:bCs/>
        </w:rPr>
        <w:t>5.2 Stability Analysis after Irradiation</w:t>
      </w:r>
    </w:p>
    <w:p w14:paraId="1C3ECEE4" w14:textId="77777777" w:rsidR="007E3433" w:rsidRDefault="007E3433" w:rsidP="007E3433">
      <w:pPr>
        <w:ind w:firstLine="240"/>
        <w:jc w:val="both"/>
      </w:pPr>
      <w:r>
        <w:t>The microstructure of PEI@PAA aerogel after irradiation was observed by SEM, and the element distribution and content changes were tested by EDS. FT-IR was used to test the effect of irradiation on the functional groups in PEI@PAA.</w:t>
      </w:r>
    </w:p>
    <w:p w14:paraId="3093C5C4" w14:textId="77777777" w:rsidR="007E3433" w:rsidRPr="000426C5" w:rsidRDefault="007E3433" w:rsidP="007E3433">
      <w:pPr>
        <w:ind w:firstLineChars="0" w:firstLine="0"/>
        <w:jc w:val="both"/>
        <w:rPr>
          <w:b/>
          <w:bCs/>
        </w:rPr>
      </w:pPr>
      <w:r w:rsidRPr="000426C5">
        <w:rPr>
          <w:rFonts w:hint="eastAsia"/>
          <w:b/>
          <w:bCs/>
        </w:rPr>
        <w:t>5.3 Iodine Adsorption Performance Test after Irradiation</w:t>
      </w:r>
    </w:p>
    <w:p w14:paraId="3016BEE1" w14:textId="77777777" w:rsidR="007E3433" w:rsidRPr="00264F0C" w:rsidRDefault="007E3433" w:rsidP="007E3433">
      <w:pPr>
        <w:ind w:firstLine="240"/>
        <w:jc w:val="both"/>
      </w:pPr>
      <w:r>
        <w:rPr>
          <w:rFonts w:hint="eastAsia"/>
        </w:rPr>
        <w:t>Static iodine adsorption experiments were carried out on the irradiated materials. Among them, the conditions for PEI@PAA aerogel were 80</w:t>
      </w:r>
      <w:r>
        <w:t xml:space="preserve"> </w:t>
      </w:r>
      <w:r w:rsidRPr="003C242E">
        <w:rPr>
          <w:rFonts w:cs="Times New Roman"/>
        </w:rPr>
        <w:t>℃</w:t>
      </w:r>
      <w:r>
        <w:rPr>
          <w:rFonts w:hint="eastAsia"/>
        </w:rPr>
        <w:t xml:space="preserve"> for 12 h; and the conditions for BiMgO-2MBD were 150</w:t>
      </w:r>
      <w:r>
        <w:t xml:space="preserve"> </w:t>
      </w:r>
      <w:r w:rsidRPr="003C242E">
        <w:rPr>
          <w:rFonts w:cs="Times New Roman"/>
        </w:rPr>
        <w:t>℃</w:t>
      </w:r>
      <w:r>
        <w:rPr>
          <w:rFonts w:hint="eastAsia"/>
        </w:rPr>
        <w:t xml:space="preserve"> for</w:t>
      </w:r>
      <w:r>
        <w:t xml:space="preserve"> 12 h.</w:t>
      </w:r>
    </w:p>
    <w:p w14:paraId="73A58CEF" w14:textId="77777777" w:rsidR="007E3433" w:rsidRPr="00B50702" w:rsidRDefault="007E3433" w:rsidP="007E3433">
      <w:pPr>
        <w:tabs>
          <w:tab w:val="left" w:pos="426"/>
        </w:tabs>
        <w:ind w:firstLine="240"/>
        <w:jc w:val="center"/>
        <w:rPr>
          <w:rFonts w:cs="Times New Roman"/>
        </w:rPr>
      </w:pPr>
      <w:r w:rsidRPr="00B50702">
        <w:rPr>
          <w:rFonts w:cs="Times New Roman"/>
          <w:szCs w:val="28"/>
        </w:rPr>
        <w:br w:type="page"/>
      </w:r>
      <w:r w:rsidRPr="00B50702">
        <w:rPr>
          <w:rFonts w:cs="Times New Roman"/>
          <w:noProof/>
        </w:rPr>
        <w:lastRenderedPageBreak/>
        <w:drawing>
          <wp:inline distT="0" distB="0" distL="0" distR="0" wp14:anchorId="4697A7FB" wp14:editId="4314277E">
            <wp:extent cx="5068753" cy="231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8753" cy="2311460"/>
                    </a:xfrm>
                    <a:prstGeom prst="rect">
                      <a:avLst/>
                    </a:prstGeom>
                  </pic:spPr>
                </pic:pic>
              </a:graphicData>
            </a:graphic>
          </wp:inline>
        </w:drawing>
      </w:r>
    </w:p>
    <w:p w14:paraId="311CACCE" w14:textId="77777777" w:rsidR="007E3433" w:rsidRPr="00B50702" w:rsidRDefault="007E3433" w:rsidP="007E3433">
      <w:pPr>
        <w:pStyle w:val="a8"/>
        <w:ind w:firstLineChars="0" w:firstLine="0"/>
        <w:jc w:val="both"/>
      </w:pPr>
      <w:r w:rsidRPr="00B50702">
        <w:t>Fig. S</w:t>
      </w:r>
      <w:r w:rsidR="002158B7">
        <w:fldChar w:fldCharType="begin"/>
      </w:r>
      <w:r w:rsidR="002158B7">
        <w:instrText xml:space="preserve"> SEQ Fig._S \* ARABIC </w:instrText>
      </w:r>
      <w:r w:rsidR="002158B7">
        <w:fldChar w:fldCharType="separate"/>
      </w:r>
      <w:r>
        <w:rPr>
          <w:noProof/>
        </w:rPr>
        <w:t>1</w:t>
      </w:r>
      <w:r w:rsidR="002158B7">
        <w:rPr>
          <w:noProof/>
        </w:rPr>
        <w:fldChar w:fldCharType="end"/>
      </w:r>
      <w:r w:rsidRPr="009D22D2">
        <w:t xml:space="preserve"> </w:t>
      </w:r>
      <w:r w:rsidRPr="00393481">
        <w:rPr>
          <w:b w:val="0"/>
          <w:bCs/>
        </w:rPr>
        <w:t>MBA crosslinks the PAA molecular chains to form a three-dimensional network structure.</w:t>
      </w:r>
    </w:p>
    <w:p w14:paraId="341E179B" w14:textId="77777777" w:rsidR="007E3433" w:rsidRDefault="007E3433" w:rsidP="007E3433">
      <w:pPr>
        <w:ind w:firstLine="240"/>
      </w:pPr>
      <w:r w:rsidRPr="009D22D2">
        <w:t>AA copolymerizes with MBA. Since both ends of MBA have C=C groups, they can connect two PAA molecular chains, leading to crosslinking and thus forming a PAA network</w:t>
      </w:r>
      <w:r>
        <w:t xml:space="preserve"> </w:t>
      </w:r>
      <w:r w:rsidRPr="009D22D2">
        <w:t xml:space="preserve">structure. </w:t>
      </w:r>
    </w:p>
    <w:p w14:paraId="017C54B4" w14:textId="77777777" w:rsidR="007E3433" w:rsidRPr="00B50702" w:rsidRDefault="007E3433" w:rsidP="007E3433">
      <w:pPr>
        <w:ind w:firstLineChars="0" w:firstLine="0"/>
        <w:jc w:val="center"/>
      </w:pPr>
      <w:r w:rsidRPr="00B50702">
        <w:rPr>
          <w:noProof/>
        </w:rPr>
        <w:drawing>
          <wp:inline distT="0" distB="0" distL="0" distR="0" wp14:anchorId="773BE868" wp14:editId="504FE39A">
            <wp:extent cx="5134696" cy="2450465"/>
            <wp:effectExtent l="0" t="0" r="889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4696" cy="2450465"/>
                    </a:xfrm>
                    <a:prstGeom prst="rect">
                      <a:avLst/>
                    </a:prstGeom>
                  </pic:spPr>
                </pic:pic>
              </a:graphicData>
            </a:graphic>
          </wp:inline>
        </w:drawing>
      </w:r>
    </w:p>
    <w:p w14:paraId="19CA2422" w14:textId="77777777" w:rsidR="007E3433" w:rsidRPr="00B50702" w:rsidRDefault="007E3433" w:rsidP="007E3433">
      <w:pPr>
        <w:pStyle w:val="a8"/>
        <w:ind w:firstLineChars="0" w:firstLine="0"/>
        <w:jc w:val="both"/>
      </w:pPr>
      <w:r w:rsidRPr="00B50702">
        <w:t>Fig. S</w:t>
      </w:r>
      <w:r w:rsidR="002158B7">
        <w:fldChar w:fldCharType="begin"/>
      </w:r>
      <w:r w:rsidR="002158B7">
        <w:instrText xml:space="preserve"> SEQ Fig._S \* ARABIC </w:instrText>
      </w:r>
      <w:r w:rsidR="002158B7">
        <w:fldChar w:fldCharType="separate"/>
      </w:r>
      <w:r>
        <w:rPr>
          <w:noProof/>
        </w:rPr>
        <w:t>2</w:t>
      </w:r>
      <w:r w:rsidR="002158B7">
        <w:rPr>
          <w:noProof/>
        </w:rPr>
        <w:fldChar w:fldCharType="end"/>
      </w:r>
      <w:r w:rsidRPr="00B50702">
        <w:t xml:space="preserve"> </w:t>
      </w:r>
      <w:r w:rsidRPr="00393481">
        <w:rPr>
          <w:b w:val="0"/>
          <w:bCs/>
        </w:rPr>
        <w:t>PAA is grafted with PEI via the EDC/NHS reaction.</w:t>
      </w:r>
    </w:p>
    <w:p w14:paraId="7AD8DC4E" w14:textId="77777777" w:rsidR="007E3433" w:rsidRDefault="007E3433" w:rsidP="007E3433">
      <w:pPr>
        <w:ind w:firstLine="240"/>
        <w:jc w:val="both"/>
      </w:pPr>
      <w:r w:rsidRPr="009D22D2">
        <w:t>PEI is rich in amino groups, which can serve as active sites for iodine adsorption. The covalent cross-linking of polyethyleneimine (PEI) and polyacrylic acid (PAA) via the EDC/NHS reaction ensures the stability of the active sites. Meanwhile, in the following text, we further improve the grafting rate and enhance the adsorption capacity of the material by optimizing the reaction conditions</w:t>
      </w:r>
      <w:r>
        <w:t>.</w:t>
      </w:r>
    </w:p>
    <w:p w14:paraId="6C888B44" w14:textId="77777777" w:rsidR="007E3433" w:rsidRDefault="007E3433" w:rsidP="007E3433">
      <w:pPr>
        <w:ind w:firstLineChars="0" w:firstLine="0"/>
        <w:jc w:val="center"/>
        <w:rPr>
          <w:b/>
          <w:bCs/>
        </w:rPr>
      </w:pPr>
      <w:r w:rsidRPr="00B50702">
        <w:br w:type="page"/>
      </w:r>
      <w:r w:rsidRPr="00B50702">
        <w:rPr>
          <w:noProof/>
        </w:rPr>
        <w:lastRenderedPageBreak/>
        <w:drawing>
          <wp:inline distT="0" distB="0" distL="0" distR="0" wp14:anchorId="23DB74AC" wp14:editId="3517A946">
            <wp:extent cx="5266381" cy="37820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6381" cy="3782060"/>
                    </a:xfrm>
                    <a:prstGeom prst="rect">
                      <a:avLst/>
                    </a:prstGeom>
                  </pic:spPr>
                </pic:pic>
              </a:graphicData>
            </a:graphic>
          </wp:inline>
        </w:drawing>
      </w:r>
    </w:p>
    <w:p w14:paraId="4D5399BA" w14:textId="77777777" w:rsidR="007E3433" w:rsidRPr="004F483B" w:rsidRDefault="007E3433" w:rsidP="007E3433">
      <w:pPr>
        <w:pStyle w:val="a8"/>
        <w:ind w:firstLineChars="0" w:firstLine="0"/>
        <w:jc w:val="both"/>
        <w:rPr>
          <w:b w:val="0"/>
          <w:bCs/>
        </w:rPr>
      </w:pPr>
      <w:r w:rsidRPr="009D22D2">
        <w:t>Fig. S</w:t>
      </w:r>
      <w:r w:rsidR="002158B7">
        <w:fldChar w:fldCharType="begin"/>
      </w:r>
      <w:r w:rsidR="002158B7">
        <w:instrText xml:space="preserve"> SEQ Fig._S \* ARABIC </w:instrText>
      </w:r>
      <w:r w:rsidR="002158B7">
        <w:fldChar w:fldCharType="separate"/>
      </w:r>
      <w:r>
        <w:rPr>
          <w:noProof/>
        </w:rPr>
        <w:t>3</w:t>
      </w:r>
      <w:r w:rsidR="002158B7">
        <w:rPr>
          <w:noProof/>
        </w:rPr>
        <w:fldChar w:fldCharType="end"/>
      </w:r>
      <w:r w:rsidRPr="009D22D2">
        <w:t xml:space="preserve"> Microscopic pore structure of PAA.</w:t>
      </w:r>
      <w:r w:rsidRPr="004F483B">
        <w:rPr>
          <w:b w:val="0"/>
          <w:bCs/>
        </w:rPr>
        <w:t xml:space="preserve"> </w:t>
      </w:r>
      <w:proofErr w:type="spellStart"/>
      <w:r w:rsidRPr="00393481">
        <w:t>a</w:t>
      </w:r>
      <w:r>
        <w:t>~</w:t>
      </w:r>
      <w:r w:rsidRPr="00393481">
        <w:t>c</w:t>
      </w:r>
      <w:proofErr w:type="spellEnd"/>
      <w:r w:rsidRPr="00393481">
        <w:t>.</w:t>
      </w:r>
      <w:r w:rsidRPr="004F483B">
        <w:rPr>
          <w:b w:val="0"/>
          <w:bCs/>
        </w:rPr>
        <w:t xml:space="preserve"> SEM images of the PAA </w:t>
      </w:r>
      <w:proofErr w:type="spellStart"/>
      <w:r w:rsidRPr="004F483B">
        <w:rPr>
          <w:b w:val="0"/>
          <w:bCs/>
        </w:rPr>
        <w:t>xy</w:t>
      </w:r>
      <w:proofErr w:type="spellEnd"/>
      <w:r w:rsidRPr="004F483B">
        <w:rPr>
          <w:b w:val="0"/>
          <w:bCs/>
        </w:rPr>
        <w:t xml:space="preserve"> cross-section with gradual magnification. </w:t>
      </w:r>
      <w:proofErr w:type="spellStart"/>
      <w:r w:rsidRPr="00393481">
        <w:t>c</w:t>
      </w:r>
      <w:r>
        <w:t>~</w:t>
      </w:r>
      <w:r w:rsidRPr="00393481">
        <w:t>e</w:t>
      </w:r>
      <w:proofErr w:type="spellEnd"/>
      <w:r w:rsidRPr="00393481">
        <w:t>.</w:t>
      </w:r>
      <w:r w:rsidRPr="004F483B">
        <w:rPr>
          <w:b w:val="0"/>
          <w:bCs/>
        </w:rPr>
        <w:t xml:space="preserve"> SEM images of the PAA </w:t>
      </w:r>
      <w:proofErr w:type="spellStart"/>
      <w:r w:rsidRPr="004F483B">
        <w:rPr>
          <w:b w:val="0"/>
          <w:bCs/>
        </w:rPr>
        <w:t>xz</w:t>
      </w:r>
      <w:proofErr w:type="spellEnd"/>
      <w:r w:rsidRPr="004F483B">
        <w:rPr>
          <w:b w:val="0"/>
          <w:bCs/>
        </w:rPr>
        <w:t xml:space="preserve"> cross-section with gradual magnification. </w:t>
      </w:r>
      <w:proofErr w:type="spellStart"/>
      <w:r w:rsidRPr="00393481">
        <w:t>g</w:t>
      </w:r>
      <w:r>
        <w:t>~</w:t>
      </w:r>
      <w:r w:rsidRPr="00393481">
        <w:t>h</w:t>
      </w:r>
      <w:proofErr w:type="spellEnd"/>
      <w:r w:rsidRPr="00393481">
        <w:t>.</w:t>
      </w:r>
      <w:r w:rsidRPr="004F483B">
        <w:rPr>
          <w:b w:val="0"/>
          <w:bCs/>
        </w:rPr>
        <w:t xml:space="preserve"> SEM images of the PAA surface with gradual magnification</w:t>
      </w:r>
      <w:r>
        <w:rPr>
          <w:rFonts w:hint="eastAsia"/>
          <w:b w:val="0"/>
          <w:bCs/>
        </w:rPr>
        <w:t>.</w:t>
      </w:r>
    </w:p>
    <w:p w14:paraId="1B3D4F50" w14:textId="77777777" w:rsidR="007E3433" w:rsidRDefault="007E3433" w:rsidP="007E3433">
      <w:pPr>
        <w:ind w:firstLine="240"/>
        <w:jc w:val="both"/>
      </w:pPr>
      <w:r w:rsidRPr="004F483B">
        <w:t>The surface and internal cross-sections in different directions (</w:t>
      </w:r>
      <w:proofErr w:type="spellStart"/>
      <w:r w:rsidRPr="004F483B">
        <w:t>xy</w:t>
      </w:r>
      <w:proofErr w:type="spellEnd"/>
      <w:r w:rsidRPr="004F483B">
        <w:t xml:space="preserve">-plane and </w:t>
      </w:r>
      <w:proofErr w:type="spellStart"/>
      <w:r w:rsidRPr="004F483B">
        <w:t>xz</w:t>
      </w:r>
      <w:proofErr w:type="spellEnd"/>
      <w:r w:rsidRPr="004F483B">
        <w:t xml:space="preserve">-plane) of the PAA bulk were observed using SEM. Continuous and uniform pore structures were observed in all cross-sections, indicating that a three-dimensional interconnected </w:t>
      </w:r>
      <w:proofErr w:type="spellStart"/>
      <w:r w:rsidRPr="004F483B">
        <w:t>macroporous</w:t>
      </w:r>
      <w:proofErr w:type="spellEnd"/>
      <w:r w:rsidRPr="004F483B">
        <w:t xml:space="preserve"> structure was formed inside PAA.</w:t>
      </w:r>
    </w:p>
    <w:p w14:paraId="1A186244" w14:textId="77777777" w:rsidR="007E3433" w:rsidRPr="00B50702" w:rsidRDefault="007E3433" w:rsidP="007E3433">
      <w:pPr>
        <w:ind w:firstLineChars="0" w:firstLine="0"/>
        <w:jc w:val="center"/>
      </w:pPr>
      <w:r w:rsidRPr="00B50702">
        <w:br w:type="page"/>
      </w:r>
      <w:r w:rsidRPr="00B50702">
        <w:rPr>
          <w:noProof/>
        </w:rPr>
        <w:lastRenderedPageBreak/>
        <w:drawing>
          <wp:inline distT="0" distB="0" distL="0" distR="0" wp14:anchorId="67C5C482" wp14:editId="2910A684">
            <wp:extent cx="5271396" cy="118745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1396" cy="1187450"/>
                    </a:xfrm>
                    <a:prstGeom prst="rect">
                      <a:avLst/>
                    </a:prstGeom>
                  </pic:spPr>
                </pic:pic>
              </a:graphicData>
            </a:graphic>
          </wp:inline>
        </w:drawing>
      </w:r>
    </w:p>
    <w:p w14:paraId="347E9901" w14:textId="77777777" w:rsidR="007E3433" w:rsidRPr="004F483B" w:rsidRDefault="007E3433" w:rsidP="007E3433">
      <w:pPr>
        <w:pStyle w:val="a8"/>
        <w:ind w:firstLineChars="0" w:firstLine="0"/>
        <w:jc w:val="both"/>
        <w:rPr>
          <w:b w:val="0"/>
          <w:bCs/>
          <w:szCs w:val="18"/>
        </w:rPr>
      </w:pPr>
      <w:r w:rsidRPr="00B50702">
        <w:t>Fig. S</w:t>
      </w:r>
      <w:r w:rsidR="002158B7">
        <w:fldChar w:fldCharType="begin"/>
      </w:r>
      <w:r w:rsidR="002158B7">
        <w:instrText xml:space="preserve"> SEQ Fig._S \* ARABIC </w:instrText>
      </w:r>
      <w:r w:rsidR="002158B7">
        <w:fldChar w:fldCharType="separate"/>
      </w:r>
      <w:r>
        <w:rPr>
          <w:noProof/>
        </w:rPr>
        <w:t>4</w:t>
      </w:r>
      <w:r w:rsidR="002158B7">
        <w:rPr>
          <w:noProof/>
        </w:rPr>
        <w:fldChar w:fldCharType="end"/>
      </w:r>
      <w:r w:rsidRPr="00B50702">
        <w:rPr>
          <w:bCs/>
          <w:szCs w:val="18"/>
        </w:rPr>
        <w:t xml:space="preserve"> </w:t>
      </w:r>
      <w:r w:rsidRPr="004F483B">
        <w:t>Microscopic pore structure on the surface of PEI@PAA.</w:t>
      </w:r>
      <w:r w:rsidRPr="004F483B">
        <w:rPr>
          <w:b w:val="0"/>
          <w:bCs/>
        </w:rPr>
        <w:t xml:space="preserve"> </w:t>
      </w:r>
      <w:proofErr w:type="spellStart"/>
      <w:r w:rsidRPr="00393481">
        <w:t>a</w:t>
      </w:r>
      <w:r>
        <w:t>~</w:t>
      </w:r>
      <w:r w:rsidRPr="00393481">
        <w:t>c</w:t>
      </w:r>
      <w:proofErr w:type="spellEnd"/>
      <w:r w:rsidRPr="00393481">
        <w:t xml:space="preserve">. </w:t>
      </w:r>
      <w:r w:rsidRPr="004F483B">
        <w:rPr>
          <w:b w:val="0"/>
          <w:bCs/>
        </w:rPr>
        <w:t>SEM images of the PEI@PAA surface with gradual magnification.</w:t>
      </w:r>
    </w:p>
    <w:p w14:paraId="77C08E15" w14:textId="77777777" w:rsidR="007E3433" w:rsidRPr="004F483B" w:rsidRDefault="007E3433" w:rsidP="007E3433">
      <w:pPr>
        <w:ind w:firstLine="240"/>
        <w:jc w:val="both"/>
      </w:pPr>
      <w:r>
        <w:rPr>
          <w:rFonts w:hint="eastAsia"/>
        </w:rPr>
        <w:t>T</w:t>
      </w:r>
      <w:r>
        <w:t>he SEM images of the surface of PEI@PAA aerogel, which are supplementary to the main text, are provided. On the sample surface, the pores are also uniformly and continuously distributed.</w:t>
      </w:r>
    </w:p>
    <w:p w14:paraId="3117A9DA" w14:textId="77777777" w:rsidR="007E3433" w:rsidRDefault="007E3433" w:rsidP="007E3433">
      <w:pPr>
        <w:pStyle w:val="a8"/>
        <w:ind w:firstLineChars="0" w:firstLine="0"/>
        <w:jc w:val="center"/>
      </w:pPr>
      <w:r w:rsidRPr="00B50702">
        <w:br w:type="page"/>
      </w:r>
      <w:r w:rsidRPr="00B50702">
        <w:rPr>
          <w:noProof/>
        </w:rPr>
        <w:lastRenderedPageBreak/>
        <w:drawing>
          <wp:inline distT="0" distB="0" distL="0" distR="0" wp14:anchorId="7ED0D005" wp14:editId="2BC94741">
            <wp:extent cx="5262395" cy="3782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2395" cy="3782060"/>
                    </a:xfrm>
                    <a:prstGeom prst="rect">
                      <a:avLst/>
                    </a:prstGeom>
                  </pic:spPr>
                </pic:pic>
              </a:graphicData>
            </a:graphic>
          </wp:inline>
        </w:drawing>
      </w:r>
    </w:p>
    <w:p w14:paraId="73DBCB29" w14:textId="77777777" w:rsidR="007E3433" w:rsidRPr="004F483B" w:rsidRDefault="007E3433" w:rsidP="007E3433">
      <w:pPr>
        <w:pStyle w:val="a8"/>
        <w:ind w:firstLineChars="0" w:firstLine="0"/>
        <w:jc w:val="both"/>
        <w:rPr>
          <w:b w:val="0"/>
          <w:bCs/>
        </w:rPr>
      </w:pPr>
      <w:r w:rsidRPr="00B50702">
        <w:t>Fig. S</w:t>
      </w:r>
      <w:r w:rsidR="002158B7">
        <w:fldChar w:fldCharType="begin"/>
      </w:r>
      <w:r w:rsidR="002158B7">
        <w:instrText xml:space="preserve"> SEQ Fig._S \* ARABIC </w:instrText>
      </w:r>
      <w:r w:rsidR="002158B7">
        <w:fldChar w:fldCharType="separate"/>
      </w:r>
      <w:r>
        <w:rPr>
          <w:noProof/>
        </w:rPr>
        <w:t>5</w:t>
      </w:r>
      <w:r w:rsidR="002158B7">
        <w:rPr>
          <w:noProof/>
        </w:rPr>
        <w:fldChar w:fldCharType="end"/>
      </w:r>
      <w:r w:rsidRPr="00B50702">
        <w:t xml:space="preserve"> </w:t>
      </w:r>
      <w:r w:rsidRPr="004F483B">
        <w:t>Microscopic pore structure of the post-adsorption material PEI@PAA-I</w:t>
      </w:r>
      <w:r w:rsidRPr="004F483B">
        <w:rPr>
          <w:vertAlign w:val="subscript"/>
        </w:rPr>
        <w:t>2</w:t>
      </w:r>
      <w:r w:rsidRPr="004F483B">
        <w:t xml:space="preserve">. </w:t>
      </w:r>
      <w:proofErr w:type="spellStart"/>
      <w:r w:rsidRPr="00393481">
        <w:t>a</w:t>
      </w:r>
      <w:r>
        <w:t>~</w:t>
      </w:r>
      <w:r w:rsidRPr="00393481">
        <w:t>c</w:t>
      </w:r>
      <w:proofErr w:type="spellEnd"/>
      <w:r w:rsidRPr="00393481">
        <w:t>.</w:t>
      </w:r>
      <w:r w:rsidRPr="004F483B">
        <w:rPr>
          <w:b w:val="0"/>
          <w:bCs/>
        </w:rPr>
        <w:t xml:space="preserve"> SEM images of the PEI@PAA-I</w:t>
      </w:r>
      <w:r w:rsidRPr="004F483B">
        <w:rPr>
          <w:b w:val="0"/>
          <w:bCs/>
          <w:vertAlign w:val="subscript"/>
        </w:rPr>
        <w:t>2</w:t>
      </w:r>
      <w:r w:rsidRPr="004F483B">
        <w:rPr>
          <w:b w:val="0"/>
          <w:bCs/>
        </w:rPr>
        <w:t xml:space="preserve"> </w:t>
      </w:r>
      <w:proofErr w:type="spellStart"/>
      <w:r w:rsidRPr="004F483B">
        <w:rPr>
          <w:b w:val="0"/>
          <w:bCs/>
        </w:rPr>
        <w:t>xy</w:t>
      </w:r>
      <w:proofErr w:type="spellEnd"/>
      <w:r w:rsidRPr="004F483B">
        <w:rPr>
          <w:b w:val="0"/>
          <w:bCs/>
        </w:rPr>
        <w:t xml:space="preserve"> cross-section with gradual magnification. </w:t>
      </w:r>
      <w:proofErr w:type="spellStart"/>
      <w:r w:rsidRPr="00393481">
        <w:rPr>
          <w:rFonts w:hint="eastAsia"/>
        </w:rPr>
        <w:t>d</w:t>
      </w:r>
      <w:r>
        <w:t>~</w:t>
      </w:r>
      <w:r w:rsidRPr="00393481">
        <w:t>f</w:t>
      </w:r>
      <w:proofErr w:type="spellEnd"/>
      <w:r w:rsidRPr="00393481">
        <w:t xml:space="preserve">. </w:t>
      </w:r>
      <w:r w:rsidRPr="004F483B">
        <w:rPr>
          <w:b w:val="0"/>
          <w:bCs/>
        </w:rPr>
        <w:t>SEM images of the PEI@PAA-I</w:t>
      </w:r>
      <w:r w:rsidRPr="004F483B">
        <w:rPr>
          <w:b w:val="0"/>
          <w:bCs/>
          <w:vertAlign w:val="subscript"/>
        </w:rPr>
        <w:t>2</w:t>
      </w:r>
      <w:r w:rsidRPr="004F483B">
        <w:rPr>
          <w:b w:val="0"/>
          <w:bCs/>
        </w:rPr>
        <w:t xml:space="preserve"> </w:t>
      </w:r>
      <w:proofErr w:type="spellStart"/>
      <w:r w:rsidRPr="004F483B">
        <w:rPr>
          <w:b w:val="0"/>
          <w:bCs/>
        </w:rPr>
        <w:t>xz</w:t>
      </w:r>
      <w:proofErr w:type="spellEnd"/>
      <w:r w:rsidRPr="004F483B">
        <w:rPr>
          <w:b w:val="0"/>
          <w:bCs/>
        </w:rPr>
        <w:t xml:space="preserve"> cross-section with gradual magnification. </w:t>
      </w:r>
      <w:proofErr w:type="spellStart"/>
      <w:r w:rsidRPr="00393481">
        <w:t>g</w:t>
      </w:r>
      <w:r>
        <w:t>~</w:t>
      </w:r>
      <w:r w:rsidRPr="00393481">
        <w:t>i</w:t>
      </w:r>
      <w:proofErr w:type="spellEnd"/>
      <w:r w:rsidRPr="00393481">
        <w:t>.</w:t>
      </w:r>
      <w:r w:rsidRPr="004F483B">
        <w:rPr>
          <w:b w:val="0"/>
          <w:bCs/>
        </w:rPr>
        <w:t xml:space="preserve"> SEM images of the PEI@PAA-I</w:t>
      </w:r>
      <w:r w:rsidRPr="004F483B">
        <w:rPr>
          <w:b w:val="0"/>
          <w:bCs/>
          <w:vertAlign w:val="subscript"/>
        </w:rPr>
        <w:t>2</w:t>
      </w:r>
      <w:r w:rsidRPr="004F483B">
        <w:rPr>
          <w:b w:val="0"/>
          <w:bCs/>
        </w:rPr>
        <w:t xml:space="preserve"> surface with gradual magnification.</w:t>
      </w:r>
    </w:p>
    <w:p w14:paraId="520DE239" w14:textId="77777777" w:rsidR="007E3433" w:rsidRPr="00B50702" w:rsidRDefault="007E3433" w:rsidP="007E3433">
      <w:pPr>
        <w:ind w:firstLine="240"/>
        <w:jc w:val="both"/>
      </w:pPr>
      <w:r w:rsidRPr="004F483B">
        <w:t>After iodine adsorption, the pore structure of PEI@PAA remains undistorted and unbroken, exhibiting good stability during the adsorption process.</w:t>
      </w:r>
      <w:r w:rsidRPr="00B50702">
        <w:br w:type="page"/>
      </w:r>
    </w:p>
    <w:p w14:paraId="79AC8822" w14:textId="77777777" w:rsidR="007E3433" w:rsidRPr="00B50702" w:rsidRDefault="007E3433" w:rsidP="007E3433">
      <w:pPr>
        <w:ind w:firstLineChars="0" w:firstLine="0"/>
        <w:jc w:val="center"/>
        <w:rPr>
          <w:rFonts w:cs="Times New Roman"/>
        </w:rPr>
      </w:pPr>
      <w:r w:rsidRPr="00B50702">
        <w:rPr>
          <w:rFonts w:cs="Times New Roman"/>
          <w:noProof/>
        </w:rPr>
        <w:lastRenderedPageBreak/>
        <w:drawing>
          <wp:inline distT="0" distB="0" distL="0" distR="0" wp14:anchorId="63BF50C4" wp14:editId="3D8A6C55">
            <wp:extent cx="5274310" cy="3983544"/>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83544"/>
                    </a:xfrm>
                    <a:prstGeom prst="rect">
                      <a:avLst/>
                    </a:prstGeom>
                  </pic:spPr>
                </pic:pic>
              </a:graphicData>
            </a:graphic>
          </wp:inline>
        </w:drawing>
      </w:r>
    </w:p>
    <w:p w14:paraId="6AEF81FA" w14:textId="77777777" w:rsidR="007E3433" w:rsidRPr="00B50702" w:rsidRDefault="007E3433" w:rsidP="007E3433">
      <w:pPr>
        <w:pStyle w:val="a8"/>
        <w:ind w:firstLineChars="0" w:firstLine="0"/>
        <w:jc w:val="both"/>
        <w:rPr>
          <w:b w:val="0"/>
          <w:bCs/>
        </w:rPr>
      </w:pPr>
      <w:r w:rsidRPr="00B50702">
        <w:t>Fig. S</w:t>
      </w:r>
      <w:r w:rsidR="002158B7">
        <w:fldChar w:fldCharType="begin"/>
      </w:r>
      <w:r w:rsidR="002158B7">
        <w:instrText xml:space="preserve"> SEQ Fig._S \* ARABIC </w:instrText>
      </w:r>
      <w:r w:rsidR="002158B7">
        <w:fldChar w:fldCharType="separate"/>
      </w:r>
      <w:r>
        <w:rPr>
          <w:noProof/>
        </w:rPr>
        <w:t>6</w:t>
      </w:r>
      <w:r w:rsidR="002158B7">
        <w:rPr>
          <w:noProof/>
        </w:rPr>
        <w:fldChar w:fldCharType="end"/>
      </w:r>
      <w:r w:rsidRPr="00B50702">
        <w:t xml:space="preserve"> </w:t>
      </w:r>
      <w:r w:rsidRPr="00393481">
        <w:t>a.</w:t>
      </w:r>
      <w:r w:rsidRPr="004F483B">
        <w:rPr>
          <w:b w:val="0"/>
          <w:bCs/>
        </w:rPr>
        <w:t xml:space="preserve"> Elemental content of the PAA matrix corresponding to EDS.</w:t>
      </w:r>
      <w:r>
        <w:rPr>
          <w:b w:val="0"/>
          <w:bCs/>
        </w:rPr>
        <w:t xml:space="preserve"> </w:t>
      </w:r>
      <w:r w:rsidRPr="00393481">
        <w:t>b.</w:t>
      </w:r>
      <w:r w:rsidRPr="004F483B">
        <w:rPr>
          <w:b w:val="0"/>
          <w:bCs/>
        </w:rPr>
        <w:t xml:space="preserve"> Elemental content of the PEI@PAA aerogel corresponding to EDS.</w:t>
      </w:r>
      <w:r>
        <w:rPr>
          <w:b w:val="0"/>
          <w:bCs/>
        </w:rPr>
        <w:t xml:space="preserve"> </w:t>
      </w:r>
      <w:r w:rsidRPr="00393481">
        <w:t>c.</w:t>
      </w:r>
      <w:r w:rsidRPr="004F483B">
        <w:rPr>
          <w:b w:val="0"/>
          <w:bCs/>
        </w:rPr>
        <w:t xml:space="preserve"> Elemental content of the PEI@PAA-I</w:t>
      </w:r>
      <w:r w:rsidRPr="003C242E">
        <w:rPr>
          <w:b w:val="0"/>
          <w:bCs/>
          <w:vertAlign w:val="subscript"/>
        </w:rPr>
        <w:t>2</w:t>
      </w:r>
      <w:r w:rsidRPr="004F483B">
        <w:rPr>
          <w:b w:val="0"/>
          <w:bCs/>
        </w:rPr>
        <w:t xml:space="preserve"> aerogel corresponding to EDS.</w:t>
      </w:r>
    </w:p>
    <w:p w14:paraId="015A36F4" w14:textId="77777777" w:rsidR="007E3433" w:rsidRPr="00B50702" w:rsidRDefault="007E3433" w:rsidP="007E3433">
      <w:pPr>
        <w:ind w:firstLine="240"/>
        <w:jc w:val="both"/>
      </w:pPr>
      <w:r w:rsidRPr="004F483B">
        <w:t>After grafting with PEI, the increase in nitrogen content serves as evidence of successful grafting. After iodine adsorption, the appearance of multiple characteristic peaks of iodine is direct evidence of iodine adsorption.</w:t>
      </w:r>
      <w:r w:rsidRPr="00B50702">
        <w:br w:type="page"/>
      </w:r>
    </w:p>
    <w:p w14:paraId="7CFAEE1A" w14:textId="77777777" w:rsidR="007E3433" w:rsidRPr="00B50702" w:rsidRDefault="007E3433" w:rsidP="007E3433">
      <w:pPr>
        <w:keepNext/>
        <w:ind w:firstLineChars="0" w:firstLine="0"/>
        <w:jc w:val="center"/>
        <w:rPr>
          <w:rFonts w:cs="Times New Roman"/>
        </w:rPr>
      </w:pPr>
      <w:r w:rsidRPr="00B50702">
        <w:rPr>
          <w:rFonts w:cs="Times New Roman"/>
          <w:noProof/>
          <w:lang w:val="zh-CN"/>
        </w:rPr>
        <w:lastRenderedPageBreak/>
        <w:drawing>
          <wp:inline distT="0" distB="0" distL="0" distR="0" wp14:anchorId="026ADFC2" wp14:editId="5916D803">
            <wp:extent cx="5220564" cy="3995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564" cy="3995420"/>
                    </a:xfrm>
                    <a:prstGeom prst="rect">
                      <a:avLst/>
                    </a:prstGeom>
                  </pic:spPr>
                </pic:pic>
              </a:graphicData>
            </a:graphic>
          </wp:inline>
        </w:drawing>
      </w:r>
    </w:p>
    <w:p w14:paraId="418D55E1" w14:textId="77777777" w:rsidR="007E3433" w:rsidRDefault="007E3433" w:rsidP="007E3433">
      <w:pPr>
        <w:pStyle w:val="a8"/>
        <w:ind w:firstLineChars="0" w:firstLine="0"/>
        <w:jc w:val="both"/>
        <w:rPr>
          <w:b w:val="0"/>
          <w:bCs/>
        </w:rPr>
      </w:pPr>
      <w:r w:rsidRPr="00B50702">
        <w:t>Fig. S</w:t>
      </w:r>
      <w:r w:rsidR="002158B7">
        <w:fldChar w:fldCharType="begin"/>
      </w:r>
      <w:r w:rsidR="002158B7">
        <w:instrText xml:space="preserve"> SEQ Fig._S \* ARABIC </w:instrText>
      </w:r>
      <w:r w:rsidR="002158B7">
        <w:fldChar w:fldCharType="separate"/>
      </w:r>
      <w:r>
        <w:rPr>
          <w:noProof/>
        </w:rPr>
        <w:t>7</w:t>
      </w:r>
      <w:r w:rsidR="002158B7">
        <w:rPr>
          <w:noProof/>
        </w:rPr>
        <w:fldChar w:fldCharType="end"/>
      </w:r>
      <w:r w:rsidRPr="00B50702">
        <w:rPr>
          <w:b w:val="0"/>
          <w:bCs/>
        </w:rPr>
        <w:t xml:space="preserve"> </w:t>
      </w:r>
      <w:r w:rsidRPr="00EA0860">
        <w:rPr>
          <w:b w:val="0"/>
          <w:bCs/>
        </w:rPr>
        <w:t>Pore size distribution curve of PAA obtained by BET test.</w:t>
      </w:r>
    </w:p>
    <w:p w14:paraId="03878FD6" w14:textId="77777777" w:rsidR="0028394E" w:rsidRDefault="007E3433" w:rsidP="0028394E">
      <w:pPr>
        <w:ind w:firstLineChars="0" w:firstLine="0"/>
        <w:jc w:val="both"/>
        <w:rPr>
          <w:shd w:val="clear" w:color="auto" w:fill="FFFFFF"/>
        </w:rPr>
      </w:pPr>
      <w:r>
        <w:rPr>
          <w:shd w:val="clear" w:color="auto" w:fill="FFFFFF"/>
        </w:rPr>
        <w:t>There are a large number of mesopores with a size of 2–50 nm in PAA. These fine pores are distributed throughout the surface of the PAA framework, increasing the contact area with adsorbates.</w:t>
      </w:r>
    </w:p>
    <w:p w14:paraId="66247679" w14:textId="34D25159" w:rsidR="007E3433" w:rsidRDefault="007E3433" w:rsidP="007E3433">
      <w:pPr>
        <w:ind w:firstLineChars="0" w:firstLine="0"/>
        <w:jc w:val="center"/>
        <w:rPr>
          <w:b/>
        </w:rPr>
      </w:pPr>
      <w:r w:rsidRPr="00B50702">
        <w:br w:type="page"/>
      </w:r>
      <w:r w:rsidRPr="00B50702">
        <w:rPr>
          <w:noProof/>
        </w:rPr>
        <w:lastRenderedPageBreak/>
        <w:drawing>
          <wp:inline distT="0" distB="0" distL="0" distR="0" wp14:anchorId="5C69D052" wp14:editId="6269B37A">
            <wp:extent cx="5273666" cy="448578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666" cy="4485780"/>
                    </a:xfrm>
                    <a:prstGeom prst="rect">
                      <a:avLst/>
                    </a:prstGeom>
                  </pic:spPr>
                </pic:pic>
              </a:graphicData>
            </a:graphic>
          </wp:inline>
        </w:drawing>
      </w:r>
    </w:p>
    <w:p w14:paraId="1FE1E2B7" w14:textId="77777777" w:rsidR="007E3433" w:rsidRPr="003C242E" w:rsidRDefault="007E3433" w:rsidP="007E3433">
      <w:pPr>
        <w:pStyle w:val="a8"/>
        <w:ind w:firstLineChars="0" w:firstLine="0"/>
        <w:jc w:val="both"/>
        <w:rPr>
          <w:b w:val="0"/>
          <w:bCs/>
        </w:rPr>
      </w:pPr>
      <w:r w:rsidRPr="0053228E">
        <w:t>Fig. S</w:t>
      </w:r>
      <w:r w:rsidR="002158B7">
        <w:fldChar w:fldCharType="begin"/>
      </w:r>
      <w:r w:rsidR="002158B7">
        <w:instrText xml:space="preserve"> SEQ Fig._S \* ARABIC </w:instrText>
      </w:r>
      <w:r w:rsidR="002158B7">
        <w:fldChar w:fldCharType="separate"/>
      </w:r>
      <w:r>
        <w:rPr>
          <w:noProof/>
        </w:rPr>
        <w:t>8</w:t>
      </w:r>
      <w:r w:rsidR="002158B7">
        <w:rPr>
          <w:noProof/>
        </w:rPr>
        <w:fldChar w:fldCharType="end"/>
      </w:r>
      <w:r w:rsidRPr="0053228E">
        <w:t xml:space="preserve"> Effects of reaction conditions on adsorption capacity. </w:t>
      </w:r>
      <w:r w:rsidRPr="00393481">
        <w:t>a.</w:t>
      </w:r>
      <w:r w:rsidRPr="003C242E">
        <w:rPr>
          <w:b w:val="0"/>
          <w:bCs/>
        </w:rPr>
        <w:t xml:space="preserve"> Effect of NHS content on adsorption capacity. </w:t>
      </w:r>
      <w:r w:rsidRPr="00393481">
        <w:t>b.</w:t>
      </w:r>
      <w:r w:rsidRPr="003C242E">
        <w:rPr>
          <w:b w:val="0"/>
          <w:bCs/>
        </w:rPr>
        <w:t xml:space="preserve"> Effect of EDC content on adsorption capacity. </w:t>
      </w:r>
      <w:r w:rsidRPr="00393481">
        <w:t>c.</w:t>
      </w:r>
      <w:r w:rsidRPr="003C242E">
        <w:rPr>
          <w:b w:val="0"/>
          <w:bCs/>
        </w:rPr>
        <w:t xml:space="preserve"> Effect of PEI content on adsorption capacity. </w:t>
      </w:r>
      <w:r w:rsidRPr="00393481">
        <w:t xml:space="preserve">d. </w:t>
      </w:r>
      <w:r w:rsidRPr="003C242E">
        <w:rPr>
          <w:b w:val="0"/>
          <w:bCs/>
        </w:rPr>
        <w:t>Effect of PEI grafting time on adsorption c</w:t>
      </w:r>
      <w:r w:rsidRPr="003C242E">
        <w:rPr>
          <w:rFonts w:hint="eastAsia"/>
          <w:b w:val="0"/>
          <w:bCs/>
        </w:rPr>
        <w:t>apacity under different adsorption times. (Adsorption temperature: 80</w:t>
      </w:r>
      <w:r w:rsidRPr="003C242E">
        <w:rPr>
          <w:rFonts w:hint="eastAsia"/>
          <w:b w:val="0"/>
          <w:bCs/>
        </w:rPr>
        <w:t>℃</w:t>
      </w:r>
      <w:r w:rsidRPr="003C242E">
        <w:rPr>
          <w:rFonts w:hint="eastAsia"/>
          <w:b w:val="0"/>
          <w:bCs/>
        </w:rPr>
        <w:t>)</w:t>
      </w:r>
    </w:p>
    <w:p w14:paraId="37C34964" w14:textId="77777777" w:rsidR="007E3433" w:rsidRPr="00B50702" w:rsidRDefault="007E3433" w:rsidP="007E3433">
      <w:pPr>
        <w:ind w:firstLine="240"/>
        <w:jc w:val="both"/>
      </w:pPr>
      <w:r w:rsidRPr="003C242E">
        <w:t>In the coupling reaction, the increase in the contents of NHS and EDC leads to a decrease in iodine adsorption capacity, which may be due to the fact that the increased concentration of the reagents affects the grafting density. There exists an optimal point for the effect of PEI content on iodine adsorption capacity; beyond this optimal point, the adsorption capacity decreases. This might be because the diffusion of high-concentration PEI in the aqueous phase slows down, and more by-products are generated with excessively long reaction time, ultimately resulting in a reduction in grafting efficiency.</w:t>
      </w:r>
    </w:p>
    <w:p w14:paraId="59E36309" w14:textId="77777777" w:rsidR="007E3433" w:rsidRPr="00B50702" w:rsidRDefault="007E3433" w:rsidP="007E3433">
      <w:pPr>
        <w:ind w:firstLineChars="0" w:firstLine="0"/>
        <w:jc w:val="both"/>
        <w:rPr>
          <w:rFonts w:cs="Times New Roman"/>
        </w:rPr>
      </w:pPr>
      <w:r w:rsidRPr="00B50702">
        <w:rPr>
          <w:rFonts w:cs="Times New Roman"/>
        </w:rPr>
        <w:t xml:space="preserve">                                                                                                                                                                                                                                                                                                                                                                                                                                                                                                                                                                                                                                                                                                                                                                                                                                                                                                                                                                                                                                                                                                                                                                                                                                                                                                                                                                                                                                                                                                                                                                                                                                                                                                                                                                                                                                                                                                                                                                                                                                                                                                                                                                                                                                                                                                                                                                                                                                                                                                                                                                                                                                                                                                                                                                                                                                                                                                                                                                                                                                                                                                                                                                                                                                                                                                                                                                                                                                                                                                                                                                                                                                                                                                                                                                                                                                                                                                                                                                                                                                                                                                                                                                                                                                                                                                                                                                                          </w:t>
      </w:r>
    </w:p>
    <w:p w14:paraId="035B24B8" w14:textId="77777777" w:rsidR="007E3433" w:rsidRPr="00B50702" w:rsidRDefault="007E3433" w:rsidP="007E3433">
      <w:pPr>
        <w:ind w:firstLineChars="0" w:firstLine="0"/>
        <w:jc w:val="center"/>
        <w:rPr>
          <w:rFonts w:cs="Times New Roman"/>
        </w:rPr>
      </w:pPr>
      <w:r w:rsidRPr="00B50702">
        <w:rPr>
          <w:rFonts w:cs="Times New Roman"/>
          <w:noProof/>
        </w:rPr>
        <w:lastRenderedPageBreak/>
        <w:drawing>
          <wp:inline distT="0" distB="0" distL="0" distR="0" wp14:anchorId="0C17396C" wp14:editId="72029F80">
            <wp:extent cx="5273438" cy="2158055"/>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438" cy="2158055"/>
                    </a:xfrm>
                    <a:prstGeom prst="rect">
                      <a:avLst/>
                    </a:prstGeom>
                  </pic:spPr>
                </pic:pic>
              </a:graphicData>
            </a:graphic>
          </wp:inline>
        </w:drawing>
      </w:r>
    </w:p>
    <w:p w14:paraId="5A9C4F27" w14:textId="77777777" w:rsidR="007E3433" w:rsidRPr="003C242E" w:rsidRDefault="007E3433" w:rsidP="007E3433">
      <w:pPr>
        <w:pStyle w:val="a8"/>
        <w:ind w:firstLineChars="0" w:firstLine="0"/>
        <w:jc w:val="both"/>
        <w:rPr>
          <w:b w:val="0"/>
          <w:bCs/>
        </w:rPr>
      </w:pPr>
      <w:r w:rsidRPr="003C242E">
        <w:t>Fig. S</w:t>
      </w:r>
      <w:r w:rsidR="002158B7">
        <w:fldChar w:fldCharType="begin"/>
      </w:r>
      <w:r w:rsidR="002158B7">
        <w:instrText xml:space="preserve"> SEQ Fig._S \* ARABIC </w:instrText>
      </w:r>
      <w:r w:rsidR="002158B7">
        <w:fldChar w:fldCharType="separate"/>
      </w:r>
      <w:r>
        <w:rPr>
          <w:noProof/>
        </w:rPr>
        <w:t>9</w:t>
      </w:r>
      <w:r w:rsidR="002158B7">
        <w:rPr>
          <w:noProof/>
        </w:rPr>
        <w:fldChar w:fldCharType="end"/>
      </w:r>
      <w:r w:rsidRPr="003C242E">
        <w:t xml:space="preserve"> Fitting of adsorption kinetic models for I</w:t>
      </w:r>
      <w:r w:rsidRPr="003C242E">
        <w:rPr>
          <w:vertAlign w:val="subscript"/>
        </w:rPr>
        <w:t>2</w:t>
      </w:r>
      <w:r w:rsidRPr="003C242E">
        <w:t xml:space="preserve"> adsorption by PEI@PAA aerogel. </w:t>
      </w:r>
      <w:r w:rsidRPr="00393481">
        <w:t>a.</w:t>
      </w:r>
      <w:r w:rsidRPr="003C242E">
        <w:rPr>
          <w:b w:val="0"/>
          <w:bCs/>
        </w:rPr>
        <w:t xml:space="preserve"> Pseudo-first-order adsorption kinetic fitting (red curve) and pseudo-second-order adsorption kinetic fitting (blue curve). </w:t>
      </w:r>
      <w:r w:rsidRPr="00393481">
        <w:t>b.</w:t>
      </w:r>
      <w:r w:rsidRPr="003C242E">
        <w:rPr>
          <w:b w:val="0"/>
          <w:bCs/>
        </w:rPr>
        <w:t xml:space="preserve"> Fitting of the Webber-Morris intraparticle diffusion kinetic model.</w:t>
      </w:r>
    </w:p>
    <w:p w14:paraId="399580BB" w14:textId="77777777" w:rsidR="007E3433" w:rsidRPr="003C242E" w:rsidRDefault="007E3433" w:rsidP="007E3433">
      <w:pPr>
        <w:ind w:firstLineChars="0" w:firstLine="0"/>
        <w:jc w:val="center"/>
        <w:rPr>
          <w:rFonts w:cs="Times New Roman"/>
        </w:rPr>
      </w:pPr>
      <w:r w:rsidRPr="00B50702">
        <w:rPr>
          <w:rFonts w:cs="Times New Roman"/>
        </w:rPr>
        <w:br w:type="page"/>
      </w:r>
      <w:r w:rsidRPr="00B50702">
        <w:rPr>
          <w:rFonts w:cs="Times New Roman"/>
          <w:noProof/>
        </w:rPr>
        <w:lastRenderedPageBreak/>
        <w:drawing>
          <wp:inline distT="0" distB="0" distL="0" distR="0" wp14:anchorId="69ADE556" wp14:editId="4F440D8D">
            <wp:extent cx="5274310" cy="4413465"/>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413465"/>
                    </a:xfrm>
                    <a:prstGeom prst="rect">
                      <a:avLst/>
                    </a:prstGeom>
                  </pic:spPr>
                </pic:pic>
              </a:graphicData>
            </a:graphic>
          </wp:inline>
        </w:drawing>
      </w:r>
    </w:p>
    <w:p w14:paraId="37785F8C" w14:textId="77777777" w:rsidR="007E3433" w:rsidRPr="003C242E" w:rsidRDefault="007E3433" w:rsidP="007E3433">
      <w:pPr>
        <w:pStyle w:val="a8"/>
        <w:ind w:firstLineChars="0" w:firstLine="0"/>
        <w:jc w:val="both"/>
        <w:rPr>
          <w:b w:val="0"/>
          <w:bCs/>
        </w:rPr>
      </w:pPr>
      <w:r w:rsidRPr="003C242E">
        <w:t>Fig. S</w:t>
      </w:r>
      <w:r w:rsidR="002158B7">
        <w:fldChar w:fldCharType="begin"/>
      </w:r>
      <w:r w:rsidR="002158B7">
        <w:instrText xml:space="preserve"> SEQ Fig._S \* ARABIC </w:instrText>
      </w:r>
      <w:r w:rsidR="002158B7">
        <w:fldChar w:fldCharType="separate"/>
      </w:r>
      <w:r>
        <w:rPr>
          <w:noProof/>
        </w:rPr>
        <w:t>10</w:t>
      </w:r>
      <w:r w:rsidR="002158B7">
        <w:rPr>
          <w:noProof/>
        </w:rPr>
        <w:fldChar w:fldCharType="end"/>
      </w:r>
      <w:r w:rsidRPr="003C242E">
        <w:t xml:space="preserve"> Adsorption isotherm fitting (Langmuir/Freundlich/Temkin) of I</w:t>
      </w:r>
      <w:r w:rsidRPr="003C242E">
        <w:rPr>
          <w:vertAlign w:val="subscript"/>
        </w:rPr>
        <w:t>2</w:t>
      </w:r>
      <w:r w:rsidRPr="003C242E">
        <w:t xml:space="preserve"> by PEI@PAA.</w:t>
      </w:r>
      <w:r w:rsidRPr="003C242E">
        <w:rPr>
          <w:b w:val="0"/>
          <w:bCs/>
        </w:rPr>
        <w:t xml:space="preserve"> </w:t>
      </w:r>
      <w:r w:rsidRPr="00393481">
        <w:t>a.</w:t>
      </w:r>
      <w:r w:rsidRPr="003C242E">
        <w:rPr>
          <w:b w:val="0"/>
          <w:bCs/>
        </w:rPr>
        <w:t xml:space="preserve"> Isotherm fitting at 80℃.</w:t>
      </w:r>
      <w:r w:rsidRPr="00393481">
        <w:t xml:space="preserve"> b.</w:t>
      </w:r>
      <w:r w:rsidRPr="003C242E">
        <w:rPr>
          <w:b w:val="0"/>
          <w:bCs/>
        </w:rPr>
        <w:t xml:space="preserve"> Isotherm fitting at 100℃. c. Isotherm fitting at 120℃</w:t>
      </w:r>
    </w:p>
    <w:p w14:paraId="1FF660FE" w14:textId="77777777" w:rsidR="007E3433" w:rsidRPr="00B50702" w:rsidRDefault="007E3433" w:rsidP="007E3433">
      <w:pPr>
        <w:widowControl/>
        <w:spacing w:line="240" w:lineRule="auto"/>
        <w:ind w:firstLineChars="0" w:firstLine="0"/>
        <w:jc w:val="both"/>
        <w:rPr>
          <w:rFonts w:eastAsia="黑体" w:cs="Times New Roman"/>
          <w:bCs/>
          <w:sz w:val="18"/>
        </w:rPr>
      </w:pPr>
      <w:r w:rsidRPr="00B50702">
        <w:rPr>
          <w:rFonts w:cs="Times New Roman"/>
          <w:b/>
          <w:bCs/>
        </w:rPr>
        <w:br w:type="page"/>
      </w:r>
    </w:p>
    <w:p w14:paraId="49F3AFAA" w14:textId="77777777" w:rsidR="007E3433" w:rsidRPr="00B50702" w:rsidRDefault="007E3433" w:rsidP="007E3433">
      <w:pPr>
        <w:pStyle w:val="a8"/>
        <w:ind w:firstLineChars="0" w:firstLine="0"/>
        <w:jc w:val="center"/>
        <w:rPr>
          <w:b w:val="0"/>
          <w:bCs/>
        </w:rPr>
      </w:pPr>
      <w:r w:rsidRPr="00B50702">
        <w:rPr>
          <w:b w:val="0"/>
          <w:bCs/>
          <w:noProof/>
        </w:rPr>
        <w:lastRenderedPageBreak/>
        <w:drawing>
          <wp:inline distT="0" distB="0" distL="0" distR="0" wp14:anchorId="00C8B6FD" wp14:editId="2F20B671">
            <wp:extent cx="5274222" cy="4088765"/>
            <wp:effectExtent l="0" t="0" r="317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222" cy="4088765"/>
                    </a:xfrm>
                    <a:prstGeom prst="rect">
                      <a:avLst/>
                    </a:prstGeom>
                  </pic:spPr>
                </pic:pic>
              </a:graphicData>
            </a:graphic>
          </wp:inline>
        </w:drawing>
      </w:r>
    </w:p>
    <w:p w14:paraId="24A6D9DC" w14:textId="77777777" w:rsidR="007E3433" w:rsidRPr="00B50702" w:rsidRDefault="007E3433" w:rsidP="007E3433">
      <w:pPr>
        <w:pStyle w:val="a8"/>
        <w:ind w:firstLineChars="0" w:firstLine="0"/>
        <w:jc w:val="both"/>
      </w:pPr>
      <w:r w:rsidRPr="00B50702">
        <w:t>Fig. S</w:t>
      </w:r>
      <w:r w:rsidR="002158B7">
        <w:fldChar w:fldCharType="begin"/>
      </w:r>
      <w:r w:rsidR="002158B7">
        <w:instrText xml:space="preserve"> SEQ Fig._S \* ARABIC </w:instrText>
      </w:r>
      <w:r w:rsidR="002158B7">
        <w:fldChar w:fldCharType="separate"/>
      </w:r>
      <w:r>
        <w:rPr>
          <w:noProof/>
        </w:rPr>
        <w:t>11</w:t>
      </w:r>
      <w:r w:rsidR="002158B7">
        <w:rPr>
          <w:noProof/>
        </w:rPr>
        <w:fldChar w:fldCharType="end"/>
      </w:r>
      <w:r w:rsidRPr="00B50702">
        <w:t xml:space="preserve"> </w:t>
      </w:r>
      <w:r w:rsidRPr="003C242E">
        <w:t>Raman spectra of PEI@PAA before and after adsorption.</w:t>
      </w:r>
    </w:p>
    <w:p w14:paraId="5B613A4D" w14:textId="77777777" w:rsidR="0077169B" w:rsidRDefault="007E3433" w:rsidP="0077169B">
      <w:pPr>
        <w:ind w:firstLine="240"/>
        <w:jc w:val="both"/>
      </w:pPr>
      <w:r w:rsidRPr="003C242E">
        <w:t>After adsorption, a peak of I</w:t>
      </w:r>
      <w:r w:rsidRPr="0039420D">
        <w:rPr>
          <w:vertAlign w:val="subscript"/>
        </w:rPr>
        <w:t>2</w:t>
      </w:r>
      <w:r w:rsidRPr="003C242E">
        <w:t xml:space="preserve"> appears at 159 cm</w:t>
      </w:r>
      <w:r w:rsidRPr="0039420D">
        <w:rPr>
          <w:vertAlign w:val="superscript"/>
        </w:rPr>
        <w:t>-1</w:t>
      </w:r>
      <w:r w:rsidRPr="003C242E">
        <w:t>, the characteristic peak at 109 cm</w:t>
      </w:r>
      <w:r w:rsidRPr="0039420D">
        <w:rPr>
          <w:vertAlign w:val="superscript"/>
        </w:rPr>
        <w:t>-1</w:t>
      </w:r>
      <w:r w:rsidRPr="003C242E">
        <w:t xml:space="preserve"> corresponds to I</w:t>
      </w:r>
      <w:r w:rsidRPr="008F1AF0">
        <w:rPr>
          <w:eastAsianLayout w:id="-516700414" w:combine="1"/>
        </w:rPr>
        <w:t>-3</w:t>
      </w:r>
      <w:r w:rsidRPr="003C242E">
        <w:t>, and the characteristic peak at 168 cm</w:t>
      </w:r>
      <w:r w:rsidRPr="0039420D">
        <w:rPr>
          <w:vertAlign w:val="superscript"/>
        </w:rPr>
        <w:t>-1</w:t>
      </w:r>
      <w:r w:rsidRPr="003C242E">
        <w:t xml:space="preserve"> corresponds to I</w:t>
      </w:r>
      <w:r w:rsidRPr="008F1AF0">
        <w:rPr>
          <w:eastAsianLayout w:id="-516700160" w:combine="1"/>
        </w:rPr>
        <w:t>-5</w:t>
      </w:r>
      <w:r w:rsidRPr="003C242E">
        <w:t>. The Raman spectra reveal the form of iodine in the adsorbent.</w:t>
      </w:r>
    </w:p>
    <w:p w14:paraId="3000A33E" w14:textId="335B949E" w:rsidR="007E3433" w:rsidRPr="00B50702" w:rsidRDefault="007E3433" w:rsidP="007E3433">
      <w:pPr>
        <w:ind w:firstLine="240"/>
        <w:jc w:val="center"/>
      </w:pPr>
      <w:r w:rsidRPr="00B50702">
        <w:br w:type="page"/>
      </w:r>
      <w:r w:rsidRPr="00B50702">
        <w:rPr>
          <w:noProof/>
        </w:rPr>
        <w:lastRenderedPageBreak/>
        <w:drawing>
          <wp:inline distT="0" distB="0" distL="0" distR="0" wp14:anchorId="1503DF2D" wp14:editId="50958352">
            <wp:extent cx="5274310" cy="4391761"/>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391761"/>
                    </a:xfrm>
                    <a:prstGeom prst="rect">
                      <a:avLst/>
                    </a:prstGeom>
                  </pic:spPr>
                </pic:pic>
              </a:graphicData>
            </a:graphic>
          </wp:inline>
        </w:drawing>
      </w:r>
    </w:p>
    <w:p w14:paraId="23833E98" w14:textId="575963E1" w:rsidR="007E3433" w:rsidRPr="0039420D" w:rsidRDefault="007E3433" w:rsidP="007E3433">
      <w:pPr>
        <w:pStyle w:val="a8"/>
        <w:ind w:firstLineChars="0" w:firstLine="0"/>
        <w:jc w:val="both"/>
      </w:pPr>
      <w:r w:rsidRPr="0039420D">
        <w:t>Fig. S</w:t>
      </w:r>
      <w:r w:rsidR="002158B7">
        <w:fldChar w:fldCharType="begin"/>
      </w:r>
      <w:r w:rsidR="002158B7">
        <w:instrText xml:space="preserve"> SEQ Fig._S \* ARABIC </w:instrText>
      </w:r>
      <w:r w:rsidR="002158B7">
        <w:fldChar w:fldCharType="separate"/>
      </w:r>
      <w:r>
        <w:rPr>
          <w:noProof/>
        </w:rPr>
        <w:t>12</w:t>
      </w:r>
      <w:r w:rsidR="002158B7">
        <w:rPr>
          <w:noProof/>
        </w:rPr>
        <w:fldChar w:fldCharType="end"/>
      </w:r>
      <w:r w:rsidRPr="0039420D">
        <w:t xml:space="preserve"> Element distribution maps and contents of PEI@PAA after irradiation.</w:t>
      </w:r>
      <w:r w:rsidRPr="0039420D">
        <w:rPr>
          <w:b w:val="0"/>
          <w:bCs/>
        </w:rPr>
        <w:t xml:space="preserve"> </w:t>
      </w:r>
      <w:r w:rsidRPr="00393481">
        <w:t>a</w:t>
      </w:r>
      <w:r>
        <w:t>~</w:t>
      </w:r>
      <w:r w:rsidRPr="00393481">
        <w:t>c</w:t>
      </w:r>
      <w:r w:rsidR="00B830A1">
        <w:rPr>
          <w:b w:val="0"/>
          <w:bCs/>
        </w:rPr>
        <w:t xml:space="preserve"> </w:t>
      </w:r>
      <w:r w:rsidRPr="0039420D">
        <w:rPr>
          <w:b w:val="0"/>
          <w:bCs/>
        </w:rPr>
        <w:t>are EDS-Mapping elemental analyses of C,</w:t>
      </w:r>
      <w:r w:rsidR="00B830A1">
        <w:rPr>
          <w:b w:val="0"/>
          <w:bCs/>
        </w:rPr>
        <w:t xml:space="preserve"> </w:t>
      </w:r>
      <w:r w:rsidRPr="0039420D">
        <w:rPr>
          <w:b w:val="0"/>
          <w:bCs/>
        </w:rPr>
        <w:t>N,</w:t>
      </w:r>
      <w:r w:rsidR="00B830A1">
        <w:rPr>
          <w:b w:val="0"/>
          <w:bCs/>
        </w:rPr>
        <w:t xml:space="preserve"> </w:t>
      </w:r>
      <w:r w:rsidRPr="0039420D">
        <w:rPr>
          <w:b w:val="0"/>
          <w:bCs/>
        </w:rPr>
        <w:t>O in PEI@PAA-γ, respectively</w:t>
      </w:r>
      <w:r>
        <w:rPr>
          <w:b w:val="0"/>
          <w:bCs/>
        </w:rPr>
        <w:t>.</w:t>
      </w:r>
      <w:r w:rsidRPr="0039420D">
        <w:rPr>
          <w:b w:val="0"/>
          <w:bCs/>
        </w:rPr>
        <w:t xml:space="preserve"> </w:t>
      </w:r>
      <w:proofErr w:type="spellStart"/>
      <w:r w:rsidRPr="00393481">
        <w:t>d~f</w:t>
      </w:r>
      <w:proofErr w:type="spellEnd"/>
      <w:r w:rsidRPr="0039420D">
        <w:rPr>
          <w:b w:val="0"/>
          <w:bCs/>
        </w:rPr>
        <w:t xml:space="preserve"> are the Mapping maps of PEI@PPA-β, respectively</w:t>
      </w:r>
      <w:r>
        <w:rPr>
          <w:b w:val="0"/>
          <w:bCs/>
        </w:rPr>
        <w:t xml:space="preserve">. </w:t>
      </w:r>
      <w:r w:rsidRPr="00393481">
        <w:t>g, h</w:t>
      </w:r>
      <w:r w:rsidRPr="0039420D">
        <w:rPr>
          <w:b w:val="0"/>
          <w:bCs/>
        </w:rPr>
        <w:t xml:space="preserve"> are the element distributions of PEI@PAA-γ and PEI@PAA-β, respectively.</w:t>
      </w:r>
    </w:p>
    <w:p w14:paraId="7D05021D" w14:textId="77777777" w:rsidR="007E3433" w:rsidRPr="00B50702" w:rsidRDefault="007E3433" w:rsidP="007E3433">
      <w:pPr>
        <w:ind w:firstLine="240"/>
        <w:jc w:val="both"/>
      </w:pPr>
      <w:r w:rsidRPr="0039420D">
        <w:t>It can be seen from the element distribution maps that after irradiation with γ and β rays, the elements (especially N element) of the PEI@PAA aerogel are still uniformly distributed, and the element contents are basically consistent with those of the unirradiated sample. This further confirms the irradiation stability of the PEI@PAA aerogel.</w:t>
      </w:r>
      <w:r w:rsidRPr="00B50702">
        <w:br w:type="page"/>
      </w:r>
    </w:p>
    <w:p w14:paraId="442F1BE1" w14:textId="77777777" w:rsidR="007E3433" w:rsidRPr="00B50702" w:rsidRDefault="007E3433" w:rsidP="007E3433">
      <w:pPr>
        <w:ind w:firstLineChars="0" w:firstLine="0"/>
        <w:jc w:val="center"/>
        <w:rPr>
          <w:rFonts w:cs="Times New Roman"/>
        </w:rPr>
      </w:pPr>
      <w:r w:rsidRPr="00B50702">
        <w:rPr>
          <w:rFonts w:cs="Times New Roman"/>
          <w:noProof/>
        </w:rPr>
        <w:lastRenderedPageBreak/>
        <w:drawing>
          <wp:inline distT="0" distB="0" distL="0" distR="0" wp14:anchorId="12DBCB4D" wp14:editId="1513175A">
            <wp:extent cx="5274310" cy="58121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5812155"/>
                    </a:xfrm>
                    <a:prstGeom prst="rect">
                      <a:avLst/>
                    </a:prstGeom>
                  </pic:spPr>
                </pic:pic>
              </a:graphicData>
            </a:graphic>
          </wp:inline>
        </w:drawing>
      </w:r>
    </w:p>
    <w:p w14:paraId="5E4D5EA1" w14:textId="77777777" w:rsidR="007E3433" w:rsidRDefault="007E3433" w:rsidP="007E3433">
      <w:pPr>
        <w:pStyle w:val="a8"/>
        <w:ind w:firstLineChars="0" w:firstLine="0"/>
        <w:jc w:val="both"/>
      </w:pPr>
      <w:r w:rsidRPr="0039420D">
        <w:rPr>
          <w:rFonts w:hint="eastAsia"/>
        </w:rPr>
        <w:t>Fig. S</w:t>
      </w:r>
      <w:r w:rsidR="002158B7">
        <w:fldChar w:fldCharType="begin"/>
      </w:r>
      <w:r w:rsidR="002158B7">
        <w:instrText xml:space="preserve"> SEQ Fig._S \* ARABIC </w:instrText>
      </w:r>
      <w:r w:rsidR="002158B7">
        <w:fldChar w:fldCharType="separate"/>
      </w:r>
      <w:r>
        <w:rPr>
          <w:noProof/>
        </w:rPr>
        <w:t>13</w:t>
      </w:r>
      <w:r w:rsidR="002158B7">
        <w:rPr>
          <w:noProof/>
        </w:rPr>
        <w:fldChar w:fldCharType="end"/>
      </w:r>
      <w:r w:rsidRPr="0039420D">
        <w:rPr>
          <w:rFonts w:hint="eastAsia"/>
        </w:rPr>
        <w:t xml:space="preserve"> Comparison of adsorption capacities of iodine adsorbent BiMgO-2MBD before and after irradiation, with the adsorption temperature being 150</w:t>
      </w:r>
      <w:r w:rsidRPr="0039420D">
        <w:t>℃</w:t>
      </w:r>
      <w:r w:rsidRPr="0039420D">
        <w:rPr>
          <w:rFonts w:hint="eastAsia"/>
        </w:rPr>
        <w:t xml:space="preserve"> in all cases. </w:t>
      </w:r>
      <w:r w:rsidRPr="0039420D">
        <w:rPr>
          <w:rFonts w:hint="eastAsia"/>
          <w:b w:val="0"/>
          <w:bCs/>
        </w:rPr>
        <w:t>Among them, BiMgO-2MBD-</w:t>
      </w:r>
      <w:r w:rsidRPr="0039420D">
        <w:rPr>
          <w:b w:val="0"/>
          <w:bCs/>
        </w:rPr>
        <w:t>β</w:t>
      </w:r>
      <w:r w:rsidRPr="0039420D">
        <w:rPr>
          <w:rFonts w:hint="eastAsia"/>
          <w:b w:val="0"/>
          <w:bCs/>
        </w:rPr>
        <w:t xml:space="preserve"> was irradiated with </w:t>
      </w:r>
      <w:r w:rsidRPr="0039420D">
        <w:rPr>
          <w:b w:val="0"/>
          <w:bCs/>
        </w:rPr>
        <w:t>β</w:t>
      </w:r>
      <w:r w:rsidRPr="0039420D">
        <w:rPr>
          <w:rFonts w:hint="eastAsia"/>
          <w:b w:val="0"/>
          <w:bCs/>
        </w:rPr>
        <w:t>-rays, and BiMgO-2MBD-</w:t>
      </w:r>
      <w:r w:rsidRPr="0039420D">
        <w:rPr>
          <w:b w:val="0"/>
          <w:bCs/>
        </w:rPr>
        <w:t>γ</w:t>
      </w:r>
      <w:r w:rsidRPr="0039420D">
        <w:rPr>
          <w:rFonts w:hint="eastAsia"/>
          <w:b w:val="0"/>
          <w:bCs/>
        </w:rPr>
        <w:t xml:space="preserve"> was irradiated with </w:t>
      </w:r>
      <w:r w:rsidRPr="0039420D">
        <w:rPr>
          <w:b w:val="0"/>
          <w:bCs/>
        </w:rPr>
        <w:t>γ</w:t>
      </w:r>
      <w:r w:rsidRPr="0039420D">
        <w:rPr>
          <w:rFonts w:hint="eastAsia"/>
          <w:b w:val="0"/>
          <w:bCs/>
        </w:rPr>
        <w:t>-r</w:t>
      </w:r>
      <w:r w:rsidRPr="0039420D">
        <w:rPr>
          <w:b w:val="0"/>
          <w:bCs/>
        </w:rPr>
        <w:t xml:space="preserve">ays, with an irradiation dose of 50 </w:t>
      </w:r>
      <w:proofErr w:type="spellStart"/>
      <w:r w:rsidRPr="0039420D">
        <w:rPr>
          <w:b w:val="0"/>
          <w:bCs/>
        </w:rPr>
        <w:t>kGy</w:t>
      </w:r>
      <w:proofErr w:type="spellEnd"/>
      <w:r w:rsidRPr="0039420D">
        <w:rPr>
          <w:b w:val="0"/>
          <w:bCs/>
        </w:rPr>
        <w:t xml:space="preserve"> for both.</w:t>
      </w:r>
      <w:r w:rsidRPr="00B50702">
        <w:t xml:space="preserve">   </w:t>
      </w:r>
    </w:p>
    <w:p w14:paraId="593422CC" w14:textId="77777777" w:rsidR="007E3433" w:rsidRDefault="007E3433" w:rsidP="0028394E">
      <w:pPr>
        <w:ind w:firstLine="240"/>
        <w:jc w:val="both"/>
      </w:pPr>
      <w:r w:rsidRPr="0039420D">
        <w:t>After being irradiated with β-rays, the adsorption capacity of BiMgO-2MBD is 3.68 g·g</w:t>
      </w:r>
      <w:r w:rsidRPr="0039420D">
        <w:rPr>
          <w:vertAlign w:val="superscript"/>
        </w:rPr>
        <w:t>-1</w:t>
      </w:r>
      <w:r w:rsidRPr="0039420D">
        <w:t>, a decrease of 28.5%. After being irradiated with γ-rays, the adsorption capacity of BiMgO-2MBD is 2.16 g·g</w:t>
      </w:r>
      <w:r w:rsidRPr="0039420D">
        <w:rPr>
          <w:vertAlign w:val="superscript"/>
        </w:rPr>
        <w:t>-1</w:t>
      </w:r>
      <w:r w:rsidRPr="0039420D">
        <w:t>, a decrease of 58.1%.</w:t>
      </w:r>
      <w:r w:rsidRPr="00B50702">
        <w:t xml:space="preserve">    </w:t>
      </w:r>
    </w:p>
    <w:p w14:paraId="4027E3EC" w14:textId="77777777" w:rsidR="007E3433" w:rsidRDefault="007E3433" w:rsidP="007E3433">
      <w:pPr>
        <w:widowControl/>
        <w:spacing w:line="240" w:lineRule="auto"/>
        <w:ind w:firstLineChars="0" w:firstLine="0"/>
        <w:jc w:val="both"/>
        <w:rPr>
          <w:rFonts w:cs="Times New Roman"/>
        </w:rPr>
      </w:pPr>
      <w:r>
        <w:rPr>
          <w:rFonts w:cs="Times New Roman"/>
        </w:rPr>
        <w:br w:type="page"/>
      </w:r>
    </w:p>
    <w:p w14:paraId="555F9938" w14:textId="77777777" w:rsidR="007E3433" w:rsidRDefault="007E3433" w:rsidP="007E3433">
      <w:pPr>
        <w:ind w:firstLineChars="0" w:firstLine="0"/>
        <w:jc w:val="center"/>
        <w:rPr>
          <w:rFonts w:cs="Times New Roman"/>
        </w:rPr>
      </w:pPr>
      <w:r>
        <w:rPr>
          <w:rFonts w:cs="Times New Roman"/>
          <w:noProof/>
        </w:rPr>
        <w:lastRenderedPageBreak/>
        <w:drawing>
          <wp:inline distT="0" distB="0" distL="0" distR="0" wp14:anchorId="18738B06" wp14:editId="23A928EB">
            <wp:extent cx="5274310" cy="3983484"/>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983484"/>
                    </a:xfrm>
                    <a:prstGeom prst="rect">
                      <a:avLst/>
                    </a:prstGeom>
                  </pic:spPr>
                </pic:pic>
              </a:graphicData>
            </a:graphic>
          </wp:inline>
        </w:drawing>
      </w:r>
    </w:p>
    <w:p w14:paraId="4F85D3EE" w14:textId="77777777" w:rsidR="007E3433" w:rsidRDefault="007E3433" w:rsidP="007E3433">
      <w:pPr>
        <w:pStyle w:val="a8"/>
        <w:ind w:firstLineChars="0" w:firstLine="0"/>
        <w:jc w:val="both"/>
        <w:rPr>
          <w:b w:val="0"/>
          <w:bCs/>
        </w:rPr>
      </w:pPr>
      <w:r>
        <w:t>Fig. S14 T</w:t>
      </w:r>
      <w:r>
        <w:rPr>
          <w:rFonts w:hint="eastAsia"/>
        </w:rPr>
        <w:t>h</w:t>
      </w:r>
      <w:r>
        <w:t>e scalable preparation of PEI@PAA aerogel.</w:t>
      </w:r>
      <w:r w:rsidRPr="001C66D1">
        <w:rPr>
          <w:b w:val="0"/>
          <w:bCs/>
        </w:rPr>
        <w:t xml:space="preserve"> </w:t>
      </w:r>
      <w:r w:rsidRPr="00393481">
        <w:t>a</w:t>
      </w:r>
      <w:r w:rsidRPr="001C66D1">
        <w:rPr>
          <w:b w:val="0"/>
          <w:bCs/>
        </w:rPr>
        <w:t xml:space="preserve"> length </w:t>
      </w:r>
      <w:r w:rsidRPr="001C66D1">
        <w:rPr>
          <w:rFonts w:ascii="Geist Fallback" w:hAnsi="Geist Fallback"/>
          <w:b w:val="0"/>
          <w:bCs/>
          <w:color w:val="09090B"/>
          <w:shd w:val="clear" w:color="auto" w:fill="FFFFFF"/>
        </w:rPr>
        <w:t>×</w:t>
      </w:r>
      <w:r w:rsidRPr="001C66D1">
        <w:rPr>
          <w:b w:val="0"/>
          <w:bCs/>
        </w:rPr>
        <w:t xml:space="preserve"> width </w:t>
      </w:r>
      <w:r w:rsidRPr="001C66D1">
        <w:rPr>
          <w:rFonts w:ascii="Geist Fallback" w:hAnsi="Geist Fallback"/>
          <w:b w:val="0"/>
          <w:bCs/>
          <w:color w:val="09090B"/>
          <w:shd w:val="clear" w:color="auto" w:fill="FFFFFF"/>
        </w:rPr>
        <w:t>× height =</w:t>
      </w:r>
      <w:r w:rsidRPr="001C66D1">
        <w:rPr>
          <w:b w:val="0"/>
          <w:bCs/>
        </w:rPr>
        <w:t xml:space="preserve"> 22. cm×15 cm×1.5 cm. </w:t>
      </w:r>
      <w:r w:rsidRPr="00393481">
        <w:t>b</w:t>
      </w:r>
      <w:r w:rsidRPr="001C66D1">
        <w:rPr>
          <w:b w:val="0"/>
          <w:bCs/>
        </w:rPr>
        <w:t xml:space="preserve"> length </w:t>
      </w:r>
      <w:r w:rsidRPr="001C66D1">
        <w:rPr>
          <w:rFonts w:ascii="Geist Fallback" w:hAnsi="Geist Fallback"/>
          <w:b w:val="0"/>
          <w:bCs/>
          <w:color w:val="09090B"/>
          <w:shd w:val="clear" w:color="auto" w:fill="FFFFFF"/>
        </w:rPr>
        <w:t>×</w:t>
      </w:r>
      <w:r w:rsidRPr="001C66D1">
        <w:rPr>
          <w:b w:val="0"/>
          <w:bCs/>
        </w:rPr>
        <w:t xml:space="preserve"> width </w:t>
      </w:r>
      <w:r w:rsidRPr="001C66D1">
        <w:rPr>
          <w:rFonts w:ascii="Geist Fallback" w:hAnsi="Geist Fallback"/>
          <w:b w:val="0"/>
          <w:bCs/>
          <w:color w:val="09090B"/>
          <w:shd w:val="clear" w:color="auto" w:fill="FFFFFF"/>
        </w:rPr>
        <w:t>× height =</w:t>
      </w:r>
      <w:r w:rsidRPr="001C66D1">
        <w:rPr>
          <w:b w:val="0"/>
          <w:bCs/>
        </w:rPr>
        <w:t xml:space="preserve"> 37 cm×27 cm×2 cm. </w:t>
      </w:r>
      <w:r w:rsidRPr="00393481">
        <w:t>c</w:t>
      </w:r>
      <w:r w:rsidRPr="001C66D1">
        <w:rPr>
          <w:b w:val="0"/>
          <w:bCs/>
        </w:rPr>
        <w:t xml:space="preserve"> length </w:t>
      </w:r>
      <w:r w:rsidRPr="001C66D1">
        <w:rPr>
          <w:rFonts w:ascii="Geist Fallback" w:hAnsi="Geist Fallback"/>
          <w:b w:val="0"/>
          <w:bCs/>
          <w:color w:val="09090B"/>
          <w:shd w:val="clear" w:color="auto" w:fill="FFFFFF"/>
        </w:rPr>
        <w:t>×</w:t>
      </w:r>
      <w:r w:rsidRPr="001C66D1">
        <w:rPr>
          <w:b w:val="0"/>
          <w:bCs/>
        </w:rPr>
        <w:t xml:space="preserve"> width </w:t>
      </w:r>
      <w:r w:rsidRPr="001C66D1">
        <w:rPr>
          <w:rFonts w:ascii="Geist Fallback" w:hAnsi="Geist Fallback"/>
          <w:b w:val="0"/>
          <w:bCs/>
          <w:color w:val="09090B"/>
          <w:shd w:val="clear" w:color="auto" w:fill="FFFFFF"/>
        </w:rPr>
        <w:t>× height =</w:t>
      </w:r>
      <w:r w:rsidRPr="001C66D1">
        <w:rPr>
          <w:b w:val="0"/>
          <w:bCs/>
        </w:rPr>
        <w:t xml:space="preserve"> </w:t>
      </w:r>
      <w:bookmarkStart w:id="5" w:name="_Hlk216428061"/>
      <w:r w:rsidRPr="001C66D1">
        <w:rPr>
          <w:b w:val="0"/>
          <w:bCs/>
        </w:rPr>
        <w:t>50 cm×35 cm×4 cm</w:t>
      </w:r>
      <w:bookmarkEnd w:id="5"/>
    </w:p>
    <w:p w14:paraId="5C204274" w14:textId="77777777" w:rsidR="007E3433" w:rsidRPr="00B50702" w:rsidRDefault="007E3433" w:rsidP="0028394E">
      <w:pPr>
        <w:ind w:firstLine="240"/>
        <w:jc w:val="both"/>
      </w:pPr>
      <w:r w:rsidRPr="00E63D6E">
        <w:t xml:space="preserve">The large-scale preparation of PEI@PAA aerogel has been realized, ensuring uniform polymerization through a layer-by-layer casting method, achieving kilogram-level production in the laboratory.      </w:t>
      </w:r>
      <w:r w:rsidRPr="001C66D1">
        <w:rPr>
          <w:b/>
          <w:bCs/>
        </w:rPr>
        <w:t xml:space="preserve">                      </w:t>
      </w:r>
      <w:r w:rsidRPr="00B50702">
        <w:t xml:space="preserve">                                                                                                                                                                                                                                                        </w:t>
      </w:r>
    </w:p>
    <w:p w14:paraId="5CA232AE" w14:textId="23DDA3C0" w:rsidR="007E3433" w:rsidRPr="009F08FF" w:rsidRDefault="007E3433" w:rsidP="007E3433">
      <w:pPr>
        <w:pStyle w:val="a8"/>
        <w:ind w:firstLine="181"/>
        <w:jc w:val="center"/>
        <w:rPr>
          <w:sz w:val="21"/>
          <w:szCs w:val="21"/>
          <w:lang w:val="en"/>
        </w:rPr>
      </w:pPr>
      <w:r w:rsidRPr="00B50702">
        <w:br w:type="page"/>
      </w:r>
      <w:bookmarkStart w:id="6" w:name="_Hlk203143083"/>
      <w:r w:rsidRPr="009F08FF">
        <w:rPr>
          <w:shd w:val="clear" w:color="auto" w:fill="FFFFFF"/>
        </w:rPr>
        <w:lastRenderedPageBreak/>
        <w:t>Table S</w:t>
      </w:r>
      <w:r w:rsidR="00E81E1A">
        <w:t>1</w:t>
      </w:r>
      <w:r w:rsidRPr="009F08FF">
        <w:rPr>
          <w:shd w:val="clear" w:color="auto" w:fill="FFFFFF"/>
        </w:rPr>
        <w:t xml:space="preserve"> </w:t>
      </w:r>
      <w:r w:rsidRPr="009F08FF">
        <w:rPr>
          <w:b w:val="0"/>
          <w:bCs/>
          <w:shd w:val="clear" w:color="auto" w:fill="FFFFFF"/>
        </w:rPr>
        <w:t>Material Price List</w:t>
      </w:r>
      <w:r w:rsidRPr="009F08FF">
        <w:rPr>
          <w:b w:val="0"/>
          <w:bCs/>
          <w:lang w:val="en"/>
        </w:rPr>
        <w:t xml:space="preserve"> </w:t>
      </w:r>
      <w:r w:rsidRPr="009F08FF">
        <w:rPr>
          <w:b w:val="0"/>
          <w:bCs/>
          <w:szCs w:val="18"/>
        </w:rPr>
        <w:fldChar w:fldCharType="begin"/>
      </w:r>
      <w:r w:rsidRPr="009F08FF">
        <w:rPr>
          <w:b w:val="0"/>
          <w:bCs/>
          <w:szCs w:val="18"/>
        </w:rPr>
        <w:instrText xml:space="preserve"> ADDIN ZOTERO_ITEM CSL_CITATION {"citationID":"Udy18WqM","properties":{"formattedCitation":"[10]","plainCitation":"[10]","noteIndex":0},"citationItems":[{"id":890,"uris":["http://zotero.org/users/14169885/items/LAATXLZC"],"itemData":{"id":890,"type":"webpage","language":"en","note":"titleTranslation: </w:instrText>
      </w:r>
      <w:r w:rsidRPr="009F08FF">
        <w:rPr>
          <w:b w:val="0"/>
          <w:bCs/>
          <w:szCs w:val="18"/>
        </w:rPr>
        <w:instrText>麦克林试剂</w:instrText>
      </w:r>
      <w:r w:rsidRPr="009F08FF">
        <w:rPr>
          <w:b w:val="0"/>
          <w:bCs/>
          <w:szCs w:val="18"/>
        </w:rPr>
        <w:instrText>","title":"</w:instrText>
      </w:r>
      <w:r w:rsidRPr="009F08FF">
        <w:rPr>
          <w:b w:val="0"/>
          <w:bCs/>
          <w:szCs w:val="18"/>
        </w:rPr>
        <w:instrText>麦克林试剂</w:instrText>
      </w:r>
      <w:r w:rsidRPr="009F08FF">
        <w:rPr>
          <w:b w:val="0"/>
          <w:bCs/>
          <w:szCs w:val="18"/>
        </w:rPr>
        <w:instrText xml:space="preserve">","URL":"https://www.macklin.cn/","accessed":{"date-parts":[["2025",8,8]]}}}],"schema":"https://github.com/citation-style-language/schema/raw/master/csl-citation.json"} </w:instrText>
      </w:r>
      <w:r w:rsidRPr="009F08FF">
        <w:rPr>
          <w:b w:val="0"/>
          <w:bCs/>
          <w:szCs w:val="18"/>
        </w:rPr>
        <w:fldChar w:fldCharType="separate"/>
      </w:r>
      <w:r w:rsidRPr="009F08FF">
        <w:rPr>
          <w:b w:val="0"/>
          <w:bCs/>
          <w:szCs w:val="18"/>
        </w:rPr>
        <w:t>[10]</w:t>
      </w:r>
      <w:r w:rsidRPr="009F08FF">
        <w:rPr>
          <w:b w:val="0"/>
          <w:bCs/>
          <w:szCs w:val="18"/>
        </w:rPr>
        <w:fldChar w:fldCharType="end"/>
      </w:r>
    </w:p>
    <w:tbl>
      <w:tblPr>
        <w:tblStyle w:val="aa"/>
        <w:tblW w:w="0" w:type="auto"/>
        <w:jc w:val="center"/>
        <w:tblBorders>
          <w:left w:val="none" w:sz="0" w:space="0" w:color="auto"/>
          <w:right w:val="none" w:sz="0" w:space="0" w:color="auto"/>
        </w:tblBorders>
        <w:tblLook w:val="04A0" w:firstRow="1" w:lastRow="0" w:firstColumn="1" w:lastColumn="0" w:noHBand="0" w:noVBand="1"/>
      </w:tblPr>
      <w:tblGrid>
        <w:gridCol w:w="2739"/>
        <w:gridCol w:w="1559"/>
        <w:gridCol w:w="1963"/>
        <w:gridCol w:w="1160"/>
        <w:gridCol w:w="885"/>
      </w:tblGrid>
      <w:tr w:rsidR="007E3433" w:rsidRPr="00B50702" w14:paraId="6B5C36F5" w14:textId="77777777" w:rsidTr="003534D2">
        <w:trPr>
          <w:trHeight w:val="329"/>
          <w:jc w:val="center"/>
        </w:trPr>
        <w:tc>
          <w:tcPr>
            <w:tcW w:w="0" w:type="auto"/>
            <w:tcBorders>
              <w:top w:val="single" w:sz="12" w:space="0" w:color="auto"/>
            </w:tcBorders>
          </w:tcPr>
          <w:p w14:paraId="557F358B" w14:textId="77777777" w:rsidR="007E3433" w:rsidRPr="00B50702" w:rsidRDefault="007E3433" w:rsidP="003534D2">
            <w:pPr>
              <w:tabs>
                <w:tab w:val="left" w:pos="426"/>
              </w:tabs>
              <w:autoSpaceDE w:val="0"/>
              <w:autoSpaceDN w:val="0"/>
              <w:adjustRightInd w:val="0"/>
              <w:ind w:firstLineChars="0" w:firstLine="0"/>
              <w:rPr>
                <w:rFonts w:eastAsiaTheme="minorEastAsia"/>
                <w:b/>
                <w:bCs/>
                <w:color w:val="000000" w:themeColor="text1"/>
                <w:sz w:val="18"/>
                <w:szCs w:val="18"/>
              </w:rPr>
            </w:pPr>
            <w:r w:rsidRPr="0039420D">
              <w:rPr>
                <w:rFonts w:eastAsiaTheme="minorEastAsia"/>
                <w:b/>
                <w:bCs/>
                <w:color w:val="000000" w:themeColor="text1"/>
                <w:sz w:val="18"/>
                <w:szCs w:val="18"/>
              </w:rPr>
              <w:t>Material</w:t>
            </w:r>
          </w:p>
        </w:tc>
        <w:tc>
          <w:tcPr>
            <w:tcW w:w="0" w:type="auto"/>
            <w:tcBorders>
              <w:top w:val="single" w:sz="12" w:space="0" w:color="auto"/>
            </w:tcBorders>
          </w:tcPr>
          <w:p w14:paraId="0C360AC3" w14:textId="77777777" w:rsidR="007E3433" w:rsidRPr="00B50702" w:rsidRDefault="007E3433" w:rsidP="003534D2">
            <w:pPr>
              <w:tabs>
                <w:tab w:val="left" w:pos="426"/>
              </w:tabs>
              <w:autoSpaceDE w:val="0"/>
              <w:autoSpaceDN w:val="0"/>
              <w:adjustRightInd w:val="0"/>
              <w:spacing w:line="240" w:lineRule="auto"/>
              <w:ind w:firstLineChars="0" w:firstLine="0"/>
              <w:rPr>
                <w:rFonts w:eastAsiaTheme="minorEastAsia"/>
                <w:b/>
                <w:bCs/>
                <w:color w:val="FF0000"/>
                <w:sz w:val="18"/>
                <w:szCs w:val="18"/>
              </w:rPr>
            </w:pPr>
            <w:r>
              <w:rPr>
                <w:rFonts w:eastAsiaTheme="minorEastAsia"/>
                <w:b/>
                <w:bCs/>
                <w:color w:val="000000" w:themeColor="text1"/>
                <w:sz w:val="18"/>
                <w:szCs w:val="18"/>
              </w:rPr>
              <w:t>C</w:t>
            </w:r>
            <w:r w:rsidRPr="0039420D">
              <w:rPr>
                <w:rFonts w:eastAsiaTheme="minorEastAsia"/>
                <w:b/>
                <w:bCs/>
                <w:color w:val="000000" w:themeColor="text1"/>
                <w:sz w:val="18"/>
                <w:szCs w:val="18"/>
              </w:rPr>
              <w:t>hemical formula</w:t>
            </w:r>
          </w:p>
        </w:tc>
        <w:tc>
          <w:tcPr>
            <w:tcW w:w="0" w:type="auto"/>
            <w:tcBorders>
              <w:top w:val="single" w:sz="12" w:space="0" w:color="auto"/>
            </w:tcBorders>
          </w:tcPr>
          <w:p w14:paraId="10479896" w14:textId="77777777" w:rsidR="007E3433" w:rsidRPr="00B50702" w:rsidRDefault="007E3433" w:rsidP="003534D2">
            <w:pPr>
              <w:tabs>
                <w:tab w:val="left" w:pos="426"/>
              </w:tabs>
              <w:autoSpaceDE w:val="0"/>
              <w:autoSpaceDN w:val="0"/>
              <w:adjustRightInd w:val="0"/>
              <w:spacing w:line="240" w:lineRule="auto"/>
              <w:ind w:firstLineChars="0" w:firstLine="0"/>
              <w:rPr>
                <w:rFonts w:eastAsiaTheme="minorEastAsia"/>
                <w:b/>
                <w:bCs/>
                <w:color w:val="000000" w:themeColor="text1"/>
                <w:sz w:val="18"/>
                <w:szCs w:val="18"/>
              </w:rPr>
            </w:pPr>
            <w:r>
              <w:rPr>
                <w:rFonts w:eastAsiaTheme="minorEastAsia"/>
                <w:b/>
                <w:bCs/>
                <w:color w:val="000000" w:themeColor="text1"/>
                <w:sz w:val="18"/>
                <w:szCs w:val="18"/>
              </w:rPr>
              <w:t>M</w:t>
            </w:r>
            <w:r w:rsidRPr="0039420D">
              <w:rPr>
                <w:rFonts w:eastAsiaTheme="minorEastAsia"/>
                <w:b/>
                <w:bCs/>
                <w:color w:val="000000" w:themeColor="text1"/>
                <w:sz w:val="18"/>
                <w:szCs w:val="18"/>
              </w:rPr>
              <w:t>olecular structural formula</w:t>
            </w:r>
          </w:p>
        </w:tc>
        <w:tc>
          <w:tcPr>
            <w:tcW w:w="0" w:type="auto"/>
            <w:tcBorders>
              <w:top w:val="single" w:sz="12" w:space="0" w:color="auto"/>
            </w:tcBorders>
          </w:tcPr>
          <w:p w14:paraId="25B55962" w14:textId="77777777" w:rsidR="007E3433" w:rsidRPr="00B50702" w:rsidRDefault="007E3433" w:rsidP="003534D2">
            <w:pPr>
              <w:tabs>
                <w:tab w:val="left" w:pos="426"/>
              </w:tabs>
              <w:autoSpaceDE w:val="0"/>
              <w:autoSpaceDN w:val="0"/>
              <w:adjustRightInd w:val="0"/>
              <w:spacing w:line="240" w:lineRule="auto"/>
              <w:ind w:firstLineChars="0" w:firstLine="0"/>
              <w:rPr>
                <w:rFonts w:eastAsiaTheme="minorEastAsia"/>
                <w:b/>
                <w:bCs/>
                <w:color w:val="000000" w:themeColor="text1"/>
                <w:sz w:val="18"/>
                <w:szCs w:val="18"/>
              </w:rPr>
            </w:pPr>
            <w:r w:rsidRPr="000065D5">
              <w:rPr>
                <w:rFonts w:eastAsiaTheme="minorEastAsia"/>
                <w:b/>
                <w:bCs/>
                <w:color w:val="000000" w:themeColor="text1"/>
                <w:sz w:val="18"/>
                <w:szCs w:val="18"/>
              </w:rPr>
              <w:t xml:space="preserve">Unit Price </w:t>
            </w:r>
            <w:r w:rsidRPr="00264F0C">
              <w:rPr>
                <w:rFonts w:eastAsiaTheme="minorEastAsia"/>
                <w:b/>
                <w:bCs/>
                <w:color w:val="000000" w:themeColor="text1"/>
                <w:sz w:val="18"/>
                <w:szCs w:val="18"/>
              </w:rPr>
              <w:t>(</w:t>
            </w:r>
            <w:r w:rsidRPr="00B50702">
              <w:rPr>
                <w:rFonts w:eastAsiaTheme="minorEastAsia"/>
                <w:b/>
                <w:bCs/>
                <w:color w:val="000000" w:themeColor="text1"/>
                <w:sz w:val="18"/>
                <w:szCs w:val="18"/>
              </w:rPr>
              <w:t>$ g</w:t>
            </w:r>
            <w:r w:rsidRPr="00B50702">
              <w:rPr>
                <w:rFonts w:eastAsiaTheme="minorEastAsia"/>
                <w:b/>
                <w:bCs/>
                <w:color w:val="000000" w:themeColor="text1"/>
                <w:sz w:val="18"/>
                <w:szCs w:val="18"/>
                <w:vertAlign w:val="superscript"/>
              </w:rPr>
              <w:t>-1</w:t>
            </w:r>
            <w:r w:rsidRPr="00264F0C">
              <w:rPr>
                <w:rFonts w:eastAsiaTheme="minorEastAsia"/>
                <w:b/>
                <w:bCs/>
                <w:color w:val="000000" w:themeColor="text1"/>
                <w:sz w:val="18"/>
                <w:szCs w:val="18"/>
              </w:rPr>
              <w:t>)</w:t>
            </w:r>
          </w:p>
        </w:tc>
        <w:tc>
          <w:tcPr>
            <w:tcW w:w="0" w:type="auto"/>
            <w:tcBorders>
              <w:top w:val="single" w:sz="12" w:space="0" w:color="auto"/>
            </w:tcBorders>
          </w:tcPr>
          <w:p w14:paraId="3932C27E" w14:textId="77777777" w:rsidR="007E3433" w:rsidRPr="00B50702" w:rsidRDefault="007E3433" w:rsidP="003534D2">
            <w:pPr>
              <w:tabs>
                <w:tab w:val="left" w:pos="426"/>
              </w:tabs>
              <w:autoSpaceDE w:val="0"/>
              <w:autoSpaceDN w:val="0"/>
              <w:adjustRightInd w:val="0"/>
              <w:ind w:leftChars="-200" w:left="-480" w:firstLineChars="318" w:firstLine="572"/>
              <w:rPr>
                <w:rFonts w:eastAsiaTheme="minorEastAsia"/>
                <w:b/>
                <w:bCs/>
                <w:color w:val="000000" w:themeColor="text1"/>
                <w:sz w:val="18"/>
                <w:szCs w:val="18"/>
              </w:rPr>
            </w:pPr>
            <w:r w:rsidRPr="00B50702">
              <w:rPr>
                <w:rFonts w:eastAsiaTheme="minorEastAsia"/>
                <w:b/>
                <w:bCs/>
                <w:color w:val="000000" w:themeColor="text1"/>
                <w:sz w:val="18"/>
                <w:szCs w:val="18"/>
              </w:rPr>
              <w:t>CAS</w:t>
            </w:r>
          </w:p>
        </w:tc>
      </w:tr>
      <w:tr w:rsidR="007E3433" w:rsidRPr="00B50702" w14:paraId="316A575C" w14:textId="77777777" w:rsidTr="003534D2">
        <w:trPr>
          <w:trHeight w:val="329"/>
          <w:jc w:val="center"/>
        </w:trPr>
        <w:tc>
          <w:tcPr>
            <w:tcW w:w="0" w:type="auto"/>
          </w:tcPr>
          <w:p w14:paraId="4BB55761"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color w:val="000000" w:themeColor="text1"/>
                <w:sz w:val="15"/>
                <w:szCs w:val="15"/>
              </w:rPr>
              <w:t>Silver nitrate</w:t>
            </w:r>
            <w:r w:rsidRPr="00B50702">
              <w:rPr>
                <w:b/>
                <w:bCs/>
                <w:color w:val="000000" w:themeColor="text1"/>
                <w:sz w:val="15"/>
                <w:szCs w:val="15"/>
              </w:rPr>
              <w:fldChar w:fldCharType="begin"/>
            </w:r>
            <w:r w:rsidRPr="00B50702">
              <w:rPr>
                <w:b/>
                <w:bCs/>
                <w:color w:val="000000" w:themeColor="text1"/>
                <w:sz w:val="15"/>
                <w:szCs w:val="15"/>
              </w:rPr>
              <w:instrText xml:space="preserve"> ADDIN ZOTERO_ITEM CSL_CITATION {"citationID":"yB5o2BOy","properties":{"formattedCitation":"[11]","plainCitation":"[11]","noteIndex":0},"citationItems":[{"id":303,"uris":["http://zotero.org/users/14169885/items/NG99I8AZ"],"itemData":{"id":303,"type":"article-journal","abstract":"Radioactive iodine is a hazardous byproduct of spent-nuclear-fuel reprocessing that must be removed from the off-gas stream before it can be discharged. Reduced silver mordenite (Ag0Z) is currently the baseline material for iodine capture in the U.S. Although the performance characteristics and capture mechanisms of I2 and CH3I have been established, similar investigations into long-chain organic iodides have yet to be performed. In this study, thin beds of Ag0Z were loaded with I2, CH3I, C4H9I, and C12H25I (5 ppm to 50 ppm) carried in a dry air stream at 150 °C. The maximum iodine capacity was 105 ± 5 mg I/g Ag0Z for all species. Saturated Ag0Z samples were characterized using scanning electron microscopy, X-ray fluorescence, X-ray photoelectron spectroscopy, diffuse reflectance UV–visible spectroscopy, pair distribution function analysis, and thermogravimetric analysis. Near-complete Ag utilization and similar physical/chemical properties were observed for all samples. Through a comparison with previous studies and an investigation of aged Ag0Z, we propose that iodine species react with Ag+ at exchange sites, forming α-AgI within the mordenite channels, and with surface Ag0 nanoparticles, yielding β-/γ-AgI. The available Ag sites in the interior (Ag+) and exterior (Ag0) of mordenite determine the adsorption capacity since α-AgI formation is limited by the total pore volume. Potential iodine uptake routes were summarized for aging and non-aging environments. A scalable predictive model was implemented for deep-bed iodine removal, and predictions were in good agreement with experimental data. Sensitivity analysis suggests that iodine uptake kinetics is governed by pore diffusion.","container-title":"Chemical Engineering Journal","DOI":"10.1016/j.cej.2024.149083","ISSN":"1385-8947","journalAbbreviation":"Chemical Engineering Journal","language":"en","note":"titleTranslation: </w:instrText>
            </w:r>
            <w:r w:rsidRPr="00B50702">
              <w:rPr>
                <w:b/>
                <w:bCs/>
                <w:color w:val="000000" w:themeColor="text1"/>
                <w:sz w:val="15"/>
                <w:szCs w:val="15"/>
              </w:rPr>
              <w:instrText>还原银丝光沸石吸附乏核燃料后处理废气中的分子碘和烷基碘</w:instrText>
            </w:r>
            <w:r w:rsidRPr="00B50702">
              <w:rPr>
                <w:b/>
                <w:bCs/>
                <w:color w:val="000000" w:themeColor="text1"/>
                <w:sz w:val="15"/>
                <w:szCs w:val="15"/>
              </w:rPr>
              <w:instrText xml:space="preserve">\nabstractTranslation: </w:instrText>
            </w:r>
            <w:r w:rsidRPr="00B50702">
              <w:rPr>
                <w:b/>
                <w:bCs/>
                <w:color w:val="000000" w:themeColor="text1"/>
                <w:sz w:val="15"/>
                <w:szCs w:val="15"/>
              </w:rPr>
              <w:instrText>放射性碘是乏核燃料后处理的危险副产品，必须先从废气流中去除，然后才能排放。还原银摩登石</w:instrText>
            </w:r>
            <w:r w:rsidRPr="00B50702">
              <w:rPr>
                <w:b/>
                <w:bCs/>
                <w:color w:val="000000" w:themeColor="text1"/>
                <w:sz w:val="15"/>
                <w:szCs w:val="15"/>
              </w:rPr>
              <w:instrText xml:space="preserve"> </w:instrText>
            </w:r>
            <w:r w:rsidRPr="00B50702">
              <w:rPr>
                <w:b/>
                <w:bCs/>
                <w:color w:val="000000" w:themeColor="text1"/>
                <w:sz w:val="15"/>
                <w:szCs w:val="15"/>
              </w:rPr>
              <w:instrText>（</w:instrText>
            </w:r>
            <w:r w:rsidRPr="00B50702">
              <w:rPr>
                <w:b/>
                <w:bCs/>
                <w:color w:val="000000" w:themeColor="text1"/>
                <w:sz w:val="15"/>
                <w:szCs w:val="15"/>
              </w:rPr>
              <w:instrText>Ag0Z</w:instrText>
            </w:r>
            <w:r w:rsidRPr="00B50702">
              <w:rPr>
                <w:b/>
                <w:bCs/>
                <w:color w:val="000000" w:themeColor="text1"/>
                <w:sz w:val="15"/>
                <w:szCs w:val="15"/>
              </w:rPr>
              <w:instrText>）</w:instrText>
            </w:r>
            <w:r w:rsidRPr="00B50702">
              <w:rPr>
                <w:b/>
                <w:bCs/>
                <w:color w:val="000000" w:themeColor="text1"/>
                <w:sz w:val="15"/>
                <w:szCs w:val="15"/>
              </w:rPr>
              <w:instrText xml:space="preserve"> </w:instrText>
            </w:r>
            <w:r w:rsidRPr="00B50702">
              <w:rPr>
                <w:b/>
                <w:bCs/>
                <w:color w:val="000000" w:themeColor="text1"/>
                <w:sz w:val="15"/>
                <w:szCs w:val="15"/>
              </w:rPr>
              <w:instrText>目前是美国进行碘捕获的基线材料。尽管已经建立了</w:instrText>
            </w:r>
            <w:r w:rsidRPr="00B50702">
              <w:rPr>
                <w:b/>
                <w:bCs/>
                <w:color w:val="000000" w:themeColor="text1"/>
                <w:sz w:val="15"/>
                <w:szCs w:val="15"/>
              </w:rPr>
              <w:instrText>I2</w:instrText>
            </w:r>
            <w:r w:rsidRPr="00B50702">
              <w:rPr>
                <w:b/>
                <w:bCs/>
                <w:color w:val="000000" w:themeColor="text1"/>
                <w:sz w:val="15"/>
                <w:szCs w:val="15"/>
              </w:rPr>
              <w:instrText>和</w:instrText>
            </w:r>
            <w:r w:rsidRPr="00B50702">
              <w:rPr>
                <w:b/>
                <w:bCs/>
                <w:color w:val="000000" w:themeColor="text1"/>
                <w:sz w:val="15"/>
                <w:szCs w:val="15"/>
              </w:rPr>
              <w:instrText>CH3I</w:instrText>
            </w:r>
            <w:r w:rsidRPr="00B50702">
              <w:rPr>
                <w:b/>
                <w:bCs/>
                <w:color w:val="000000" w:themeColor="text1"/>
                <w:sz w:val="15"/>
                <w:szCs w:val="15"/>
              </w:rPr>
              <w:instrText>的性能特征和捕获机制，但对长链有机碘化物的类似研究尚未进行。在这项研究中，</w:instrText>
            </w:r>
            <w:r w:rsidRPr="00B50702">
              <w:rPr>
                <w:b/>
                <w:bCs/>
                <w:color w:val="000000" w:themeColor="text1"/>
                <w:sz w:val="15"/>
                <w:szCs w:val="15"/>
              </w:rPr>
              <w:instrText>Ag0Z</w:instrText>
            </w:r>
            <w:r w:rsidRPr="00B50702">
              <w:rPr>
                <w:b/>
                <w:bCs/>
                <w:color w:val="000000" w:themeColor="text1"/>
                <w:sz w:val="15"/>
                <w:szCs w:val="15"/>
              </w:rPr>
              <w:instrText>的薄床负载了</w:instrText>
            </w:r>
            <w:r w:rsidRPr="00B50702">
              <w:rPr>
                <w:b/>
                <w:bCs/>
                <w:color w:val="000000" w:themeColor="text1"/>
                <w:sz w:val="15"/>
                <w:szCs w:val="15"/>
              </w:rPr>
              <w:instrText>I2</w:instrText>
            </w:r>
            <w:r w:rsidRPr="00B50702">
              <w:rPr>
                <w:b/>
                <w:bCs/>
                <w:color w:val="000000" w:themeColor="text1"/>
                <w:sz w:val="15"/>
                <w:szCs w:val="15"/>
              </w:rPr>
              <w:instrText>、</w:instrText>
            </w:r>
            <w:r w:rsidRPr="00B50702">
              <w:rPr>
                <w:b/>
                <w:bCs/>
                <w:color w:val="000000" w:themeColor="text1"/>
                <w:sz w:val="15"/>
                <w:szCs w:val="15"/>
              </w:rPr>
              <w:instrText>CH3I</w:instrText>
            </w:r>
            <w:r w:rsidRPr="00B50702">
              <w:rPr>
                <w:b/>
                <w:bCs/>
                <w:color w:val="000000" w:themeColor="text1"/>
                <w:sz w:val="15"/>
                <w:szCs w:val="15"/>
              </w:rPr>
              <w:instrText>、</w:instrText>
            </w:r>
            <w:r w:rsidRPr="00B50702">
              <w:rPr>
                <w:b/>
                <w:bCs/>
                <w:color w:val="000000" w:themeColor="text1"/>
                <w:sz w:val="15"/>
                <w:szCs w:val="15"/>
              </w:rPr>
              <w:instrText>C4H9I</w:instrText>
            </w:r>
            <w:r w:rsidRPr="00B50702">
              <w:rPr>
                <w:b/>
                <w:bCs/>
                <w:color w:val="000000" w:themeColor="text1"/>
                <w:sz w:val="15"/>
                <w:szCs w:val="15"/>
              </w:rPr>
              <w:instrText>和</w:instrText>
            </w:r>
            <w:r w:rsidRPr="00B50702">
              <w:rPr>
                <w:b/>
                <w:bCs/>
                <w:color w:val="000000" w:themeColor="text1"/>
                <w:sz w:val="15"/>
                <w:szCs w:val="15"/>
              </w:rPr>
              <w:instrText>C12H25I</w:instrText>
            </w:r>
            <w:r w:rsidRPr="00B50702">
              <w:rPr>
                <w:b/>
                <w:bCs/>
                <w:color w:val="000000" w:themeColor="text1"/>
                <w:sz w:val="15"/>
                <w:szCs w:val="15"/>
              </w:rPr>
              <w:instrText>（</w:instrText>
            </w:r>
            <w:r w:rsidRPr="00B50702">
              <w:rPr>
                <w:b/>
                <w:bCs/>
                <w:color w:val="000000" w:themeColor="text1"/>
                <w:sz w:val="15"/>
                <w:szCs w:val="15"/>
              </w:rPr>
              <w:instrText>5 ppm</w:instrText>
            </w:r>
            <w:r w:rsidRPr="00B50702">
              <w:rPr>
                <w:b/>
                <w:bCs/>
                <w:color w:val="000000" w:themeColor="text1"/>
                <w:sz w:val="15"/>
                <w:szCs w:val="15"/>
              </w:rPr>
              <w:instrText>至</w:instrText>
            </w:r>
            <w:r w:rsidRPr="00B50702">
              <w:rPr>
                <w:b/>
                <w:bCs/>
                <w:color w:val="000000" w:themeColor="text1"/>
                <w:sz w:val="15"/>
                <w:szCs w:val="15"/>
              </w:rPr>
              <w:instrText>50 ppm</w:instrText>
            </w:r>
            <w:r w:rsidRPr="00B50702">
              <w:rPr>
                <w:b/>
                <w:bCs/>
                <w:color w:val="000000" w:themeColor="text1"/>
                <w:sz w:val="15"/>
                <w:szCs w:val="15"/>
              </w:rPr>
              <w:instrText>），在</w:instrText>
            </w:r>
            <w:r w:rsidRPr="00B50702">
              <w:rPr>
                <w:b/>
                <w:bCs/>
                <w:color w:val="000000" w:themeColor="text1"/>
                <w:sz w:val="15"/>
                <w:szCs w:val="15"/>
              </w:rPr>
              <w:instrText>150 °C</w:instrText>
            </w:r>
            <w:r w:rsidRPr="00B50702">
              <w:rPr>
                <w:b/>
                <w:bCs/>
                <w:color w:val="000000" w:themeColor="text1"/>
                <w:sz w:val="15"/>
                <w:szCs w:val="15"/>
              </w:rPr>
              <w:instrText>的干燥气流中携带。</w:instrText>
            </w:r>
            <w:r w:rsidRPr="00B50702">
              <w:rPr>
                <w:b/>
                <w:bCs/>
                <w:color w:val="000000" w:themeColor="text1"/>
                <w:sz w:val="15"/>
                <w:szCs w:val="15"/>
              </w:rPr>
              <w:instrText xml:space="preserve"> </w:instrText>
            </w:r>
            <w:r w:rsidRPr="00B50702">
              <w:rPr>
                <w:b/>
                <w:bCs/>
                <w:color w:val="000000" w:themeColor="text1"/>
                <w:sz w:val="15"/>
                <w:szCs w:val="15"/>
              </w:rPr>
              <w:instrText>所有物种的最大碘容量为</w:instrText>
            </w:r>
            <w:r w:rsidRPr="00B50702">
              <w:rPr>
                <w:b/>
                <w:bCs/>
                <w:color w:val="000000" w:themeColor="text1"/>
                <w:sz w:val="15"/>
                <w:szCs w:val="15"/>
              </w:rPr>
              <w:instrText xml:space="preserve"> 105 ± 5 mg I/g Ag0Z</w:instrText>
            </w:r>
            <w:r w:rsidRPr="00B50702">
              <w:rPr>
                <w:b/>
                <w:bCs/>
                <w:color w:val="000000" w:themeColor="text1"/>
                <w:sz w:val="15"/>
                <w:szCs w:val="15"/>
              </w:rPr>
              <w:instrText>。采用扫描电镜、</w:instrText>
            </w:r>
            <w:r w:rsidRPr="00B50702">
              <w:rPr>
                <w:b/>
                <w:bCs/>
                <w:color w:val="000000" w:themeColor="text1"/>
                <w:sz w:val="15"/>
                <w:szCs w:val="15"/>
              </w:rPr>
              <w:instrText>X</w:instrText>
            </w:r>
            <w:r w:rsidRPr="00B50702">
              <w:rPr>
                <w:b/>
                <w:bCs/>
                <w:color w:val="000000" w:themeColor="text1"/>
                <w:sz w:val="15"/>
                <w:szCs w:val="15"/>
              </w:rPr>
              <w:instrText>射线荧光、</w:instrText>
            </w:r>
            <w:r w:rsidRPr="00B50702">
              <w:rPr>
                <w:b/>
                <w:bCs/>
                <w:color w:val="000000" w:themeColor="text1"/>
                <w:sz w:val="15"/>
                <w:szCs w:val="15"/>
              </w:rPr>
              <w:instrText>X</w:instrText>
            </w:r>
            <w:r w:rsidRPr="00B50702">
              <w:rPr>
                <w:b/>
                <w:bCs/>
                <w:color w:val="000000" w:themeColor="text1"/>
                <w:sz w:val="15"/>
                <w:szCs w:val="15"/>
              </w:rPr>
              <w:instrText>射线光电子能谱、漫反射紫外</w:instrText>
            </w:r>
            <w:r w:rsidRPr="00B50702">
              <w:rPr>
                <w:b/>
                <w:bCs/>
                <w:color w:val="000000" w:themeColor="text1"/>
                <w:sz w:val="15"/>
                <w:szCs w:val="15"/>
              </w:rPr>
              <w:instrText>-</w:instrText>
            </w:r>
            <w:r w:rsidRPr="00B50702">
              <w:rPr>
                <w:b/>
                <w:bCs/>
                <w:color w:val="000000" w:themeColor="text1"/>
                <w:sz w:val="15"/>
                <w:szCs w:val="15"/>
              </w:rPr>
              <w:instrText>可见光谱、对分布函数分析和热重分析对饱和</w:instrText>
            </w:r>
            <w:r w:rsidRPr="00B50702">
              <w:rPr>
                <w:b/>
                <w:bCs/>
                <w:color w:val="000000" w:themeColor="text1"/>
                <w:sz w:val="15"/>
                <w:szCs w:val="15"/>
              </w:rPr>
              <w:instrText>Ag0Z</w:instrText>
            </w:r>
            <w:r w:rsidRPr="00B50702">
              <w:rPr>
                <w:b/>
                <w:bCs/>
                <w:color w:val="000000" w:themeColor="text1"/>
                <w:sz w:val="15"/>
                <w:szCs w:val="15"/>
              </w:rPr>
              <w:instrText>样品进行表征。所有样品均观察到近乎完全的银利用和相似的物理</w:instrText>
            </w:r>
            <w:r w:rsidRPr="00B50702">
              <w:rPr>
                <w:b/>
                <w:bCs/>
                <w:color w:val="000000" w:themeColor="text1"/>
                <w:sz w:val="15"/>
                <w:szCs w:val="15"/>
              </w:rPr>
              <w:instrText>/</w:instrText>
            </w:r>
            <w:r w:rsidRPr="00B50702">
              <w:rPr>
                <w:b/>
                <w:bCs/>
                <w:color w:val="000000" w:themeColor="text1"/>
                <w:sz w:val="15"/>
                <w:szCs w:val="15"/>
              </w:rPr>
              <w:instrText>化学性质。通过与先前研究的比较和对老化</w:instrText>
            </w:r>
            <w:r w:rsidRPr="00B50702">
              <w:rPr>
                <w:b/>
                <w:bCs/>
                <w:color w:val="000000" w:themeColor="text1"/>
                <w:sz w:val="15"/>
                <w:szCs w:val="15"/>
              </w:rPr>
              <w:instrText>Ag0Z</w:instrText>
            </w:r>
            <w:r w:rsidRPr="00B50702">
              <w:rPr>
                <w:b/>
                <w:bCs/>
                <w:color w:val="000000" w:themeColor="text1"/>
                <w:sz w:val="15"/>
                <w:szCs w:val="15"/>
              </w:rPr>
              <w:instrText>的调查，我们提出碘物质在交换位点与</w:instrText>
            </w:r>
            <w:r w:rsidRPr="00B50702">
              <w:rPr>
                <w:b/>
                <w:bCs/>
                <w:color w:val="000000" w:themeColor="text1"/>
                <w:sz w:val="15"/>
                <w:szCs w:val="15"/>
              </w:rPr>
              <w:instrText>Ag+</w:instrText>
            </w:r>
            <w:r w:rsidRPr="00B50702">
              <w:rPr>
                <w:b/>
                <w:bCs/>
                <w:color w:val="000000" w:themeColor="text1"/>
                <w:sz w:val="15"/>
                <w:szCs w:val="15"/>
              </w:rPr>
              <w:instrText>反应，在染石通道内形成</w:instrText>
            </w:r>
            <w:r w:rsidRPr="00B50702">
              <w:rPr>
                <w:b/>
                <w:bCs/>
                <w:color w:val="000000" w:themeColor="text1"/>
                <w:sz w:val="15"/>
                <w:szCs w:val="15"/>
              </w:rPr>
              <w:instrText>α-AgI</w:instrText>
            </w:r>
            <w:r w:rsidRPr="00B50702">
              <w:rPr>
                <w:b/>
                <w:bCs/>
                <w:color w:val="000000" w:themeColor="text1"/>
                <w:sz w:val="15"/>
                <w:szCs w:val="15"/>
              </w:rPr>
              <w:instrText>，并与表面</w:instrText>
            </w:r>
            <w:r w:rsidRPr="00B50702">
              <w:rPr>
                <w:b/>
                <w:bCs/>
                <w:color w:val="000000" w:themeColor="text1"/>
                <w:sz w:val="15"/>
                <w:szCs w:val="15"/>
              </w:rPr>
              <w:instrText>Ag0</w:instrText>
            </w:r>
            <w:r w:rsidRPr="00B50702">
              <w:rPr>
                <w:b/>
                <w:bCs/>
                <w:color w:val="000000" w:themeColor="text1"/>
                <w:sz w:val="15"/>
                <w:szCs w:val="15"/>
              </w:rPr>
              <w:instrText>纳米颗粒发生反应，产生</w:instrText>
            </w:r>
            <w:r w:rsidRPr="00B50702">
              <w:rPr>
                <w:b/>
                <w:bCs/>
                <w:color w:val="000000" w:themeColor="text1"/>
                <w:sz w:val="15"/>
                <w:szCs w:val="15"/>
              </w:rPr>
              <w:instrText>β-/γ-AgI</w:instrText>
            </w:r>
            <w:r w:rsidRPr="00B50702">
              <w:rPr>
                <w:b/>
                <w:bCs/>
                <w:color w:val="000000" w:themeColor="text1"/>
                <w:sz w:val="15"/>
                <w:szCs w:val="15"/>
              </w:rPr>
              <w:instrText>。摩登石内部（</w:instrText>
            </w:r>
            <w:r w:rsidRPr="00B50702">
              <w:rPr>
                <w:b/>
                <w:bCs/>
                <w:color w:val="000000" w:themeColor="text1"/>
                <w:sz w:val="15"/>
                <w:szCs w:val="15"/>
              </w:rPr>
              <w:instrText>Ag+</w:instrText>
            </w:r>
            <w:r w:rsidRPr="00B50702">
              <w:rPr>
                <w:b/>
                <w:bCs/>
                <w:color w:val="000000" w:themeColor="text1"/>
                <w:sz w:val="15"/>
                <w:szCs w:val="15"/>
              </w:rPr>
              <w:instrText>）和外部（</w:instrText>
            </w:r>
            <w:r w:rsidRPr="00B50702">
              <w:rPr>
                <w:b/>
                <w:bCs/>
                <w:color w:val="000000" w:themeColor="text1"/>
                <w:sz w:val="15"/>
                <w:szCs w:val="15"/>
              </w:rPr>
              <w:instrText>Ag0</w:instrText>
            </w:r>
            <w:r w:rsidRPr="00B50702">
              <w:rPr>
                <w:b/>
                <w:bCs/>
                <w:color w:val="000000" w:themeColor="text1"/>
                <w:sz w:val="15"/>
                <w:szCs w:val="15"/>
              </w:rPr>
              <w:instrText>）的可用银位点决定了吸附能力，因为</w:instrText>
            </w:r>
            <w:r w:rsidRPr="00B50702">
              <w:rPr>
                <w:b/>
                <w:bCs/>
                <w:color w:val="000000" w:themeColor="text1"/>
                <w:sz w:val="15"/>
                <w:szCs w:val="15"/>
              </w:rPr>
              <w:instrText>α-AgI</w:instrText>
            </w:r>
            <w:r w:rsidRPr="00B50702">
              <w:rPr>
                <w:b/>
                <w:bCs/>
                <w:color w:val="000000" w:themeColor="text1"/>
                <w:sz w:val="15"/>
                <w:szCs w:val="15"/>
              </w:rPr>
              <w:instrText>的形成受到总孔体积的限制。总结了老化和非老化环境中的潜在碘摄取途径。采用可扩展的深层除碘预测模型，预测结果与实验数据吻合较好。敏感性分析表明，碘摄取动力学受孔扩散控制。</w:instrText>
            </w:r>
            <w:r w:rsidRPr="00B50702">
              <w:rPr>
                <w:b/>
                <w:bCs/>
                <w:color w:val="000000" w:themeColor="text1"/>
                <w:sz w:val="15"/>
                <w:szCs w:val="15"/>
              </w:rPr>
              <w:instrText xml:space="preserve">","page":"149083","source":"ScienceDirect","title":"Adsorption of molecular iodine and alkyl iodides from spent-nuclear-fuel-reprocessing off-gas using reduced silver mordenite","volume":"482","author":[{"family":"Shen","given":"Ziheng"},{"family":"Wiechert","given":"Alexander I."},{"family":"Ladshaw","given":"Austin P."},{"family":"Greaney","given":"Allison"},{"family":"Tsouris","given":"Costas"},{"family":"Yiacoumi","given":"Sotira"}],"issued":{"date-parts":[["2024",2,15]]}}}],"schema":"https://github.com/citation-style-language/schema/raw/master/csl-citation.json"} </w:instrText>
            </w:r>
            <w:r w:rsidRPr="00B50702">
              <w:rPr>
                <w:b/>
                <w:bCs/>
                <w:color w:val="000000" w:themeColor="text1"/>
                <w:sz w:val="15"/>
                <w:szCs w:val="15"/>
              </w:rPr>
              <w:fldChar w:fldCharType="separate"/>
            </w:r>
            <w:r w:rsidRPr="00B50702">
              <w:rPr>
                <w:sz w:val="15"/>
              </w:rPr>
              <w:t>[11]</w:t>
            </w:r>
            <w:r w:rsidRPr="00B50702">
              <w:rPr>
                <w:b/>
                <w:bCs/>
                <w:color w:val="000000" w:themeColor="text1"/>
                <w:sz w:val="15"/>
                <w:szCs w:val="15"/>
              </w:rPr>
              <w:fldChar w:fldCharType="end"/>
            </w:r>
          </w:p>
        </w:tc>
        <w:tc>
          <w:tcPr>
            <w:tcW w:w="0" w:type="auto"/>
          </w:tcPr>
          <w:p w14:paraId="06E6002E"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AgNO</w:t>
            </w:r>
            <w:r w:rsidRPr="00B50702">
              <w:rPr>
                <w:color w:val="000000" w:themeColor="text1"/>
                <w:sz w:val="15"/>
                <w:szCs w:val="15"/>
                <w:vertAlign w:val="subscript"/>
              </w:rPr>
              <w:t>3</w:t>
            </w:r>
          </w:p>
        </w:tc>
        <w:tc>
          <w:tcPr>
            <w:tcW w:w="0" w:type="auto"/>
          </w:tcPr>
          <w:p w14:paraId="40A19351"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p>
        </w:tc>
        <w:tc>
          <w:tcPr>
            <w:tcW w:w="0" w:type="auto"/>
          </w:tcPr>
          <w:p w14:paraId="119D6385"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71.29</w:t>
            </w:r>
          </w:p>
        </w:tc>
        <w:tc>
          <w:tcPr>
            <w:tcW w:w="0" w:type="auto"/>
          </w:tcPr>
          <w:p w14:paraId="5DFF97AB"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7761-88-8</w:t>
            </w:r>
          </w:p>
        </w:tc>
      </w:tr>
      <w:tr w:rsidR="007E3433" w:rsidRPr="00B50702" w14:paraId="72A33935" w14:textId="77777777" w:rsidTr="003534D2">
        <w:trPr>
          <w:trHeight w:val="329"/>
          <w:jc w:val="center"/>
        </w:trPr>
        <w:tc>
          <w:tcPr>
            <w:tcW w:w="0" w:type="auto"/>
          </w:tcPr>
          <w:p w14:paraId="57A62EE6"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sz w:val="15"/>
                <w:szCs w:val="15"/>
              </w:rPr>
              <w:t>benzene-1,2,4,5-tetrol</w:t>
            </w:r>
          </w:p>
        </w:tc>
        <w:tc>
          <w:tcPr>
            <w:tcW w:w="0" w:type="auto"/>
          </w:tcPr>
          <w:p w14:paraId="1D621C87"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C</w:t>
            </w:r>
            <w:r w:rsidRPr="00B50702">
              <w:rPr>
                <w:color w:val="000000" w:themeColor="text1"/>
                <w:sz w:val="15"/>
                <w:szCs w:val="15"/>
                <w:vertAlign w:val="subscript"/>
              </w:rPr>
              <w:t>6</w:t>
            </w:r>
            <w:r w:rsidRPr="00B50702">
              <w:rPr>
                <w:color w:val="000000" w:themeColor="text1"/>
                <w:sz w:val="15"/>
                <w:szCs w:val="15"/>
              </w:rPr>
              <w:t>H</w:t>
            </w:r>
            <w:r w:rsidRPr="00B50702">
              <w:rPr>
                <w:color w:val="000000" w:themeColor="text1"/>
                <w:sz w:val="15"/>
                <w:szCs w:val="15"/>
                <w:vertAlign w:val="subscript"/>
              </w:rPr>
              <w:t>6</w:t>
            </w:r>
            <w:r w:rsidRPr="00B50702">
              <w:rPr>
                <w:color w:val="000000" w:themeColor="text1"/>
                <w:sz w:val="15"/>
                <w:szCs w:val="15"/>
              </w:rPr>
              <w:t>O</w:t>
            </w:r>
            <w:r w:rsidRPr="00B50702">
              <w:rPr>
                <w:color w:val="000000" w:themeColor="text1"/>
                <w:sz w:val="15"/>
                <w:szCs w:val="15"/>
                <w:vertAlign w:val="subscript"/>
              </w:rPr>
              <w:t>4</w:t>
            </w:r>
          </w:p>
        </w:tc>
        <w:tc>
          <w:tcPr>
            <w:tcW w:w="0" w:type="auto"/>
          </w:tcPr>
          <w:p w14:paraId="57ED1AE4"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noProof/>
                <w:color w:val="000000" w:themeColor="text1"/>
                <w:sz w:val="15"/>
                <w:szCs w:val="15"/>
              </w:rPr>
              <w:drawing>
                <wp:inline distT="0" distB="0" distL="0" distR="0" wp14:anchorId="2B937AA4" wp14:editId="53D4B30E">
                  <wp:extent cx="576000" cy="32305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 cy="323053"/>
                          </a:xfrm>
                          <a:prstGeom prst="rect">
                            <a:avLst/>
                          </a:prstGeom>
                          <a:noFill/>
                        </pic:spPr>
                      </pic:pic>
                    </a:graphicData>
                  </a:graphic>
                </wp:inline>
              </w:drawing>
            </w:r>
          </w:p>
        </w:tc>
        <w:tc>
          <w:tcPr>
            <w:tcW w:w="0" w:type="auto"/>
          </w:tcPr>
          <w:p w14:paraId="3E2D9158"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150.37</w:t>
            </w:r>
          </w:p>
        </w:tc>
        <w:tc>
          <w:tcPr>
            <w:tcW w:w="0" w:type="auto"/>
          </w:tcPr>
          <w:p w14:paraId="752DA1C0"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636-32-8</w:t>
            </w:r>
          </w:p>
        </w:tc>
      </w:tr>
      <w:tr w:rsidR="007E3433" w:rsidRPr="00B50702" w14:paraId="5F4BE904" w14:textId="77777777" w:rsidTr="003534D2">
        <w:trPr>
          <w:trHeight w:val="329"/>
          <w:jc w:val="center"/>
        </w:trPr>
        <w:tc>
          <w:tcPr>
            <w:tcW w:w="0" w:type="auto"/>
          </w:tcPr>
          <w:p w14:paraId="7AD6AD32"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1,3,5-Tris(4-aminophenyl)benzene</w:t>
            </w:r>
            <w:r w:rsidRPr="00264F0C">
              <w:rPr>
                <w:b/>
                <w:bCs/>
                <w:sz w:val="15"/>
                <w:szCs w:val="15"/>
              </w:rPr>
              <w:t>)</w:t>
            </w:r>
            <w:r w:rsidRPr="00B50702">
              <w:rPr>
                <w:b/>
                <w:bCs/>
                <w:sz w:val="15"/>
                <w:szCs w:val="15"/>
              </w:rPr>
              <w:fldChar w:fldCharType="begin"/>
            </w:r>
            <w:r w:rsidRPr="00B50702">
              <w:rPr>
                <w:b/>
                <w:bCs/>
                <w:sz w:val="15"/>
                <w:szCs w:val="15"/>
              </w:rPr>
              <w:instrText xml:space="preserve"> ADDIN ZOTERO_ITEM CSL_CITATION {"citationID":"j4P28qOO","properties":{"formattedCitation":"[12]","plainCitation":"[12]","noteIndex":0},"citationItems":[{"id":956,"uris":["http://zotero.org/users/14169885/items/FEG5I97Q"],"itemData":{"id":956,"type":"article-journal","abstract":"Abstract\n            \n              Radioactive molecular iodine (I\n              2\n              ) and organic iodides, mainly methyl iodide (CH\n              3\n              I), coexist in the off-gas stream of nuclear power plants at low concentrations, whereas few adsorbents can effectively adsorb low-concentration I\n              2\n              and CH\n              3\n              I simultaneously. Here we demonstrate that the I\n              2\n              adsorption can occur on various adsorptive sites and be promoted through intermolecular interactions. The CH\n              3\n              I adsorption capacity is positively correlated with the content of strong binding sites but is unrelated to the textural properties of the adsorbent. These insights allow us to design a covalent organic framework to simultaneously capture I\n              2\n              and CH\n              3\n              I at low concentrations. The developed material, COF-TAPT, combines high crystallinity, a large surface area, and abundant nucleophilic groups and exhibits a record-high static CH\n              3\n              I adsorption capacity (1.53 g·g\n              −1\n              at 25 °C). In the dynamic mixed-gas adsorption with 150 ppm of I\n              2\n              and 50 ppm of CH\n              3\n              I, COF-TAPT presents an excellent total iodine capture capacity (1.51 g·g\n              −1\n              ), surpassing various benchmark adsorbents. This work deepens the understanding of I\n              2\n              /CH\n              3\n              I adsorption mechanisms, providing guidance for the development of novel adsorbents for related applications.","container-title":"Nature Communications","DOI":"10.1038/s41467-022-30663-3","ISSN":"2041-1723","issue":"1","journalAbbreviation":"Nat Commun","language":"en","note":"titleTranslation: </w:instrText>
            </w:r>
            <w:r w:rsidRPr="00B50702">
              <w:rPr>
                <w:b/>
                <w:bCs/>
                <w:sz w:val="15"/>
                <w:szCs w:val="15"/>
              </w:rPr>
              <w:instrText>通过共价有机框架实现碘和碘甲烷的高效同时捕获</w:instrText>
            </w:r>
            <w:r w:rsidRPr="00B50702">
              <w:rPr>
                <w:b/>
                <w:bCs/>
                <w:sz w:val="15"/>
                <w:szCs w:val="15"/>
              </w:rPr>
              <w:instrText xml:space="preserve">\nabstractTranslation: </w:instrText>
            </w:r>
            <w:r w:rsidRPr="00B50702">
              <w:rPr>
                <w:b/>
                <w:bCs/>
                <w:sz w:val="15"/>
                <w:szCs w:val="15"/>
              </w:rPr>
              <w:instrText>摘要</w:instrText>
            </w:r>
            <w:r w:rsidRPr="00B50702">
              <w:rPr>
                <w:b/>
                <w:bCs/>
                <w:sz w:val="15"/>
                <w:szCs w:val="15"/>
              </w:rPr>
              <w:instrText xml:space="preserve"> </w:instrText>
            </w:r>
            <w:r w:rsidRPr="00B50702">
              <w:rPr>
                <w:b/>
                <w:bCs/>
                <w:sz w:val="15"/>
                <w:szCs w:val="15"/>
              </w:rPr>
              <w:instrText>放射性分子碘（</w:instrText>
            </w:r>
            <w:r w:rsidRPr="00B50702">
              <w:rPr>
                <w:b/>
                <w:bCs/>
                <w:sz w:val="15"/>
                <w:szCs w:val="15"/>
              </w:rPr>
              <w:instrText>I2</w:instrText>
            </w:r>
            <w:r w:rsidRPr="00B50702">
              <w:rPr>
                <w:b/>
                <w:bCs/>
                <w:sz w:val="15"/>
                <w:szCs w:val="15"/>
              </w:rPr>
              <w:instrText>）和有机碘化物（主要是甲基碘化物）在低浓度下共存于核电厂的废气流中，而很少有吸附剂能够同时有效吸附低浓度的</w:instrText>
            </w:r>
            <w:r w:rsidRPr="00B50702">
              <w:rPr>
                <w:b/>
                <w:bCs/>
                <w:sz w:val="15"/>
                <w:szCs w:val="15"/>
              </w:rPr>
              <w:instrText>I.2</w:instrText>
            </w:r>
            <w:r w:rsidRPr="00B50702">
              <w:rPr>
                <w:b/>
                <w:bCs/>
                <w:sz w:val="15"/>
                <w:szCs w:val="15"/>
              </w:rPr>
              <w:instrText>和</w:instrText>
            </w:r>
            <w:r w:rsidRPr="00B50702">
              <w:rPr>
                <w:b/>
                <w:bCs/>
                <w:sz w:val="15"/>
                <w:szCs w:val="15"/>
              </w:rPr>
              <w:instrText>CH3I</w:instrText>
            </w:r>
            <w:r w:rsidRPr="00B50702">
              <w:rPr>
                <w:b/>
                <w:bCs/>
                <w:sz w:val="15"/>
                <w:szCs w:val="15"/>
              </w:rPr>
              <w:instrText>。在这里，我们证明了</w:instrText>
            </w:r>
            <w:r w:rsidRPr="00B50702">
              <w:rPr>
                <w:b/>
                <w:bCs/>
                <w:sz w:val="15"/>
                <w:szCs w:val="15"/>
              </w:rPr>
              <w:instrText xml:space="preserve"> I 2 </w:instrText>
            </w:r>
            <w:r w:rsidRPr="00B50702">
              <w:rPr>
                <w:b/>
                <w:bCs/>
                <w:sz w:val="15"/>
                <w:szCs w:val="15"/>
              </w:rPr>
              <w:instrText>吸附可以发生在各种吸附位点上，并通过分子间相互作用得到促进。</w:instrText>
            </w:r>
            <w:r w:rsidRPr="00B50702">
              <w:rPr>
                <w:b/>
                <w:bCs/>
                <w:sz w:val="15"/>
                <w:szCs w:val="15"/>
              </w:rPr>
              <w:instrText>CH 3 I</w:instrText>
            </w:r>
            <w:r w:rsidRPr="00B50702">
              <w:rPr>
                <w:b/>
                <w:bCs/>
                <w:sz w:val="15"/>
                <w:szCs w:val="15"/>
              </w:rPr>
              <w:instrText>吸附能力与强结合位点的含量呈正相关，但与吸附剂的质构特性无关。这些见解使我们能够设计一种共价有机框架，以同时捕获低浓度的</w:instrText>
            </w:r>
            <w:r w:rsidRPr="00B50702">
              <w:rPr>
                <w:b/>
                <w:bCs/>
                <w:sz w:val="15"/>
                <w:szCs w:val="15"/>
              </w:rPr>
              <w:instrText xml:space="preserve"> I 2 </w:instrText>
            </w:r>
            <w:r w:rsidRPr="00B50702">
              <w:rPr>
                <w:b/>
                <w:bCs/>
                <w:sz w:val="15"/>
                <w:szCs w:val="15"/>
              </w:rPr>
              <w:instrText>和</w:instrText>
            </w:r>
            <w:r w:rsidRPr="00B50702">
              <w:rPr>
                <w:b/>
                <w:bCs/>
                <w:sz w:val="15"/>
                <w:szCs w:val="15"/>
              </w:rPr>
              <w:instrText xml:space="preserve"> CH 3 I</w:instrText>
            </w:r>
            <w:r w:rsidRPr="00B50702">
              <w:rPr>
                <w:b/>
                <w:bCs/>
                <w:sz w:val="15"/>
                <w:szCs w:val="15"/>
              </w:rPr>
              <w:instrText>。开发的材料</w:instrText>
            </w:r>
            <w:r w:rsidRPr="00B50702">
              <w:rPr>
                <w:b/>
                <w:bCs/>
                <w:sz w:val="15"/>
                <w:szCs w:val="15"/>
              </w:rPr>
              <w:instrText>COF-TAPT</w:instrText>
            </w:r>
            <w:r w:rsidRPr="00B50702">
              <w:rPr>
                <w:b/>
                <w:bCs/>
                <w:sz w:val="15"/>
                <w:szCs w:val="15"/>
              </w:rPr>
              <w:instrText>结合了高结晶度、大表面积和丰富的亲核基团，并表现出创纪录的高静态</w:instrText>
            </w:r>
            <w:r w:rsidRPr="00B50702">
              <w:rPr>
                <w:b/>
                <w:bCs/>
                <w:sz w:val="15"/>
                <w:szCs w:val="15"/>
              </w:rPr>
              <w:instrText>CH 3 I</w:instrText>
            </w:r>
            <w:r w:rsidRPr="00B50702">
              <w:rPr>
                <w:b/>
                <w:bCs/>
                <w:sz w:val="15"/>
                <w:szCs w:val="15"/>
              </w:rPr>
              <w:instrText>吸附能力（</w:instrText>
            </w:r>
            <w:r w:rsidRPr="00B50702">
              <w:rPr>
                <w:b/>
                <w:bCs/>
                <w:sz w:val="15"/>
                <w:szCs w:val="15"/>
              </w:rPr>
              <w:instrText>25 °C</w:instrText>
            </w:r>
            <w:r w:rsidRPr="00B50702">
              <w:rPr>
                <w:b/>
                <w:bCs/>
                <w:sz w:val="15"/>
                <w:szCs w:val="15"/>
              </w:rPr>
              <w:instrText>时为</w:instrText>
            </w:r>
            <w:r w:rsidRPr="00B50702">
              <w:rPr>
                <w:b/>
                <w:bCs/>
                <w:sz w:val="15"/>
                <w:szCs w:val="15"/>
              </w:rPr>
              <w:instrText>1.53 g·g −1</w:instrText>
            </w:r>
            <w:r w:rsidRPr="00B50702">
              <w:rPr>
                <w:b/>
                <w:bCs/>
                <w:sz w:val="15"/>
                <w:szCs w:val="15"/>
              </w:rPr>
              <w:instrText>）。在</w:instrText>
            </w:r>
            <w:r w:rsidRPr="00B50702">
              <w:rPr>
                <w:b/>
                <w:bCs/>
                <w:sz w:val="15"/>
                <w:szCs w:val="15"/>
              </w:rPr>
              <w:instrText>150 ppm</w:instrText>
            </w:r>
            <w:r w:rsidRPr="00B50702">
              <w:rPr>
                <w:b/>
                <w:bCs/>
                <w:sz w:val="15"/>
                <w:szCs w:val="15"/>
              </w:rPr>
              <w:instrText>的</w:instrText>
            </w:r>
            <w:r w:rsidRPr="00B50702">
              <w:rPr>
                <w:b/>
                <w:bCs/>
                <w:sz w:val="15"/>
                <w:szCs w:val="15"/>
              </w:rPr>
              <w:instrText>I 2</w:instrText>
            </w:r>
            <w:r w:rsidRPr="00B50702">
              <w:rPr>
                <w:b/>
                <w:bCs/>
                <w:sz w:val="15"/>
                <w:szCs w:val="15"/>
              </w:rPr>
              <w:instrText>和</w:instrText>
            </w:r>
            <w:r w:rsidRPr="00B50702">
              <w:rPr>
                <w:b/>
                <w:bCs/>
                <w:sz w:val="15"/>
                <w:szCs w:val="15"/>
              </w:rPr>
              <w:instrText>50 ppm</w:instrText>
            </w:r>
            <w:r w:rsidRPr="00B50702">
              <w:rPr>
                <w:b/>
                <w:bCs/>
                <w:sz w:val="15"/>
                <w:szCs w:val="15"/>
              </w:rPr>
              <w:instrText>的</w:instrText>
            </w:r>
            <w:r w:rsidRPr="00B50702">
              <w:rPr>
                <w:b/>
                <w:bCs/>
                <w:sz w:val="15"/>
                <w:szCs w:val="15"/>
              </w:rPr>
              <w:instrText>CH 3 I</w:instrText>
            </w:r>
            <w:r w:rsidRPr="00B50702">
              <w:rPr>
                <w:b/>
                <w:bCs/>
                <w:sz w:val="15"/>
                <w:szCs w:val="15"/>
              </w:rPr>
              <w:instrText>的动态混合气体吸附中，</w:instrText>
            </w:r>
            <w:r w:rsidRPr="00B50702">
              <w:rPr>
                <w:b/>
                <w:bCs/>
                <w:sz w:val="15"/>
                <w:szCs w:val="15"/>
              </w:rPr>
              <w:instrText>COF-TAPT</w:instrText>
            </w:r>
            <w:r w:rsidRPr="00B50702">
              <w:rPr>
                <w:b/>
                <w:bCs/>
                <w:sz w:val="15"/>
                <w:szCs w:val="15"/>
              </w:rPr>
              <w:instrText>表现出优异的总碘捕获能力（</w:instrText>
            </w:r>
            <w:r w:rsidRPr="00B50702">
              <w:rPr>
                <w:b/>
                <w:bCs/>
                <w:sz w:val="15"/>
                <w:szCs w:val="15"/>
              </w:rPr>
              <w:instrText>1.51 g·g −1</w:instrText>
            </w:r>
            <w:r w:rsidRPr="00B50702">
              <w:rPr>
                <w:b/>
                <w:bCs/>
                <w:sz w:val="15"/>
                <w:szCs w:val="15"/>
              </w:rPr>
              <w:instrText>），超过了各种基准吸附剂。这项工作加深了对</w:instrText>
            </w:r>
            <w:r w:rsidRPr="00B50702">
              <w:rPr>
                <w:b/>
                <w:bCs/>
                <w:sz w:val="15"/>
                <w:szCs w:val="15"/>
              </w:rPr>
              <w:instrText>I2/CH3I</w:instrText>
            </w:r>
            <w:r w:rsidRPr="00B50702">
              <w:rPr>
                <w:b/>
                <w:bCs/>
                <w:sz w:val="15"/>
                <w:szCs w:val="15"/>
              </w:rPr>
              <w:instrText>吸附机理的认识，为相关应用的新型吸附剂的开发提供了指导。</w:instrText>
            </w:r>
            <w:r w:rsidRPr="00B50702">
              <w:rPr>
                <w:b/>
                <w:bCs/>
                <w:sz w:val="15"/>
                <w:szCs w:val="15"/>
              </w:rPr>
              <w:instrText xml:space="preserve">","page":"2878","source":"DOI.org (Crossref)","title":"Efficient and simultaneous capture of iodine and methyl iodide achieved by a covalent organic framework","volume":"13","author":[{"family":"Xie","given":"Yaqiang"},{"family":"Pan","given":"Tingting"},{"family":"Lei","given":"Qiong"},{"family":"Chen","given":"Cailing"},{"family":"Dong","given":"Xinglong"},{"family":"Yuan","given":"Youyou"},{"family":"Maksoud","given":"Walid Al"},{"family":"Zhao","given":"Long"},{"family":"Cavallo","given":"Luigi"},{"family":"Pinnau","given":"Ingo"},{"family":"Han","given":"Yu"}],"issued":{"date-parts":[["2022",5,24]]}}}],"schema":"https://github.com/citation-style-language/schema/raw/master/csl-citation.json"} </w:instrText>
            </w:r>
            <w:r w:rsidRPr="00B50702">
              <w:rPr>
                <w:b/>
                <w:bCs/>
                <w:sz w:val="15"/>
                <w:szCs w:val="15"/>
              </w:rPr>
              <w:fldChar w:fldCharType="separate"/>
            </w:r>
            <w:r w:rsidRPr="00B50702">
              <w:rPr>
                <w:sz w:val="15"/>
              </w:rPr>
              <w:t>[12]</w:t>
            </w:r>
            <w:r w:rsidRPr="00B50702">
              <w:rPr>
                <w:b/>
                <w:bCs/>
                <w:sz w:val="15"/>
                <w:szCs w:val="15"/>
              </w:rPr>
              <w:fldChar w:fldCharType="end"/>
            </w:r>
          </w:p>
          <w:p w14:paraId="18BF5C9D"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color w:val="000000" w:themeColor="text1"/>
                <w:sz w:val="15"/>
                <w:szCs w:val="15"/>
              </w:rPr>
              <w:t>(TAPB)</w:t>
            </w:r>
          </w:p>
        </w:tc>
        <w:tc>
          <w:tcPr>
            <w:tcW w:w="0" w:type="auto"/>
          </w:tcPr>
          <w:p w14:paraId="0050B9D9"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C</w:t>
            </w:r>
            <w:r w:rsidRPr="00B50702">
              <w:rPr>
                <w:color w:val="000000" w:themeColor="text1"/>
                <w:sz w:val="15"/>
                <w:szCs w:val="15"/>
                <w:vertAlign w:val="subscript"/>
              </w:rPr>
              <w:t>24</w:t>
            </w:r>
            <w:r w:rsidRPr="00B50702">
              <w:rPr>
                <w:color w:val="000000" w:themeColor="text1"/>
                <w:sz w:val="15"/>
                <w:szCs w:val="15"/>
              </w:rPr>
              <w:t>H</w:t>
            </w:r>
            <w:r w:rsidRPr="00B50702">
              <w:rPr>
                <w:color w:val="000000" w:themeColor="text1"/>
                <w:sz w:val="15"/>
                <w:szCs w:val="15"/>
                <w:vertAlign w:val="subscript"/>
              </w:rPr>
              <w:t>21</w:t>
            </w:r>
            <w:r w:rsidRPr="00B50702">
              <w:rPr>
                <w:color w:val="000000" w:themeColor="text1"/>
                <w:sz w:val="15"/>
                <w:szCs w:val="15"/>
              </w:rPr>
              <w:t>N</w:t>
            </w:r>
            <w:r w:rsidRPr="00B50702">
              <w:rPr>
                <w:color w:val="000000" w:themeColor="text1"/>
                <w:sz w:val="15"/>
                <w:szCs w:val="15"/>
                <w:vertAlign w:val="subscript"/>
              </w:rPr>
              <w:t>3</w:t>
            </w:r>
          </w:p>
        </w:tc>
        <w:tc>
          <w:tcPr>
            <w:tcW w:w="0" w:type="auto"/>
          </w:tcPr>
          <w:p w14:paraId="33F65FE6"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21E5F2E2" wp14:editId="0DA396EE">
                  <wp:extent cx="576000" cy="470203"/>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576000" cy="470203"/>
                          </a:xfrm>
                          <a:prstGeom prst="rect">
                            <a:avLst/>
                          </a:prstGeom>
                          <a:noFill/>
                        </pic:spPr>
                      </pic:pic>
                    </a:graphicData>
                  </a:graphic>
                </wp:inline>
              </w:drawing>
            </w:r>
          </w:p>
        </w:tc>
        <w:tc>
          <w:tcPr>
            <w:tcW w:w="0" w:type="auto"/>
          </w:tcPr>
          <w:p w14:paraId="0DC9B886"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43.16</w:t>
            </w:r>
          </w:p>
        </w:tc>
        <w:tc>
          <w:tcPr>
            <w:tcW w:w="0" w:type="auto"/>
          </w:tcPr>
          <w:p w14:paraId="0EB8B6D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118727-34-7</w:t>
            </w:r>
          </w:p>
        </w:tc>
      </w:tr>
      <w:tr w:rsidR="007E3433" w:rsidRPr="00B50702" w14:paraId="59C611B1" w14:textId="77777777" w:rsidTr="003534D2">
        <w:trPr>
          <w:trHeight w:val="329"/>
          <w:jc w:val="center"/>
        </w:trPr>
        <w:tc>
          <w:tcPr>
            <w:tcW w:w="0" w:type="auto"/>
          </w:tcPr>
          <w:p w14:paraId="7E372926"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4,4',4''-(1,3,5-Triazine-2,4,6-</w:t>
            </w:r>
            <w:proofErr w:type="gramStart"/>
            <w:r w:rsidRPr="00B50702">
              <w:rPr>
                <w:b/>
                <w:bCs/>
                <w:sz w:val="15"/>
                <w:szCs w:val="15"/>
              </w:rPr>
              <w:t>triyl)trainiline</w:t>
            </w:r>
            <w:proofErr w:type="gramEnd"/>
          </w:p>
          <w:p w14:paraId="253289D2"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color w:val="000000" w:themeColor="text1"/>
                <w:sz w:val="15"/>
                <w:szCs w:val="15"/>
              </w:rPr>
              <w:t>(TAPT)</w:t>
            </w:r>
            <w:r w:rsidRPr="00B50702">
              <w:rPr>
                <w:b/>
                <w:bCs/>
                <w:color w:val="000000" w:themeColor="text1"/>
                <w:sz w:val="15"/>
                <w:szCs w:val="15"/>
              </w:rPr>
              <w:fldChar w:fldCharType="begin"/>
            </w:r>
            <w:r w:rsidRPr="00B50702">
              <w:rPr>
                <w:b/>
                <w:bCs/>
                <w:color w:val="000000" w:themeColor="text1"/>
                <w:sz w:val="15"/>
                <w:szCs w:val="15"/>
              </w:rPr>
              <w:instrText xml:space="preserve"> ADDIN ZOTERO_ITEM CSL_CITATION {"citationID":"Cod9vEn6","properties":{"formattedCitation":"[13]","plainCitation":"[13]","noteIndex":0},"citationItems":[{"id":768,"uris":["http://zotero.org/users/14169885/items/8DUPX42D"],"itemData":{"id":768,"type":"article-journal","abstract":"Nuclear energy is a sustainable, low-carbon footprint, and cost-effective future energy source that might play an important role in the foreseeable energy demand. However, due to the volatility and long half-life of the released waste radioiodine from nuclear power stations, appropriate handling of radioactive waste is still a great challenge. Using covalent organic polymers (COPs) adsorbents to capture radioactive iodine compounds has gained much attention due to the simplicity of operation, low maintenance costs, and resistance to highly corrosive solutions. Herein, three as-synthesized amine-linked COP materials with heteroatoms (N, P, and O) are employed for iodine capture and obtain excellent iodine capture capacity due to the strong interactions of abundant heteroatoms with iodine compounds. The gas-phase iodine adsorption capacity of as-prepared COPs reached &gt; 2.1 g gad1s in 1 h, with an optimal gas-phase iodine adsorption capacity of 3.96 g gad1s and a liquid-phase iodine adsorption capacity of 905.69 mg gad1s. This study showed the promising iodine removal capabilities of heteroatoms-containing COPs from nuclear wastewater and nuclear exhaust gases.","container-title":"Chemical Engineering Journal","DOI":"10.1016/j.cej.2024.149739","ISSN":"13858947","journalAbbreviation":"Chemical Engineering Journal","language":"en","note":"abstractTranslation: </w:instrText>
            </w:r>
            <w:r w:rsidRPr="00B50702">
              <w:rPr>
                <w:b/>
                <w:bCs/>
                <w:color w:val="000000" w:themeColor="text1"/>
                <w:sz w:val="15"/>
                <w:szCs w:val="15"/>
              </w:rPr>
              <w:instrText>核能是一种可持续、低碳足迹和具有成本效益的未来能源，可能在可预见的能源需求中发挥重要作用。然而，由于核电站释放的放射性碘废物的挥发性和半衰期较长，适当处理放射性废物仍然是一个巨大的挑战。使用共价有机聚合物（</w:instrText>
            </w:r>
            <w:r w:rsidRPr="00B50702">
              <w:rPr>
                <w:b/>
                <w:bCs/>
                <w:color w:val="000000" w:themeColor="text1"/>
                <w:sz w:val="15"/>
                <w:szCs w:val="15"/>
              </w:rPr>
              <w:instrText>COP</w:instrText>
            </w:r>
            <w:r w:rsidRPr="00B50702">
              <w:rPr>
                <w:b/>
                <w:bCs/>
                <w:color w:val="000000" w:themeColor="text1"/>
                <w:sz w:val="15"/>
                <w:szCs w:val="15"/>
              </w:rPr>
              <w:instrText>）吸附剂捕获放射性碘化合物因其操作简单、维护成本低和耐高腐蚀性溶液而受到广泛关注。本文中，三种合成的具有杂原子（</w:instrText>
            </w:r>
            <w:r w:rsidRPr="00B50702">
              <w:rPr>
                <w:b/>
                <w:bCs/>
                <w:color w:val="000000" w:themeColor="text1"/>
                <w:sz w:val="15"/>
                <w:szCs w:val="15"/>
              </w:rPr>
              <w:instrText>N</w:instrText>
            </w:r>
            <w:r w:rsidRPr="00B50702">
              <w:rPr>
                <w:b/>
                <w:bCs/>
                <w:color w:val="000000" w:themeColor="text1"/>
                <w:sz w:val="15"/>
                <w:szCs w:val="15"/>
              </w:rPr>
              <w:instrText>、</w:instrText>
            </w:r>
            <w:r w:rsidRPr="00B50702">
              <w:rPr>
                <w:b/>
                <w:bCs/>
                <w:color w:val="000000" w:themeColor="text1"/>
                <w:sz w:val="15"/>
                <w:szCs w:val="15"/>
              </w:rPr>
              <w:instrText>P</w:instrText>
            </w:r>
            <w:r w:rsidRPr="00B50702">
              <w:rPr>
                <w:b/>
                <w:bCs/>
                <w:color w:val="000000" w:themeColor="text1"/>
                <w:sz w:val="15"/>
                <w:szCs w:val="15"/>
              </w:rPr>
              <w:instrText>和</w:instrText>
            </w:r>
            <w:r w:rsidRPr="00B50702">
              <w:rPr>
                <w:b/>
                <w:bCs/>
                <w:color w:val="000000" w:themeColor="text1"/>
                <w:sz w:val="15"/>
                <w:szCs w:val="15"/>
              </w:rPr>
              <w:instrText>O</w:instrText>
            </w:r>
            <w:r w:rsidRPr="00B50702">
              <w:rPr>
                <w:b/>
                <w:bCs/>
                <w:color w:val="000000" w:themeColor="text1"/>
                <w:sz w:val="15"/>
                <w:szCs w:val="15"/>
              </w:rPr>
              <w:instrText>）的胺连接</w:instrText>
            </w:r>
            <w:r w:rsidRPr="00B50702">
              <w:rPr>
                <w:b/>
                <w:bCs/>
                <w:color w:val="000000" w:themeColor="text1"/>
                <w:sz w:val="15"/>
                <w:szCs w:val="15"/>
              </w:rPr>
              <w:instrText>COP</w:instrText>
            </w:r>
            <w:r w:rsidRPr="00B50702">
              <w:rPr>
                <w:b/>
                <w:bCs/>
                <w:color w:val="000000" w:themeColor="text1"/>
                <w:sz w:val="15"/>
                <w:szCs w:val="15"/>
              </w:rPr>
              <w:instrText>材料用于碘捕获，并由于丰富的杂原子与碘化合物的强相互作用而获得了优异的碘捕获能力。所制备的</w:instrText>
            </w:r>
            <w:r w:rsidRPr="00B50702">
              <w:rPr>
                <w:b/>
                <w:bCs/>
                <w:color w:val="000000" w:themeColor="text1"/>
                <w:sz w:val="15"/>
                <w:szCs w:val="15"/>
              </w:rPr>
              <w:instrText>COP</w:instrText>
            </w:r>
            <w:r w:rsidRPr="00B50702">
              <w:rPr>
                <w:b/>
                <w:bCs/>
                <w:color w:val="000000" w:themeColor="text1"/>
                <w:sz w:val="15"/>
                <w:szCs w:val="15"/>
              </w:rPr>
              <w:instrText>的气相碘吸附容量在</w:instrText>
            </w:r>
            <w:r w:rsidRPr="00B50702">
              <w:rPr>
                <w:b/>
                <w:bCs/>
                <w:color w:val="000000" w:themeColor="text1"/>
                <w:sz w:val="15"/>
                <w:szCs w:val="15"/>
              </w:rPr>
              <w:instrText>1</w:instrText>
            </w:r>
            <w:r w:rsidRPr="00B50702">
              <w:rPr>
                <w:b/>
                <w:bCs/>
                <w:color w:val="000000" w:themeColor="text1"/>
                <w:sz w:val="15"/>
                <w:szCs w:val="15"/>
              </w:rPr>
              <w:instrText>小时内达到</w:instrText>
            </w:r>
            <w:r w:rsidRPr="00B50702">
              <w:rPr>
                <w:b/>
                <w:bCs/>
                <w:color w:val="000000" w:themeColor="text1"/>
                <w:sz w:val="15"/>
                <w:szCs w:val="15"/>
              </w:rPr>
              <w:instrText>&gt;2.1 g gad1s</w:instrText>
            </w:r>
            <w:r w:rsidRPr="00B50702">
              <w:rPr>
                <w:b/>
                <w:bCs/>
                <w:color w:val="000000" w:themeColor="text1"/>
                <w:sz w:val="15"/>
                <w:szCs w:val="15"/>
              </w:rPr>
              <w:instrText>，最佳气相碘吸收容量为</w:instrText>
            </w:r>
            <w:r w:rsidRPr="00B50702">
              <w:rPr>
                <w:b/>
                <w:bCs/>
                <w:color w:val="000000" w:themeColor="text1"/>
                <w:sz w:val="15"/>
                <w:szCs w:val="15"/>
              </w:rPr>
              <w:instrText>3.96 g gad3s</w:instrText>
            </w:r>
            <w:r w:rsidRPr="00B50702">
              <w:rPr>
                <w:b/>
                <w:bCs/>
                <w:color w:val="000000" w:themeColor="text1"/>
                <w:sz w:val="15"/>
                <w:szCs w:val="15"/>
              </w:rPr>
              <w:instrText>，液相碘吸附能力为</w:instrText>
            </w:r>
            <w:r w:rsidRPr="00B50702">
              <w:rPr>
                <w:b/>
                <w:bCs/>
                <w:color w:val="000000" w:themeColor="text1"/>
                <w:sz w:val="15"/>
                <w:szCs w:val="15"/>
              </w:rPr>
              <w:instrText>905.69 mg gad1s</w:instrText>
            </w:r>
            <w:r w:rsidRPr="00B50702">
              <w:rPr>
                <w:b/>
                <w:bCs/>
                <w:color w:val="000000" w:themeColor="text1"/>
                <w:sz w:val="15"/>
                <w:szCs w:val="15"/>
              </w:rPr>
              <w:instrText>。这项研究表明，含杂原子的</w:instrText>
            </w:r>
            <w:r w:rsidRPr="00B50702">
              <w:rPr>
                <w:b/>
                <w:bCs/>
                <w:color w:val="000000" w:themeColor="text1"/>
                <w:sz w:val="15"/>
                <w:szCs w:val="15"/>
              </w:rPr>
              <w:instrText>COP</w:instrText>
            </w:r>
            <w:r w:rsidRPr="00B50702">
              <w:rPr>
                <w:b/>
                <w:bCs/>
                <w:color w:val="000000" w:themeColor="text1"/>
                <w:sz w:val="15"/>
                <w:szCs w:val="15"/>
              </w:rPr>
              <w:instrText>从核废水和核废气中去除碘的能力很有前景。</w:instrText>
            </w:r>
            <w:r w:rsidRPr="00B50702">
              <w:rPr>
                <w:b/>
                <w:bCs/>
                <w:color w:val="000000" w:themeColor="text1"/>
                <w:sz w:val="15"/>
                <w:szCs w:val="15"/>
              </w:rPr>
              <w:instrText xml:space="preserve">\ntitleTranslation: </w:instrText>
            </w:r>
            <w:r w:rsidRPr="00B50702">
              <w:rPr>
                <w:b/>
                <w:bCs/>
                <w:color w:val="000000" w:themeColor="text1"/>
                <w:sz w:val="15"/>
                <w:szCs w:val="15"/>
              </w:rPr>
              <w:instrText>共价有机聚合物用于有效去除气相和液相环境中的碘</w:instrText>
            </w:r>
            <w:r w:rsidRPr="00B50702">
              <w:rPr>
                <w:b/>
                <w:bCs/>
                <w:color w:val="000000" w:themeColor="text1"/>
                <w:sz w:val="15"/>
                <w:szCs w:val="15"/>
              </w:rPr>
              <w:instrText xml:space="preserve">","page":"149739","source":"DOI.org (Crossref)","title":"Covalent organic polymers for efficient removal of iodine from gas- and liquid-phase environments","volume":"484","author":[{"family":"Zhu","given":"Haishan"},{"family":"Qin","given":"Yuancheng"},{"family":"Guo","given":"Yue"},{"family":"Shen","given":"Zhen"},{"family":"Imran","given":"Muhammad"},{"family":"Asim Mushtaq","given":"Muhammad"},{"family":"Zhang","given":"Zhiqi"},{"family":"Ni","given":"Cailing"},{"family":"Chen","given":"Yanqing"},{"family":"Ding","given":"Yangbin"},{"family":"Gul","given":"Hajera"},{"family":"Zou","given":"Jianping"},{"family":"Tsiakaras","given":"Panagiotis"},{"family":"Hsu","given":"Hsien-Yi"},{"family":"Zhao","given":"Jie"}],"issued":{"date-parts":[["2024",3]]}}}],"schema":"https://github.com/citation-style-language/schema/raw/master/csl-citation.json"} </w:instrText>
            </w:r>
            <w:r w:rsidRPr="00B50702">
              <w:rPr>
                <w:b/>
                <w:bCs/>
                <w:color w:val="000000" w:themeColor="text1"/>
                <w:sz w:val="15"/>
                <w:szCs w:val="15"/>
              </w:rPr>
              <w:fldChar w:fldCharType="separate"/>
            </w:r>
            <w:r w:rsidRPr="00B50702">
              <w:rPr>
                <w:sz w:val="15"/>
              </w:rPr>
              <w:t>[13]</w:t>
            </w:r>
            <w:r w:rsidRPr="00B50702">
              <w:rPr>
                <w:b/>
                <w:bCs/>
                <w:color w:val="000000" w:themeColor="text1"/>
                <w:sz w:val="15"/>
                <w:szCs w:val="15"/>
              </w:rPr>
              <w:fldChar w:fldCharType="end"/>
            </w:r>
          </w:p>
        </w:tc>
        <w:tc>
          <w:tcPr>
            <w:tcW w:w="0" w:type="auto"/>
          </w:tcPr>
          <w:p w14:paraId="1EDE103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C</w:t>
            </w:r>
            <w:r w:rsidRPr="00B50702">
              <w:rPr>
                <w:color w:val="000000" w:themeColor="text1"/>
                <w:sz w:val="15"/>
                <w:szCs w:val="15"/>
                <w:vertAlign w:val="subscript"/>
              </w:rPr>
              <w:t>21</w:t>
            </w:r>
            <w:r w:rsidRPr="00B50702">
              <w:rPr>
                <w:color w:val="000000" w:themeColor="text1"/>
                <w:sz w:val="15"/>
                <w:szCs w:val="15"/>
              </w:rPr>
              <w:t>H</w:t>
            </w:r>
            <w:r w:rsidRPr="00B50702">
              <w:rPr>
                <w:color w:val="000000" w:themeColor="text1"/>
                <w:sz w:val="15"/>
                <w:szCs w:val="15"/>
                <w:vertAlign w:val="subscript"/>
              </w:rPr>
              <w:t>18</w:t>
            </w:r>
            <w:r w:rsidRPr="00B50702">
              <w:rPr>
                <w:color w:val="000000" w:themeColor="text1"/>
                <w:sz w:val="15"/>
                <w:szCs w:val="15"/>
              </w:rPr>
              <w:t>N</w:t>
            </w:r>
            <w:r w:rsidRPr="00B50702">
              <w:rPr>
                <w:color w:val="000000" w:themeColor="text1"/>
                <w:sz w:val="15"/>
                <w:szCs w:val="15"/>
                <w:vertAlign w:val="subscript"/>
              </w:rPr>
              <w:t>6</w:t>
            </w:r>
          </w:p>
        </w:tc>
        <w:tc>
          <w:tcPr>
            <w:tcW w:w="0" w:type="auto"/>
          </w:tcPr>
          <w:p w14:paraId="4821AA8F"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57E1DF3B" wp14:editId="0F3DD22C">
                  <wp:extent cx="576000" cy="470204"/>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576000" cy="470204"/>
                          </a:xfrm>
                          <a:prstGeom prst="rect">
                            <a:avLst/>
                          </a:prstGeom>
                          <a:noFill/>
                        </pic:spPr>
                      </pic:pic>
                    </a:graphicData>
                  </a:graphic>
                </wp:inline>
              </w:drawing>
            </w:r>
          </w:p>
        </w:tc>
        <w:tc>
          <w:tcPr>
            <w:tcW w:w="0" w:type="auto"/>
          </w:tcPr>
          <w:p w14:paraId="4E9904D8"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18.66</w:t>
            </w:r>
          </w:p>
        </w:tc>
        <w:tc>
          <w:tcPr>
            <w:tcW w:w="0" w:type="auto"/>
          </w:tcPr>
          <w:p w14:paraId="5F5BA497"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14544-47-9</w:t>
            </w:r>
          </w:p>
        </w:tc>
      </w:tr>
      <w:tr w:rsidR="007E3433" w:rsidRPr="00B50702" w14:paraId="6B2B6BEF" w14:textId="77777777" w:rsidTr="003534D2">
        <w:trPr>
          <w:trHeight w:val="329"/>
          <w:jc w:val="center"/>
        </w:trPr>
        <w:tc>
          <w:tcPr>
            <w:tcW w:w="0" w:type="auto"/>
          </w:tcPr>
          <w:p w14:paraId="1EA18F2A"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sz w:val="15"/>
                <w:szCs w:val="15"/>
              </w:rPr>
              <w:t>Tris(4-</w:t>
            </w:r>
            <w:proofErr w:type="gramStart"/>
            <w:r w:rsidRPr="00B50702">
              <w:rPr>
                <w:b/>
                <w:bCs/>
                <w:sz w:val="15"/>
                <w:szCs w:val="15"/>
              </w:rPr>
              <w:t>aminophenyl)amine</w:t>
            </w:r>
            <w:proofErr w:type="gramEnd"/>
          </w:p>
          <w:p w14:paraId="36FE0C42" w14:textId="77777777" w:rsidR="007E3433" w:rsidRPr="00B50702" w:rsidRDefault="007E3433" w:rsidP="003534D2">
            <w:pPr>
              <w:tabs>
                <w:tab w:val="left" w:pos="426"/>
              </w:tabs>
              <w:autoSpaceDE w:val="0"/>
              <w:autoSpaceDN w:val="0"/>
              <w:adjustRightInd w:val="0"/>
              <w:spacing w:before="240"/>
              <w:ind w:firstLineChars="0" w:firstLine="0"/>
              <w:rPr>
                <w:b/>
                <w:bCs/>
                <w:color w:val="000000" w:themeColor="text1"/>
                <w:sz w:val="15"/>
                <w:szCs w:val="15"/>
              </w:rPr>
            </w:pPr>
            <w:r w:rsidRPr="00B50702">
              <w:rPr>
                <w:b/>
                <w:bCs/>
                <w:color w:val="000000" w:themeColor="text1"/>
                <w:sz w:val="15"/>
                <w:szCs w:val="15"/>
              </w:rPr>
              <w:t>(TAPA)</w:t>
            </w:r>
            <w:r w:rsidRPr="00B50702">
              <w:rPr>
                <w:b/>
                <w:bCs/>
                <w:color w:val="000000" w:themeColor="text1"/>
                <w:sz w:val="15"/>
                <w:szCs w:val="15"/>
              </w:rPr>
              <w:fldChar w:fldCharType="begin"/>
            </w:r>
            <w:r w:rsidRPr="00B50702">
              <w:rPr>
                <w:b/>
                <w:bCs/>
                <w:color w:val="000000" w:themeColor="text1"/>
                <w:sz w:val="15"/>
                <w:szCs w:val="15"/>
              </w:rPr>
              <w:instrText xml:space="preserve"> ADDIN ZOTERO_ITEM CSL_CITATION {"citationID":"9VqWnfvl","properties":{"formattedCitation":"[13]","plainCitation":"[13]","noteIndex":0},"citationItems":[{"id":768,"uris":["http://zotero.org/users/14169885/items/8DUPX42D"],"itemData":{"id":768,"type":"article-journal","abstract":"Nuclear energy is a sustainable, low-carbon footprint, and cost-effective future energy source that might play an important role in the foreseeable energy demand. However, due to the volatility and long half-life of the released waste radioiodine from nuclear power stations, appropriate handling of radioactive waste is still a great challenge. Using covalent organic polymers (COPs) adsorbents to capture radioactive iodine compounds has gained much attention due to the simplicity of operation, low maintenance costs, and resistance to highly corrosive solutions. Herein, three as-synthesized amine-linked COP materials with heteroatoms (N, P, and O) are employed for iodine capture and obtain excellent iodine capture capacity due to the strong interactions of abundant heteroatoms with iodine compounds. The gas-phase iodine adsorption capacity of as-prepared COPs reached &gt; 2.1 g gad1s in 1 h, with an optimal gas-phase iodine adsorption capacity of 3.96 g gad1s and a liquid-phase iodine adsorption capacity of 905.69 mg gad1s. This study showed the promising iodine removal capabilities of heteroatoms-containing COPs from nuclear wastewater and nuclear exhaust gases.","container-title":"Chemical Engineering Journal","DOI":"10.1016/j.cej.2024.149739","ISSN":"13858947","journalAbbreviation":"Chemical Engineering Journal","language":"en","note":"abstractTranslation: </w:instrText>
            </w:r>
            <w:r w:rsidRPr="00B50702">
              <w:rPr>
                <w:b/>
                <w:bCs/>
                <w:color w:val="000000" w:themeColor="text1"/>
                <w:sz w:val="15"/>
                <w:szCs w:val="15"/>
              </w:rPr>
              <w:instrText>核能是一种可持续、低碳足迹和具有成本效益的未来能源，可能在可预见的能源需求中发挥重要作用。然而，由于核电站释放的放射性碘废物的挥发性和半衰期较长，适当处理放射性废物仍然是一个巨大的挑战。使用共价有机聚合物（</w:instrText>
            </w:r>
            <w:r w:rsidRPr="00B50702">
              <w:rPr>
                <w:b/>
                <w:bCs/>
                <w:color w:val="000000" w:themeColor="text1"/>
                <w:sz w:val="15"/>
                <w:szCs w:val="15"/>
              </w:rPr>
              <w:instrText>COP</w:instrText>
            </w:r>
            <w:r w:rsidRPr="00B50702">
              <w:rPr>
                <w:b/>
                <w:bCs/>
                <w:color w:val="000000" w:themeColor="text1"/>
                <w:sz w:val="15"/>
                <w:szCs w:val="15"/>
              </w:rPr>
              <w:instrText>）吸附剂捕获放射性碘化合物因其操作简单、维护成本低和耐高腐蚀性溶液而受到广泛关注。本文中，三种合成的具有杂原子（</w:instrText>
            </w:r>
            <w:r w:rsidRPr="00B50702">
              <w:rPr>
                <w:b/>
                <w:bCs/>
                <w:color w:val="000000" w:themeColor="text1"/>
                <w:sz w:val="15"/>
                <w:szCs w:val="15"/>
              </w:rPr>
              <w:instrText>N</w:instrText>
            </w:r>
            <w:r w:rsidRPr="00B50702">
              <w:rPr>
                <w:b/>
                <w:bCs/>
                <w:color w:val="000000" w:themeColor="text1"/>
                <w:sz w:val="15"/>
                <w:szCs w:val="15"/>
              </w:rPr>
              <w:instrText>、</w:instrText>
            </w:r>
            <w:r w:rsidRPr="00B50702">
              <w:rPr>
                <w:b/>
                <w:bCs/>
                <w:color w:val="000000" w:themeColor="text1"/>
                <w:sz w:val="15"/>
                <w:szCs w:val="15"/>
              </w:rPr>
              <w:instrText>P</w:instrText>
            </w:r>
            <w:r w:rsidRPr="00B50702">
              <w:rPr>
                <w:b/>
                <w:bCs/>
                <w:color w:val="000000" w:themeColor="text1"/>
                <w:sz w:val="15"/>
                <w:szCs w:val="15"/>
              </w:rPr>
              <w:instrText>和</w:instrText>
            </w:r>
            <w:r w:rsidRPr="00B50702">
              <w:rPr>
                <w:b/>
                <w:bCs/>
                <w:color w:val="000000" w:themeColor="text1"/>
                <w:sz w:val="15"/>
                <w:szCs w:val="15"/>
              </w:rPr>
              <w:instrText>O</w:instrText>
            </w:r>
            <w:r w:rsidRPr="00B50702">
              <w:rPr>
                <w:b/>
                <w:bCs/>
                <w:color w:val="000000" w:themeColor="text1"/>
                <w:sz w:val="15"/>
                <w:szCs w:val="15"/>
              </w:rPr>
              <w:instrText>）的胺连接</w:instrText>
            </w:r>
            <w:r w:rsidRPr="00B50702">
              <w:rPr>
                <w:b/>
                <w:bCs/>
                <w:color w:val="000000" w:themeColor="text1"/>
                <w:sz w:val="15"/>
                <w:szCs w:val="15"/>
              </w:rPr>
              <w:instrText>COP</w:instrText>
            </w:r>
            <w:r w:rsidRPr="00B50702">
              <w:rPr>
                <w:b/>
                <w:bCs/>
                <w:color w:val="000000" w:themeColor="text1"/>
                <w:sz w:val="15"/>
                <w:szCs w:val="15"/>
              </w:rPr>
              <w:instrText>材料用于碘捕获，并由于丰富的杂原子与碘化合物的强相互作用而获得了优异的碘捕获能力。所制备的</w:instrText>
            </w:r>
            <w:r w:rsidRPr="00B50702">
              <w:rPr>
                <w:b/>
                <w:bCs/>
                <w:color w:val="000000" w:themeColor="text1"/>
                <w:sz w:val="15"/>
                <w:szCs w:val="15"/>
              </w:rPr>
              <w:instrText>COP</w:instrText>
            </w:r>
            <w:r w:rsidRPr="00B50702">
              <w:rPr>
                <w:b/>
                <w:bCs/>
                <w:color w:val="000000" w:themeColor="text1"/>
                <w:sz w:val="15"/>
                <w:szCs w:val="15"/>
              </w:rPr>
              <w:instrText>的气相碘吸附容量在</w:instrText>
            </w:r>
            <w:r w:rsidRPr="00B50702">
              <w:rPr>
                <w:b/>
                <w:bCs/>
                <w:color w:val="000000" w:themeColor="text1"/>
                <w:sz w:val="15"/>
                <w:szCs w:val="15"/>
              </w:rPr>
              <w:instrText>1</w:instrText>
            </w:r>
            <w:r w:rsidRPr="00B50702">
              <w:rPr>
                <w:b/>
                <w:bCs/>
                <w:color w:val="000000" w:themeColor="text1"/>
                <w:sz w:val="15"/>
                <w:szCs w:val="15"/>
              </w:rPr>
              <w:instrText>小时内达到</w:instrText>
            </w:r>
            <w:r w:rsidRPr="00B50702">
              <w:rPr>
                <w:b/>
                <w:bCs/>
                <w:color w:val="000000" w:themeColor="text1"/>
                <w:sz w:val="15"/>
                <w:szCs w:val="15"/>
              </w:rPr>
              <w:instrText>&gt;2.1 g gad1s</w:instrText>
            </w:r>
            <w:r w:rsidRPr="00B50702">
              <w:rPr>
                <w:b/>
                <w:bCs/>
                <w:color w:val="000000" w:themeColor="text1"/>
                <w:sz w:val="15"/>
                <w:szCs w:val="15"/>
              </w:rPr>
              <w:instrText>，最佳气相碘吸收容量为</w:instrText>
            </w:r>
            <w:r w:rsidRPr="00B50702">
              <w:rPr>
                <w:b/>
                <w:bCs/>
                <w:color w:val="000000" w:themeColor="text1"/>
                <w:sz w:val="15"/>
                <w:szCs w:val="15"/>
              </w:rPr>
              <w:instrText>3.96 g gad3s</w:instrText>
            </w:r>
            <w:r w:rsidRPr="00B50702">
              <w:rPr>
                <w:b/>
                <w:bCs/>
                <w:color w:val="000000" w:themeColor="text1"/>
                <w:sz w:val="15"/>
                <w:szCs w:val="15"/>
              </w:rPr>
              <w:instrText>，液相碘吸附能力为</w:instrText>
            </w:r>
            <w:r w:rsidRPr="00B50702">
              <w:rPr>
                <w:b/>
                <w:bCs/>
                <w:color w:val="000000" w:themeColor="text1"/>
                <w:sz w:val="15"/>
                <w:szCs w:val="15"/>
              </w:rPr>
              <w:instrText>905.69 mg gad1s</w:instrText>
            </w:r>
            <w:r w:rsidRPr="00B50702">
              <w:rPr>
                <w:b/>
                <w:bCs/>
                <w:color w:val="000000" w:themeColor="text1"/>
                <w:sz w:val="15"/>
                <w:szCs w:val="15"/>
              </w:rPr>
              <w:instrText>。这项研究表明，含杂原子的</w:instrText>
            </w:r>
            <w:r w:rsidRPr="00B50702">
              <w:rPr>
                <w:b/>
                <w:bCs/>
                <w:color w:val="000000" w:themeColor="text1"/>
                <w:sz w:val="15"/>
                <w:szCs w:val="15"/>
              </w:rPr>
              <w:instrText>COP</w:instrText>
            </w:r>
            <w:r w:rsidRPr="00B50702">
              <w:rPr>
                <w:b/>
                <w:bCs/>
                <w:color w:val="000000" w:themeColor="text1"/>
                <w:sz w:val="15"/>
                <w:szCs w:val="15"/>
              </w:rPr>
              <w:instrText>从核废水和核废气中去除碘的能力很有前景。</w:instrText>
            </w:r>
            <w:r w:rsidRPr="00B50702">
              <w:rPr>
                <w:b/>
                <w:bCs/>
                <w:color w:val="000000" w:themeColor="text1"/>
                <w:sz w:val="15"/>
                <w:szCs w:val="15"/>
              </w:rPr>
              <w:instrText xml:space="preserve">\ntitleTranslation: </w:instrText>
            </w:r>
            <w:r w:rsidRPr="00B50702">
              <w:rPr>
                <w:b/>
                <w:bCs/>
                <w:color w:val="000000" w:themeColor="text1"/>
                <w:sz w:val="15"/>
                <w:szCs w:val="15"/>
              </w:rPr>
              <w:instrText>共价有机聚合物用于有效去除气相和液相环境中的碘</w:instrText>
            </w:r>
            <w:r w:rsidRPr="00B50702">
              <w:rPr>
                <w:b/>
                <w:bCs/>
                <w:color w:val="000000" w:themeColor="text1"/>
                <w:sz w:val="15"/>
                <w:szCs w:val="15"/>
              </w:rPr>
              <w:instrText xml:space="preserve">","page":"149739","source":"DOI.org (Crossref)","title":"Covalent organic polymers for efficient removal of iodine from gas- and liquid-phase environments","volume":"484","author":[{"family":"Zhu","given":"Haishan"},{"family":"Qin","given":"Yuancheng"},{"family":"Guo","given":"Yue"},{"family":"Shen","given":"Zhen"},{"family":"Imran","given":"Muhammad"},{"family":"Asim Mushtaq","given":"Muhammad"},{"family":"Zhang","given":"Zhiqi"},{"family":"Ni","given":"Cailing"},{"family":"Chen","given":"Yanqing"},{"family":"Ding","given":"Yangbin"},{"family":"Gul","given":"Hajera"},{"family":"Zou","given":"Jianping"},{"family":"Tsiakaras","given":"Panagiotis"},{"family":"Hsu","given":"Hsien-Yi"},{"family":"Zhao","given":"Jie"}],"issued":{"date-parts":[["2024",3]]}}}],"schema":"https://github.com/citation-style-language/schema/raw/master/csl-citation.json"} </w:instrText>
            </w:r>
            <w:r w:rsidRPr="00B50702">
              <w:rPr>
                <w:b/>
                <w:bCs/>
                <w:color w:val="000000" w:themeColor="text1"/>
                <w:sz w:val="15"/>
                <w:szCs w:val="15"/>
              </w:rPr>
              <w:fldChar w:fldCharType="separate"/>
            </w:r>
            <w:r w:rsidRPr="00B50702">
              <w:rPr>
                <w:sz w:val="15"/>
              </w:rPr>
              <w:t>[13]</w:t>
            </w:r>
            <w:r w:rsidRPr="00B50702">
              <w:rPr>
                <w:b/>
                <w:bCs/>
                <w:color w:val="000000" w:themeColor="text1"/>
                <w:sz w:val="15"/>
                <w:szCs w:val="15"/>
              </w:rPr>
              <w:fldChar w:fldCharType="end"/>
            </w:r>
          </w:p>
        </w:tc>
        <w:tc>
          <w:tcPr>
            <w:tcW w:w="0" w:type="auto"/>
          </w:tcPr>
          <w:p w14:paraId="4B291D30"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C</w:t>
            </w:r>
            <w:r w:rsidRPr="00B50702">
              <w:rPr>
                <w:color w:val="000000" w:themeColor="text1"/>
                <w:sz w:val="15"/>
                <w:szCs w:val="15"/>
                <w:vertAlign w:val="subscript"/>
              </w:rPr>
              <w:t>18</w:t>
            </w:r>
            <w:r w:rsidRPr="00B50702">
              <w:rPr>
                <w:color w:val="000000" w:themeColor="text1"/>
                <w:sz w:val="15"/>
                <w:szCs w:val="15"/>
              </w:rPr>
              <w:t>H</w:t>
            </w:r>
            <w:r w:rsidRPr="00B50702">
              <w:rPr>
                <w:color w:val="000000" w:themeColor="text1"/>
                <w:sz w:val="15"/>
                <w:szCs w:val="15"/>
                <w:vertAlign w:val="subscript"/>
              </w:rPr>
              <w:t>18</w:t>
            </w:r>
            <w:r w:rsidRPr="00B50702">
              <w:rPr>
                <w:color w:val="000000" w:themeColor="text1"/>
                <w:sz w:val="15"/>
                <w:szCs w:val="15"/>
              </w:rPr>
              <w:t>N</w:t>
            </w:r>
            <w:r w:rsidRPr="00B50702">
              <w:rPr>
                <w:color w:val="000000" w:themeColor="text1"/>
                <w:sz w:val="15"/>
                <w:szCs w:val="15"/>
                <w:vertAlign w:val="subscript"/>
              </w:rPr>
              <w:t>4</w:t>
            </w:r>
          </w:p>
        </w:tc>
        <w:tc>
          <w:tcPr>
            <w:tcW w:w="0" w:type="auto"/>
          </w:tcPr>
          <w:p w14:paraId="035192C8"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51B49F80" wp14:editId="1957D036">
                  <wp:extent cx="576000" cy="462222"/>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76000" cy="462222"/>
                          </a:xfrm>
                          <a:prstGeom prst="rect">
                            <a:avLst/>
                          </a:prstGeom>
                          <a:noFill/>
                        </pic:spPr>
                      </pic:pic>
                    </a:graphicData>
                  </a:graphic>
                </wp:inline>
              </w:drawing>
            </w:r>
          </w:p>
        </w:tc>
        <w:tc>
          <w:tcPr>
            <w:tcW w:w="0" w:type="auto"/>
          </w:tcPr>
          <w:p w14:paraId="6B78BC0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16.71</w:t>
            </w:r>
          </w:p>
        </w:tc>
        <w:tc>
          <w:tcPr>
            <w:tcW w:w="0" w:type="auto"/>
          </w:tcPr>
          <w:p w14:paraId="11D31DD0"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5981-09-9</w:t>
            </w:r>
          </w:p>
        </w:tc>
      </w:tr>
      <w:tr w:rsidR="007E3433" w:rsidRPr="00B50702" w14:paraId="7F374968" w14:textId="77777777" w:rsidTr="003534D2">
        <w:trPr>
          <w:trHeight w:val="329"/>
          <w:jc w:val="center"/>
        </w:trPr>
        <w:tc>
          <w:tcPr>
            <w:tcW w:w="0" w:type="auto"/>
          </w:tcPr>
          <w:p w14:paraId="7BD89294"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Tris(4-</w:t>
            </w:r>
            <w:proofErr w:type="gramStart"/>
            <w:r w:rsidRPr="00B50702">
              <w:rPr>
                <w:b/>
                <w:bCs/>
                <w:sz w:val="15"/>
                <w:szCs w:val="15"/>
              </w:rPr>
              <w:t>formylphenyl)amine</w:t>
            </w:r>
            <w:proofErr w:type="gramEnd"/>
          </w:p>
          <w:p w14:paraId="3E7C2131"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color w:val="000000" w:themeColor="text1"/>
                <w:sz w:val="15"/>
                <w:szCs w:val="15"/>
              </w:rPr>
              <w:t>(TFPA)</w:t>
            </w:r>
            <w:r w:rsidRPr="00B50702">
              <w:rPr>
                <w:b/>
                <w:bCs/>
                <w:color w:val="000000" w:themeColor="text1"/>
                <w:sz w:val="15"/>
                <w:szCs w:val="15"/>
              </w:rPr>
              <w:fldChar w:fldCharType="begin"/>
            </w:r>
            <w:r w:rsidRPr="00B50702">
              <w:rPr>
                <w:b/>
                <w:bCs/>
                <w:color w:val="000000" w:themeColor="text1"/>
                <w:sz w:val="15"/>
                <w:szCs w:val="15"/>
              </w:rPr>
              <w:instrText xml:space="preserve"> ADDIN ZOTERO_ITEM CSL_CITATION {"citationID":"hptsov9J","properties":{"formattedCitation":"[14]","plainCitation":"[14]","noteIndex":0},"citationItems":[{"id":766,"uris":["http://zotero.org/users/14169885/items/WQ4Y4ICX"],"itemData":{"id":766,"type":"article-journal","abstract":"With the incresing development of nuclear power plants, the radioactive iodine produced from nuclear waste and nuclear accidents poses increasing threat to the human health and environment. The iodine adsorption behavior of the neutral flexible covalent organic skeleton has been somewhat studied, but to our knowledge, there are no reports of iodine capture by ionized flexible COFs. Herein, we apply a post-functionalization process to construct two cationic flexible COFs (iCOFs-AB-1 and iCOFs-AB-2) for the first time. The iCOFs-AB-1 and iCOFs-AB-2 exhibit I2 uptake capacities of 3.36 and 4.26 g g 1 at 77 ◦C, which are improved 1.19 and 1.14 times compared to that of neutral flexible COFs. The promotion of ionic groups on iodine adsorption and the iodine valence states adsorbed at diverse sites have identified by experiments. The adsorption mechanism studies show that the segregative bromide and iodide anions in iCOFs-AB-1 and iCOFs-AB-2 can induce molecular iodine to engender polyiodide anions, and the quaternary ammonium salt cations in iCOFs-AB-1 and iCOFs-AB-2 can come into being the Coulomb interaction force with the aforementioned polyiodide anions. This study demonstrates an efficient method to synthesize cationic flexible COFs and further use them as adsorbents for capturing iodine.","container-title":"Chemical Engineering Journal","DOI":"10.1016/j.cej.2023.148076","ISSN":"13858947","journalAbbreviation":"Chemical Engineering Journal","language":"en","note":"abstractTranslation: </w:instrText>
            </w:r>
            <w:r w:rsidRPr="00B50702">
              <w:rPr>
                <w:b/>
                <w:bCs/>
                <w:color w:val="000000" w:themeColor="text1"/>
                <w:sz w:val="15"/>
                <w:szCs w:val="15"/>
              </w:rPr>
              <w:instrText>随着核电站的不断发展，核废料和核事故产生的放射性碘对人类健康和环境的威胁越来越大。中性柔性共价有机骨架的碘吸附行为已经得到了一些研究，但据我们所知，还没有关于电离柔性</w:instrText>
            </w:r>
            <w:r w:rsidRPr="00B50702">
              <w:rPr>
                <w:b/>
                <w:bCs/>
                <w:color w:val="000000" w:themeColor="text1"/>
                <w:sz w:val="15"/>
                <w:szCs w:val="15"/>
              </w:rPr>
              <w:instrText>COF</w:instrText>
            </w:r>
            <w:r w:rsidRPr="00B50702">
              <w:rPr>
                <w:b/>
                <w:bCs/>
                <w:color w:val="000000" w:themeColor="text1"/>
                <w:sz w:val="15"/>
                <w:szCs w:val="15"/>
              </w:rPr>
              <w:instrText>捕获碘的报道。在此，我们首次应用后官能化过程构建了两种阳离子柔性</w:instrText>
            </w:r>
            <w:r w:rsidRPr="00B50702">
              <w:rPr>
                <w:b/>
                <w:bCs/>
                <w:color w:val="000000" w:themeColor="text1"/>
                <w:sz w:val="15"/>
                <w:szCs w:val="15"/>
              </w:rPr>
              <w:instrText>COF</w:instrText>
            </w:r>
            <w:r w:rsidRPr="00B50702">
              <w:rPr>
                <w:b/>
                <w:bCs/>
                <w:color w:val="000000" w:themeColor="text1"/>
                <w:sz w:val="15"/>
                <w:szCs w:val="15"/>
              </w:rPr>
              <w:instrText>（</w:instrText>
            </w:r>
            <w:r w:rsidRPr="00B50702">
              <w:rPr>
                <w:b/>
                <w:bCs/>
                <w:color w:val="000000" w:themeColor="text1"/>
                <w:sz w:val="15"/>
                <w:szCs w:val="15"/>
              </w:rPr>
              <w:instrText>iCOFs-AB-1</w:instrText>
            </w:r>
            <w:r w:rsidRPr="00B50702">
              <w:rPr>
                <w:b/>
                <w:bCs/>
                <w:color w:val="000000" w:themeColor="text1"/>
                <w:sz w:val="15"/>
                <w:szCs w:val="15"/>
              </w:rPr>
              <w:instrText>和</w:instrText>
            </w:r>
            <w:r w:rsidRPr="00B50702">
              <w:rPr>
                <w:b/>
                <w:bCs/>
                <w:color w:val="000000" w:themeColor="text1"/>
                <w:sz w:val="15"/>
                <w:szCs w:val="15"/>
              </w:rPr>
              <w:instrText>iCOFs-ABS-2</w:instrText>
            </w:r>
            <w:r w:rsidRPr="00B50702">
              <w:rPr>
                <w:b/>
                <w:bCs/>
                <w:color w:val="000000" w:themeColor="text1"/>
                <w:sz w:val="15"/>
                <w:szCs w:val="15"/>
              </w:rPr>
              <w:instrText>）。</w:instrText>
            </w:r>
            <w:r w:rsidRPr="00B50702">
              <w:rPr>
                <w:b/>
                <w:bCs/>
                <w:color w:val="000000" w:themeColor="text1"/>
                <w:sz w:val="15"/>
                <w:szCs w:val="15"/>
              </w:rPr>
              <w:instrText>iCOFs-AB-1</w:instrText>
            </w:r>
            <w:r w:rsidRPr="00B50702">
              <w:rPr>
                <w:b/>
                <w:bCs/>
                <w:color w:val="000000" w:themeColor="text1"/>
                <w:sz w:val="15"/>
                <w:szCs w:val="15"/>
              </w:rPr>
              <w:instrText>和</w:instrText>
            </w:r>
            <w:r w:rsidRPr="00B50702">
              <w:rPr>
                <w:b/>
                <w:bCs/>
                <w:color w:val="000000" w:themeColor="text1"/>
                <w:sz w:val="15"/>
                <w:szCs w:val="15"/>
              </w:rPr>
              <w:instrText>iCOFs-ABS-2</w:instrText>
            </w:r>
            <w:r w:rsidRPr="00B50702">
              <w:rPr>
                <w:b/>
                <w:bCs/>
                <w:color w:val="000000" w:themeColor="text1"/>
                <w:sz w:val="15"/>
                <w:szCs w:val="15"/>
              </w:rPr>
              <w:instrText>在</w:instrText>
            </w:r>
            <w:r w:rsidRPr="00B50702">
              <w:rPr>
                <w:b/>
                <w:bCs/>
                <w:color w:val="000000" w:themeColor="text1"/>
                <w:sz w:val="15"/>
                <w:szCs w:val="15"/>
              </w:rPr>
              <w:instrText>77℃</w:instrText>
            </w:r>
            <w:r w:rsidRPr="00B50702">
              <w:rPr>
                <w:b/>
                <w:bCs/>
                <w:color w:val="000000" w:themeColor="text1"/>
                <w:sz w:val="15"/>
                <w:szCs w:val="15"/>
              </w:rPr>
              <w:instrText>下的</w:instrText>
            </w:r>
            <w:r w:rsidRPr="00B50702">
              <w:rPr>
                <w:b/>
                <w:bCs/>
                <w:color w:val="000000" w:themeColor="text1"/>
                <w:sz w:val="15"/>
                <w:szCs w:val="15"/>
              </w:rPr>
              <w:instrText>I2</w:instrText>
            </w:r>
            <w:r w:rsidRPr="00B50702">
              <w:rPr>
                <w:b/>
                <w:bCs/>
                <w:color w:val="000000" w:themeColor="text1"/>
                <w:sz w:val="15"/>
                <w:szCs w:val="15"/>
              </w:rPr>
              <w:instrText>吸收能力分别为</w:instrText>
            </w:r>
            <w:r w:rsidRPr="00B50702">
              <w:rPr>
                <w:b/>
                <w:bCs/>
                <w:color w:val="000000" w:themeColor="text1"/>
                <w:sz w:val="15"/>
                <w:szCs w:val="15"/>
              </w:rPr>
              <w:instrText>3.36</w:instrText>
            </w:r>
            <w:r w:rsidRPr="00B50702">
              <w:rPr>
                <w:b/>
                <w:bCs/>
                <w:color w:val="000000" w:themeColor="text1"/>
                <w:sz w:val="15"/>
                <w:szCs w:val="15"/>
              </w:rPr>
              <w:instrText>和</w:instrText>
            </w:r>
            <w:r w:rsidRPr="00B50702">
              <w:rPr>
                <w:b/>
                <w:bCs/>
                <w:color w:val="000000" w:themeColor="text1"/>
                <w:sz w:val="15"/>
                <w:szCs w:val="15"/>
              </w:rPr>
              <w:instrText>4.26 g g g 1◦C</w:instrText>
            </w:r>
            <w:r w:rsidRPr="00B50702">
              <w:rPr>
                <w:b/>
                <w:bCs/>
                <w:color w:val="000000" w:themeColor="text1"/>
                <w:sz w:val="15"/>
                <w:szCs w:val="15"/>
              </w:rPr>
              <w:instrText>、</w:instrText>
            </w:r>
            <w:r w:rsidRPr="00B50702">
              <w:rPr>
                <w:b/>
                <w:bCs/>
                <w:color w:val="000000" w:themeColor="text1"/>
                <w:sz w:val="15"/>
                <w:szCs w:val="15"/>
              </w:rPr>
              <w:instrText xml:space="preserve"> </w:instrText>
            </w:r>
            <w:r w:rsidRPr="00B50702">
              <w:rPr>
                <w:b/>
                <w:bCs/>
                <w:color w:val="000000" w:themeColor="text1"/>
                <w:sz w:val="15"/>
                <w:szCs w:val="15"/>
              </w:rPr>
              <w:instrText>与中性柔性</w:instrText>
            </w:r>
            <w:r w:rsidRPr="00B50702">
              <w:rPr>
                <w:b/>
                <w:bCs/>
                <w:color w:val="000000" w:themeColor="text1"/>
                <w:sz w:val="15"/>
                <w:szCs w:val="15"/>
              </w:rPr>
              <w:instrText>COF</w:instrText>
            </w:r>
            <w:r w:rsidRPr="00B50702">
              <w:rPr>
                <w:b/>
                <w:bCs/>
                <w:color w:val="000000" w:themeColor="text1"/>
                <w:sz w:val="15"/>
                <w:szCs w:val="15"/>
              </w:rPr>
              <w:instrText>相比，分别提高了</w:instrText>
            </w:r>
            <w:r w:rsidRPr="00B50702">
              <w:rPr>
                <w:b/>
                <w:bCs/>
                <w:color w:val="000000" w:themeColor="text1"/>
                <w:sz w:val="15"/>
                <w:szCs w:val="15"/>
              </w:rPr>
              <w:instrText>1.19</w:instrText>
            </w:r>
            <w:r w:rsidRPr="00B50702">
              <w:rPr>
                <w:b/>
                <w:bCs/>
                <w:color w:val="000000" w:themeColor="text1"/>
                <w:sz w:val="15"/>
                <w:szCs w:val="15"/>
              </w:rPr>
              <w:instrText>倍和</w:instrText>
            </w:r>
            <w:r w:rsidRPr="00B50702">
              <w:rPr>
                <w:b/>
                <w:bCs/>
                <w:color w:val="000000" w:themeColor="text1"/>
                <w:sz w:val="15"/>
                <w:szCs w:val="15"/>
              </w:rPr>
              <w:instrText>1.14</w:instrText>
            </w:r>
            <w:r w:rsidRPr="00B50702">
              <w:rPr>
                <w:b/>
                <w:bCs/>
                <w:color w:val="000000" w:themeColor="text1"/>
                <w:sz w:val="15"/>
                <w:szCs w:val="15"/>
              </w:rPr>
              <w:instrText>倍。通过实验确定了离子基团对碘吸附的促进作用以及不同位置吸附的碘价态。吸附机理研究表明，</w:instrText>
            </w:r>
            <w:r w:rsidRPr="00B50702">
              <w:rPr>
                <w:b/>
                <w:bCs/>
                <w:color w:val="000000" w:themeColor="text1"/>
                <w:sz w:val="15"/>
                <w:szCs w:val="15"/>
              </w:rPr>
              <w:instrText>iCOFs-AB-1</w:instrText>
            </w:r>
            <w:r w:rsidRPr="00B50702">
              <w:rPr>
                <w:b/>
                <w:bCs/>
                <w:color w:val="000000" w:themeColor="text1"/>
                <w:sz w:val="15"/>
                <w:szCs w:val="15"/>
              </w:rPr>
              <w:instrText>和</w:instrText>
            </w:r>
            <w:r w:rsidRPr="00B50702">
              <w:rPr>
                <w:b/>
                <w:bCs/>
                <w:color w:val="000000" w:themeColor="text1"/>
                <w:sz w:val="15"/>
                <w:szCs w:val="15"/>
              </w:rPr>
              <w:instrText>iCOFs-ABS-2</w:instrText>
            </w:r>
            <w:r w:rsidRPr="00B50702">
              <w:rPr>
                <w:b/>
                <w:bCs/>
                <w:color w:val="000000" w:themeColor="text1"/>
                <w:sz w:val="15"/>
                <w:szCs w:val="15"/>
              </w:rPr>
              <w:instrText>中的分离溴和碘阴离子可以诱导分子碘产生多碘阴离子，</w:instrText>
            </w:r>
            <w:r w:rsidRPr="00B50702">
              <w:rPr>
                <w:b/>
                <w:bCs/>
                <w:color w:val="000000" w:themeColor="text1"/>
                <w:sz w:val="15"/>
                <w:szCs w:val="15"/>
              </w:rPr>
              <w:instrText>iCOFs-AB-1</w:instrText>
            </w:r>
            <w:r w:rsidRPr="00B50702">
              <w:rPr>
                <w:b/>
                <w:bCs/>
                <w:color w:val="000000" w:themeColor="text1"/>
                <w:sz w:val="15"/>
                <w:szCs w:val="15"/>
              </w:rPr>
              <w:instrText>和</w:instrText>
            </w:r>
            <w:r w:rsidRPr="00B50702">
              <w:rPr>
                <w:b/>
                <w:bCs/>
                <w:color w:val="000000" w:themeColor="text1"/>
                <w:sz w:val="15"/>
                <w:szCs w:val="15"/>
              </w:rPr>
              <w:instrText>iCOFs-AB-2</w:instrText>
            </w:r>
            <w:r w:rsidRPr="00B50702">
              <w:rPr>
                <w:b/>
                <w:bCs/>
                <w:color w:val="000000" w:themeColor="text1"/>
                <w:sz w:val="15"/>
                <w:szCs w:val="15"/>
              </w:rPr>
              <w:instrText>中的季铵盐阳离子可以与上述多碘阴离子形成库仑相互作用力。本研究展示了一种合成阳离子柔性</w:instrText>
            </w:r>
            <w:r w:rsidRPr="00B50702">
              <w:rPr>
                <w:b/>
                <w:bCs/>
                <w:color w:val="000000" w:themeColor="text1"/>
                <w:sz w:val="15"/>
                <w:szCs w:val="15"/>
              </w:rPr>
              <w:instrText>COF</w:instrText>
            </w:r>
            <w:r w:rsidRPr="00B50702">
              <w:rPr>
                <w:b/>
                <w:bCs/>
                <w:color w:val="000000" w:themeColor="text1"/>
                <w:sz w:val="15"/>
                <w:szCs w:val="15"/>
              </w:rPr>
              <w:instrText>的有效方法，并进一步将其用作捕获碘的吸附剂。</w:instrText>
            </w:r>
            <w:r w:rsidRPr="00B50702">
              <w:rPr>
                <w:b/>
                <w:bCs/>
                <w:color w:val="000000" w:themeColor="text1"/>
                <w:sz w:val="15"/>
                <w:szCs w:val="15"/>
              </w:rPr>
              <w:instrText xml:space="preserve">\ntitleTranslation: </w:instrText>
            </w:r>
            <w:r w:rsidRPr="00B50702">
              <w:rPr>
                <w:b/>
                <w:bCs/>
                <w:color w:val="000000" w:themeColor="text1"/>
                <w:sz w:val="15"/>
                <w:szCs w:val="15"/>
              </w:rPr>
              <w:instrText>通过后官能化构建阳离子柔性共价有机框架以提高碘吸附能力</w:instrText>
            </w:r>
            <w:r w:rsidRPr="00B50702">
              <w:rPr>
                <w:b/>
                <w:bCs/>
                <w:color w:val="000000" w:themeColor="text1"/>
                <w:sz w:val="15"/>
                <w:szCs w:val="15"/>
              </w:rPr>
              <w:instrText xml:space="preserve">","page":"148076","source":"DOI.org (Crossref)","title":"Constructing cationic flexible covalent organic frameworks through post-functionalization for enhancing the iodine adsorption capacity","volume":"480","author":[{"family":"Ren","given":"Li-Ying"},{"family":"Geng","given":"Tong-Mou"}],"issued":{"date-parts":[["2024",1]]}}}],"schema":"https://github.com/citation-style-language/schema/raw/master/csl-citation.json"} </w:instrText>
            </w:r>
            <w:r w:rsidRPr="00B50702">
              <w:rPr>
                <w:b/>
                <w:bCs/>
                <w:color w:val="000000" w:themeColor="text1"/>
                <w:sz w:val="15"/>
                <w:szCs w:val="15"/>
              </w:rPr>
              <w:fldChar w:fldCharType="separate"/>
            </w:r>
            <w:r w:rsidRPr="00B50702">
              <w:rPr>
                <w:sz w:val="15"/>
              </w:rPr>
              <w:t>[14]</w:t>
            </w:r>
            <w:r w:rsidRPr="00B50702">
              <w:rPr>
                <w:b/>
                <w:bCs/>
                <w:color w:val="000000" w:themeColor="text1"/>
                <w:sz w:val="15"/>
                <w:szCs w:val="15"/>
              </w:rPr>
              <w:fldChar w:fldCharType="end"/>
            </w:r>
          </w:p>
        </w:tc>
        <w:tc>
          <w:tcPr>
            <w:tcW w:w="0" w:type="auto"/>
          </w:tcPr>
          <w:p w14:paraId="3B121E28"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C</w:t>
            </w:r>
            <w:r w:rsidRPr="00B50702">
              <w:rPr>
                <w:color w:val="000000" w:themeColor="text1"/>
                <w:sz w:val="15"/>
                <w:szCs w:val="15"/>
                <w:vertAlign w:val="subscript"/>
              </w:rPr>
              <w:t>21</w:t>
            </w:r>
            <w:r w:rsidRPr="00B50702">
              <w:rPr>
                <w:color w:val="000000" w:themeColor="text1"/>
                <w:sz w:val="15"/>
                <w:szCs w:val="15"/>
              </w:rPr>
              <w:t>H</w:t>
            </w:r>
            <w:r w:rsidRPr="00B50702">
              <w:rPr>
                <w:color w:val="000000" w:themeColor="text1"/>
                <w:sz w:val="15"/>
                <w:szCs w:val="15"/>
                <w:vertAlign w:val="subscript"/>
              </w:rPr>
              <w:t>15</w:t>
            </w:r>
            <w:r w:rsidRPr="00B50702">
              <w:rPr>
                <w:color w:val="000000" w:themeColor="text1"/>
                <w:sz w:val="15"/>
                <w:szCs w:val="15"/>
              </w:rPr>
              <w:t>NO</w:t>
            </w:r>
            <w:r w:rsidRPr="00B50702">
              <w:rPr>
                <w:color w:val="000000" w:themeColor="text1"/>
                <w:sz w:val="15"/>
                <w:szCs w:val="15"/>
                <w:vertAlign w:val="subscript"/>
              </w:rPr>
              <w:t>3</w:t>
            </w:r>
          </w:p>
        </w:tc>
        <w:tc>
          <w:tcPr>
            <w:tcW w:w="0" w:type="auto"/>
          </w:tcPr>
          <w:p w14:paraId="411BB7B4"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58DB71DF" wp14:editId="75AC5213">
                  <wp:extent cx="576000" cy="43200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 cy="432000"/>
                          </a:xfrm>
                          <a:prstGeom prst="rect">
                            <a:avLst/>
                          </a:prstGeom>
                          <a:noFill/>
                        </pic:spPr>
                      </pic:pic>
                    </a:graphicData>
                  </a:graphic>
                </wp:inline>
              </w:drawing>
            </w:r>
          </w:p>
        </w:tc>
        <w:tc>
          <w:tcPr>
            <w:tcW w:w="0" w:type="auto"/>
          </w:tcPr>
          <w:p w14:paraId="5F633FB1"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63.35</w:t>
            </w:r>
          </w:p>
        </w:tc>
        <w:tc>
          <w:tcPr>
            <w:tcW w:w="0" w:type="auto"/>
          </w:tcPr>
          <w:p w14:paraId="7D8F5831"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119001-43-3</w:t>
            </w:r>
          </w:p>
        </w:tc>
      </w:tr>
      <w:tr w:rsidR="007E3433" w:rsidRPr="00B50702" w14:paraId="7AC1A9D0" w14:textId="77777777" w:rsidTr="003534D2">
        <w:trPr>
          <w:trHeight w:val="329"/>
          <w:jc w:val="center"/>
        </w:trPr>
        <w:tc>
          <w:tcPr>
            <w:tcW w:w="0" w:type="auto"/>
          </w:tcPr>
          <w:p w14:paraId="0708137F"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1,3,5-Benzenetricarboxaldehyde</w:t>
            </w:r>
          </w:p>
          <w:p w14:paraId="5BE0943A" w14:textId="77777777" w:rsidR="007E3433" w:rsidRPr="00B50702" w:rsidRDefault="007E3433" w:rsidP="003534D2">
            <w:pPr>
              <w:tabs>
                <w:tab w:val="left" w:pos="426"/>
              </w:tabs>
              <w:autoSpaceDE w:val="0"/>
              <w:autoSpaceDN w:val="0"/>
              <w:adjustRightInd w:val="0"/>
              <w:ind w:firstLineChars="0" w:firstLine="0"/>
              <w:rPr>
                <w:b/>
                <w:bCs/>
                <w:color w:val="000000" w:themeColor="text1"/>
                <w:sz w:val="15"/>
                <w:szCs w:val="15"/>
              </w:rPr>
            </w:pPr>
            <w:r w:rsidRPr="00B50702">
              <w:rPr>
                <w:b/>
                <w:bCs/>
                <w:sz w:val="15"/>
                <w:szCs w:val="15"/>
              </w:rPr>
              <w:t>(Tb)</w:t>
            </w:r>
            <w:r w:rsidRPr="00B50702">
              <w:rPr>
                <w:b/>
                <w:bCs/>
                <w:sz w:val="15"/>
                <w:szCs w:val="15"/>
              </w:rPr>
              <w:fldChar w:fldCharType="begin"/>
            </w:r>
            <w:r w:rsidRPr="00B50702">
              <w:rPr>
                <w:b/>
                <w:bCs/>
                <w:sz w:val="15"/>
                <w:szCs w:val="15"/>
              </w:rPr>
              <w:instrText xml:space="preserve"> ADDIN ZOTERO_ITEM CSL_CITATION {"citationID":"QzaC8KW2","properties":{"formattedCitation":"[15]","plainCitation":"[15]","noteIndex":0},"citationItems":[{"id":970,"uris":["http://zotero.org/users/14169885/items/MM9YNXTQ"],"itemData":{"id":970,"type":"article-journal","abstract":"Radioactive iodine is one of the main substances existed in nuclear wastes. It can quickly diffuse into the atmosphere causing great harm to environment and human health. Therefore, how to capture radioactive iodine efficiently has become a research hotspot. Herein, a covalent organic framework (COF) material (COF-1) has been synthesized by aldimine condensation reaction using the 1,3,5-triazine structure compound and isophthalaldehyde as starting materials. The nitrogen-rich COF-1 possesses medium specific surface area (321.78 m2/g), a pore diameter of 1.98 nm and relatively regular layered stack structure, which provide good conditions for iodine adsorption ability. The maximum iodine uptake of COF-1 is 2647 mg/g, which is higher than most iodine adsorbents reported. Subsequently, the release of iodine can be achieved in methanol indicating the iodine adsorption of COF-1 is a reversible process. It is also shown that COF-1 can be recycled. These characteristics maybe make COF-1 materials as a good iodine capturer in practical applications.","container-title":"HETEROCYCLES","DOI":"10.3987/COM-21-14463","ISSN":"0385-5414","issue":"7","journalAbbreviation":"HETEROCYCLES","language":"en","page":"1395","source":"DOI.org (Crossref)","title":"Synthesis of One Covalent Organic Framework (COF) Based on C=N Bonds and Its Excellent Performance of Iodine Adsorption","volume":"102","author":[{"family":"Duan","given":"Zhongyu"},{"family":"Zhang","given":"Yingbin"},{"family":"Li","given":"Limei"},{"family":"Wang","given":"Meige"}],"issued":{"date-parts":[["2021"]]}}}],"schema":"https://github.com/citation-style-language/schema/raw/master/csl-citation.json"} </w:instrText>
            </w:r>
            <w:r w:rsidRPr="00B50702">
              <w:rPr>
                <w:b/>
                <w:bCs/>
                <w:sz w:val="15"/>
                <w:szCs w:val="15"/>
              </w:rPr>
              <w:fldChar w:fldCharType="separate"/>
            </w:r>
            <w:r w:rsidRPr="00B50702">
              <w:rPr>
                <w:sz w:val="15"/>
              </w:rPr>
              <w:t>[15]</w:t>
            </w:r>
            <w:r w:rsidRPr="00B50702">
              <w:rPr>
                <w:b/>
                <w:bCs/>
                <w:sz w:val="15"/>
                <w:szCs w:val="15"/>
              </w:rPr>
              <w:fldChar w:fldCharType="end"/>
            </w:r>
          </w:p>
        </w:tc>
        <w:tc>
          <w:tcPr>
            <w:tcW w:w="0" w:type="auto"/>
          </w:tcPr>
          <w:p w14:paraId="51A34B89"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C</w:t>
            </w:r>
            <w:r w:rsidRPr="00B50702">
              <w:rPr>
                <w:color w:val="000000" w:themeColor="text1"/>
                <w:sz w:val="15"/>
                <w:szCs w:val="15"/>
                <w:vertAlign w:val="subscript"/>
              </w:rPr>
              <w:t>9</w:t>
            </w:r>
            <w:r w:rsidRPr="00B50702">
              <w:rPr>
                <w:color w:val="000000" w:themeColor="text1"/>
                <w:sz w:val="15"/>
                <w:szCs w:val="15"/>
              </w:rPr>
              <w:t>H</w:t>
            </w:r>
            <w:r w:rsidRPr="00B50702">
              <w:rPr>
                <w:color w:val="000000" w:themeColor="text1"/>
                <w:sz w:val="15"/>
                <w:szCs w:val="15"/>
                <w:vertAlign w:val="subscript"/>
              </w:rPr>
              <w:t>6</w:t>
            </w:r>
            <w:r w:rsidRPr="00B50702">
              <w:rPr>
                <w:color w:val="000000" w:themeColor="text1"/>
                <w:sz w:val="15"/>
                <w:szCs w:val="15"/>
              </w:rPr>
              <w:t>O</w:t>
            </w:r>
            <w:r w:rsidRPr="00B50702">
              <w:rPr>
                <w:color w:val="000000" w:themeColor="text1"/>
                <w:sz w:val="15"/>
                <w:szCs w:val="15"/>
                <w:vertAlign w:val="subscript"/>
              </w:rPr>
              <w:t>3</w:t>
            </w:r>
          </w:p>
        </w:tc>
        <w:tc>
          <w:tcPr>
            <w:tcW w:w="0" w:type="auto"/>
          </w:tcPr>
          <w:p w14:paraId="0095B824"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6ED5897A" wp14:editId="110800CA">
                  <wp:extent cx="576000" cy="394378"/>
                  <wp:effectExtent l="0" t="0" r="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 cy="394378"/>
                          </a:xfrm>
                          <a:prstGeom prst="rect">
                            <a:avLst/>
                          </a:prstGeom>
                          <a:noFill/>
                        </pic:spPr>
                      </pic:pic>
                    </a:graphicData>
                  </a:graphic>
                </wp:inline>
              </w:drawing>
            </w:r>
          </w:p>
        </w:tc>
        <w:tc>
          <w:tcPr>
            <w:tcW w:w="0" w:type="auto"/>
          </w:tcPr>
          <w:p w14:paraId="0AC5E9B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54.30</w:t>
            </w:r>
          </w:p>
        </w:tc>
        <w:tc>
          <w:tcPr>
            <w:tcW w:w="0" w:type="auto"/>
          </w:tcPr>
          <w:p w14:paraId="65A4B507"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3163-76-6</w:t>
            </w:r>
          </w:p>
        </w:tc>
      </w:tr>
      <w:tr w:rsidR="007E3433" w:rsidRPr="00B50702" w14:paraId="255A6204" w14:textId="77777777" w:rsidTr="003534D2">
        <w:trPr>
          <w:trHeight w:val="329"/>
          <w:jc w:val="center"/>
        </w:trPr>
        <w:tc>
          <w:tcPr>
            <w:tcW w:w="0" w:type="auto"/>
          </w:tcPr>
          <w:p w14:paraId="729C9808"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2,5-Dimethoxy-1,4-benzenedicarboxaldehyde</w:t>
            </w:r>
          </w:p>
          <w:p w14:paraId="7C815454"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(DMTP)</w:t>
            </w:r>
            <w:r w:rsidRPr="00B50702">
              <w:rPr>
                <w:b/>
                <w:bCs/>
                <w:sz w:val="15"/>
                <w:szCs w:val="15"/>
              </w:rPr>
              <w:fldChar w:fldCharType="begin"/>
            </w:r>
            <w:r w:rsidRPr="00B50702">
              <w:rPr>
                <w:b/>
                <w:bCs/>
                <w:sz w:val="15"/>
                <w:szCs w:val="15"/>
              </w:rPr>
              <w:instrText xml:space="preserve"> ADDIN ZOTERO_ITEM CSL_CITATION {"citationID":"La6zWJc8","properties":{"formattedCitation":"[16]","plainCitation":"[16]","noteIndex":0},"citationItems":[{"id":272,"uris":["http://zotero.org/users/14169885/items/SIAYCMS8"],"itemData":{"id":272,"type":"article-journal","abstract":"Abstract\n            Progress in chemistry over the past four decades has generated a variety of porous materials for removing iodine—a radioactive emission accompanying nuclear fission. However, most studies are still based on the notion that entangled pores together with specific binding sites are essential for iodine capture. Here, an unraveled physical picture of iodine capture that overturns the preconception by exploring 1D channeled porous materials is disclosed. 2D covalent organic frameworks are constructed in a way so that they are free of interpenetration and binding sites but consist of 1D open channels. As verified with different channels shaping from hexagonal to tetragonal and trigonal and ranging from micropores to mesopores, all the 1D channels enable a full access to iodine, generalizing a new paradigm that the pore volume determines the uptake capacity. These results are of fundamental importance to understanding iodine uptake and designing materials to treat coagulative toxic vapors.","container-title":"Advanced Materials","DOI":"10.1002/adma.201801991","ISSN":"0935-9648, 1521-4095","issue":"29","journalAbbreviation":"Advanced Materials","language":"en","note":"titleTranslation: 2d</w:instrText>
            </w:r>
            <w:r w:rsidRPr="00B50702">
              <w:rPr>
                <w:b/>
                <w:bCs/>
                <w:sz w:val="15"/>
                <w:szCs w:val="15"/>
              </w:rPr>
              <w:instrText>共价有机框架中异常的碘捕获</w:instrText>
            </w:r>
            <w:r w:rsidRPr="00B50702">
              <w:rPr>
                <w:b/>
                <w:bCs/>
                <w:sz w:val="15"/>
                <w:szCs w:val="15"/>
              </w:rPr>
              <w:instrText xml:space="preserve">\nabstractTranslation: </w:instrText>
            </w:r>
            <w:r w:rsidRPr="00B50702">
              <w:rPr>
                <w:b/>
                <w:bCs/>
                <w:sz w:val="15"/>
                <w:szCs w:val="15"/>
              </w:rPr>
              <w:instrText>摘要</w:instrText>
            </w:r>
            <w:r w:rsidRPr="00B50702">
              <w:rPr>
                <w:b/>
                <w:bCs/>
                <w:sz w:val="15"/>
                <w:szCs w:val="15"/>
              </w:rPr>
              <w:instrText xml:space="preserve"> </w:instrText>
            </w:r>
            <w:r w:rsidRPr="00B50702">
              <w:rPr>
                <w:b/>
                <w:bCs/>
                <w:sz w:val="15"/>
                <w:szCs w:val="15"/>
              </w:rPr>
              <w:instrText>过去四十年来化学的进步已经产生了各种多孔材料来去除碘</w:instrText>
            </w:r>
            <w:r w:rsidRPr="00B50702">
              <w:rPr>
                <w:b/>
                <w:bCs/>
                <w:sz w:val="15"/>
                <w:szCs w:val="15"/>
              </w:rPr>
              <w:instrText>——</w:instrText>
            </w:r>
            <w:r w:rsidRPr="00B50702">
              <w:rPr>
                <w:b/>
                <w:bCs/>
                <w:sz w:val="15"/>
                <w:szCs w:val="15"/>
              </w:rPr>
              <w:instrText>碘是伴随核裂变的放射性排放。然而，大多数研究仍然基于这样一种观念，即缠结的孔隙和特定的结合位点对于碘捕获至关重要。在这里，揭示了碘捕获的解开物理图景，通过探索一维通道多孔材料推翻了先入之见。二维共价有机框架的构造方式使其没有相互渗透和结合位点，但由一维开放通道组成。正如从六边形到四方形和三角形以及从微孔到中孔的不同通道所验证的那样，所有一维通道都可以完全获取碘，从而概括了孔体积决定摄取能力的新范式。这些结果对于了解碘的吸收和设计处理凝血性有毒蒸气的材料具有至关重要的意义。</w:instrText>
            </w:r>
            <w:r w:rsidRPr="00B50702">
              <w:rPr>
                <w:b/>
                <w:bCs/>
                <w:sz w:val="15"/>
                <w:szCs w:val="15"/>
              </w:rPr>
              <w:instrText xml:space="preserve">","page":"1801991","source":"DOI.org (Crossref)","title":"Exceptional Iodine Capture in 2D Covalent Organic Frameworks","volume":"30","author":[{"family":"Wang","given":"Ping"},{"family":"Xu","given":"Qing"},{"family":"Li","given":"Zhongping"},{"family":"Jiang","given":"Weiming"},{"family":"Jiang","given":"Qiuhong"},{"family":"Jiang","given":"Donglin"}],"issued":{"date-parts":[["2018",7]]}}}],"schema":"https://github.com/citation-style-language/schema/raw/master/csl-citation.json"} </w:instrText>
            </w:r>
            <w:r w:rsidRPr="00B50702">
              <w:rPr>
                <w:b/>
                <w:bCs/>
                <w:sz w:val="15"/>
                <w:szCs w:val="15"/>
              </w:rPr>
              <w:fldChar w:fldCharType="separate"/>
            </w:r>
            <w:r w:rsidRPr="00B50702">
              <w:rPr>
                <w:sz w:val="15"/>
              </w:rPr>
              <w:t>[16]</w:t>
            </w:r>
            <w:r w:rsidRPr="00B50702">
              <w:rPr>
                <w:b/>
                <w:bCs/>
                <w:sz w:val="15"/>
                <w:szCs w:val="15"/>
              </w:rPr>
              <w:fldChar w:fldCharType="end"/>
            </w:r>
          </w:p>
        </w:tc>
        <w:tc>
          <w:tcPr>
            <w:tcW w:w="0" w:type="auto"/>
          </w:tcPr>
          <w:p w14:paraId="088D0A3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sz w:val="15"/>
                <w:szCs w:val="15"/>
              </w:rPr>
              <w:t>C</w:t>
            </w:r>
            <w:r w:rsidRPr="00B50702">
              <w:rPr>
                <w:sz w:val="15"/>
                <w:szCs w:val="15"/>
                <w:vertAlign w:val="subscript"/>
              </w:rPr>
              <w:t>10</w:t>
            </w:r>
            <w:r w:rsidRPr="00B50702">
              <w:rPr>
                <w:sz w:val="15"/>
                <w:szCs w:val="15"/>
              </w:rPr>
              <w:t>H</w:t>
            </w:r>
            <w:r w:rsidRPr="00B50702">
              <w:rPr>
                <w:sz w:val="15"/>
                <w:szCs w:val="15"/>
                <w:vertAlign w:val="subscript"/>
              </w:rPr>
              <w:t>10</w:t>
            </w:r>
            <w:r w:rsidRPr="00B50702">
              <w:rPr>
                <w:sz w:val="15"/>
                <w:szCs w:val="15"/>
              </w:rPr>
              <w:t>O</w:t>
            </w:r>
            <w:r w:rsidRPr="00B50702">
              <w:rPr>
                <w:sz w:val="15"/>
                <w:szCs w:val="15"/>
                <w:vertAlign w:val="subscript"/>
              </w:rPr>
              <w:t>4</w:t>
            </w:r>
          </w:p>
        </w:tc>
        <w:tc>
          <w:tcPr>
            <w:tcW w:w="0" w:type="auto"/>
          </w:tcPr>
          <w:p w14:paraId="25CE730B"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7B12F569" wp14:editId="215DA78B">
                  <wp:extent cx="576000" cy="2542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254270"/>
                          </a:xfrm>
                          <a:prstGeom prst="rect">
                            <a:avLst/>
                          </a:prstGeom>
                          <a:noFill/>
                        </pic:spPr>
                      </pic:pic>
                    </a:graphicData>
                  </a:graphic>
                </wp:inline>
              </w:drawing>
            </w:r>
          </w:p>
        </w:tc>
        <w:tc>
          <w:tcPr>
            <w:tcW w:w="0" w:type="auto"/>
          </w:tcPr>
          <w:p w14:paraId="7C203F44"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64.61</w:t>
            </w:r>
          </w:p>
        </w:tc>
        <w:tc>
          <w:tcPr>
            <w:tcW w:w="0" w:type="auto"/>
          </w:tcPr>
          <w:p w14:paraId="7C27FE79"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7310-97-6</w:t>
            </w:r>
          </w:p>
        </w:tc>
      </w:tr>
      <w:tr w:rsidR="007E3433" w:rsidRPr="00B50702" w14:paraId="660EBC3A" w14:textId="77777777" w:rsidTr="003534D2">
        <w:trPr>
          <w:trHeight w:val="329"/>
          <w:jc w:val="center"/>
        </w:trPr>
        <w:tc>
          <w:tcPr>
            <w:tcW w:w="0" w:type="auto"/>
          </w:tcPr>
          <w:p w14:paraId="176F0940"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Tetraphenylporphyrin</w:t>
            </w:r>
          </w:p>
          <w:p w14:paraId="19C28EE7"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w:t>
            </w:r>
            <w:bookmarkStart w:id="7" w:name="OLE_LINK1"/>
            <w:r w:rsidRPr="00B50702">
              <w:rPr>
                <w:b/>
                <w:bCs/>
                <w:sz w:val="15"/>
                <w:szCs w:val="15"/>
              </w:rPr>
              <w:t>TPP</w:t>
            </w:r>
            <w:bookmarkEnd w:id="7"/>
            <w:r w:rsidRPr="00B50702">
              <w:rPr>
                <w:b/>
                <w:bCs/>
                <w:sz w:val="15"/>
                <w:szCs w:val="15"/>
              </w:rPr>
              <w:t>)</w:t>
            </w:r>
            <w:r w:rsidRPr="00B50702">
              <w:rPr>
                <w:b/>
                <w:bCs/>
                <w:sz w:val="15"/>
                <w:szCs w:val="15"/>
              </w:rPr>
              <w:fldChar w:fldCharType="begin"/>
            </w:r>
            <w:r w:rsidRPr="00B50702">
              <w:rPr>
                <w:b/>
                <w:bCs/>
                <w:sz w:val="15"/>
                <w:szCs w:val="15"/>
              </w:rPr>
              <w:instrText xml:space="preserve"> ADDIN ZOTERO_ITEM CSL_CITATION {"citationID":"HCAgsjhU","properties":{"formattedCitation":"[17]","plainCitation":"[17]","noteIndex":0},"citationItems":[{"id":280,"uris":["http://zotero.org/users/14169885/items/ALDTIN78"],"itemData":{"id":280,"type":"article-journal","abstract":"Abstract\n            We report a highly efficient iodine adsorbent achieved by rational design of a porous azo‐bridged porphyrin–phthalocyanine network (AzoPPN), which was synthesized by a catalyst‐free coupling reaction between free‐base 5,10,15,20‐tetrakis(4‐nitrophenyl)‐porphyrin and nickel tetraaminophthlocyanine. AzoPPN has a permanent porous structure and plenty of porphyrin and phthalocyanine units in the skeleton as effective sorption sites. It displays excellent adsorption of iodine vapor up to 290 wt. % and also shows remarkable capability as adsorbent for iodine in solution. This strategy of combining physisorption with chemisorption in one adsorbent will pave the way for the development of new materials for iodine capture.","container-title":"Chemistry – A European Journal","DOI":"10.1002/chem.201602337","ISSN":"0947-6539, 1521-3765","issue":"33","journalAbbreviation":"Chemistry A European J","language":"en","license":"http://onlinelibrary.wiley.com/termsAndConditions#vor","note":"titleTranslation: </w:instrText>
            </w:r>
            <w:r w:rsidRPr="00B50702">
              <w:rPr>
                <w:b/>
                <w:bCs/>
                <w:sz w:val="15"/>
                <w:szCs w:val="15"/>
              </w:rPr>
              <w:instrText>具有高碘捕获能力的多孔偶氮桥联卟啉</w:instrText>
            </w:r>
            <w:r w:rsidRPr="00B50702">
              <w:rPr>
                <w:b/>
                <w:bCs/>
                <w:sz w:val="15"/>
                <w:szCs w:val="15"/>
              </w:rPr>
              <w:instrText>-</w:instrText>
            </w:r>
            <w:r w:rsidRPr="00B50702">
              <w:rPr>
                <w:b/>
                <w:bCs/>
                <w:sz w:val="15"/>
                <w:szCs w:val="15"/>
              </w:rPr>
              <w:instrText>酞菁网络</w:instrText>
            </w:r>
            <w:r w:rsidRPr="00B50702">
              <w:rPr>
                <w:b/>
                <w:bCs/>
                <w:sz w:val="15"/>
                <w:szCs w:val="15"/>
              </w:rPr>
              <w:instrText xml:space="preserve">\nabstractTranslation: </w:instrText>
            </w:r>
            <w:r w:rsidRPr="00B50702">
              <w:rPr>
                <w:b/>
                <w:bCs/>
                <w:sz w:val="15"/>
                <w:szCs w:val="15"/>
              </w:rPr>
              <w:instrText>摘要</w:instrText>
            </w:r>
            <w:r w:rsidRPr="00B50702">
              <w:rPr>
                <w:b/>
                <w:bCs/>
                <w:sz w:val="15"/>
                <w:szCs w:val="15"/>
              </w:rPr>
              <w:instrText xml:space="preserve"> </w:instrText>
            </w:r>
            <w:r w:rsidRPr="00B50702">
              <w:rPr>
                <w:b/>
                <w:bCs/>
                <w:sz w:val="15"/>
                <w:szCs w:val="15"/>
              </w:rPr>
              <w:instrText>本文报道了通过游离碱</w:instrText>
            </w:r>
            <w:r w:rsidRPr="00B50702">
              <w:rPr>
                <w:b/>
                <w:bCs/>
                <w:sz w:val="15"/>
                <w:szCs w:val="15"/>
              </w:rPr>
              <w:instrText>5,10,15,20-</w:instrText>
            </w:r>
            <w:r w:rsidRPr="00B50702">
              <w:rPr>
                <w:b/>
                <w:bCs/>
                <w:sz w:val="15"/>
                <w:szCs w:val="15"/>
              </w:rPr>
              <w:instrText>四（</w:instrText>
            </w:r>
            <w:r w:rsidRPr="00B50702">
              <w:rPr>
                <w:b/>
                <w:bCs/>
                <w:sz w:val="15"/>
                <w:szCs w:val="15"/>
              </w:rPr>
              <w:instrText>4-</w:instrText>
            </w:r>
            <w:r w:rsidRPr="00B50702">
              <w:rPr>
                <w:b/>
                <w:bCs/>
                <w:sz w:val="15"/>
                <w:szCs w:val="15"/>
              </w:rPr>
              <w:instrText>硝基苯基）</w:instrText>
            </w:r>
            <w:r w:rsidRPr="00B50702">
              <w:rPr>
                <w:b/>
                <w:bCs/>
                <w:sz w:val="15"/>
                <w:szCs w:val="15"/>
              </w:rPr>
              <w:instrText>-</w:instrText>
            </w:r>
            <w:r w:rsidRPr="00B50702">
              <w:rPr>
                <w:b/>
                <w:bCs/>
                <w:sz w:val="15"/>
                <w:szCs w:val="15"/>
              </w:rPr>
              <w:instrText>卟啉与镍四氨基苯菁之间的无催化剂偶联反应，合理设计多孔偶氮桥卟啉</w:instrText>
            </w:r>
            <w:r w:rsidRPr="00B50702">
              <w:rPr>
                <w:b/>
                <w:bCs/>
                <w:sz w:val="15"/>
                <w:szCs w:val="15"/>
              </w:rPr>
              <w:instrText>-</w:instrText>
            </w:r>
            <w:r w:rsidRPr="00B50702">
              <w:rPr>
                <w:b/>
                <w:bCs/>
                <w:sz w:val="15"/>
                <w:szCs w:val="15"/>
              </w:rPr>
              <w:instrText>酞菁网络（</w:instrText>
            </w:r>
            <w:r w:rsidRPr="00B50702">
              <w:rPr>
                <w:b/>
                <w:bCs/>
                <w:sz w:val="15"/>
                <w:szCs w:val="15"/>
              </w:rPr>
              <w:instrText>AzoPPN</w:instrText>
            </w:r>
            <w:r w:rsidRPr="00B50702">
              <w:rPr>
                <w:b/>
                <w:bCs/>
                <w:sz w:val="15"/>
                <w:szCs w:val="15"/>
              </w:rPr>
              <w:instrText>）实现了一种高效的碘吸附剂。偶氮</w:instrText>
            </w:r>
            <w:r w:rsidRPr="00B50702">
              <w:rPr>
                <w:b/>
                <w:bCs/>
                <w:sz w:val="15"/>
                <w:szCs w:val="15"/>
              </w:rPr>
              <w:instrText>PPN</w:instrText>
            </w:r>
            <w:r w:rsidRPr="00B50702">
              <w:rPr>
                <w:b/>
                <w:bCs/>
                <w:sz w:val="15"/>
                <w:szCs w:val="15"/>
              </w:rPr>
              <w:instrText>具有永久性的多孔结构，骨架中有大量的卟啉和酞菁单元作为有效的吸附位点。它对碘蒸气的吸附能力高达</w:instrText>
            </w:r>
            <w:r w:rsidRPr="00B50702">
              <w:rPr>
                <w:b/>
                <w:bCs/>
                <w:sz w:val="15"/>
                <w:szCs w:val="15"/>
              </w:rPr>
              <w:instrText xml:space="preserve"> 290 wt.%</w:instrText>
            </w:r>
            <w:r w:rsidRPr="00B50702">
              <w:rPr>
                <w:b/>
                <w:bCs/>
                <w:sz w:val="15"/>
                <w:szCs w:val="15"/>
              </w:rPr>
              <w:instrText>，并且作为溶液中碘的吸附剂也表现出卓越的能力。这种将物理吸附与化学吸附结合在一种吸附剂中的策略将为开发用于碘捕获的新材料铺平道路。</w:instrText>
            </w:r>
            <w:r w:rsidRPr="00B50702">
              <w:rPr>
                <w:b/>
                <w:bCs/>
                <w:sz w:val="15"/>
                <w:szCs w:val="15"/>
              </w:rPr>
              <w:instrText xml:space="preserve">","page":"11863-11868","source":"DOI.org (Crossref)","title":"Porous Azo‐Bridged Porphyrin–Phthalocyanine Network with High Iodine Capture Capability","volume":"22","author":[{"family":"Li","given":"Hui"},{"family":"Ding","given":"Xuesong"},{"family":"Han","given":"Bao‐Hang"}],"issued":{"date-parts":[["2016",8,8]]}}}],"schema":"https://github.com/citation-style-language/schema/raw/master/csl-citation.json"} </w:instrText>
            </w:r>
            <w:r w:rsidRPr="00B50702">
              <w:rPr>
                <w:b/>
                <w:bCs/>
                <w:sz w:val="15"/>
                <w:szCs w:val="15"/>
              </w:rPr>
              <w:fldChar w:fldCharType="separate"/>
            </w:r>
            <w:r w:rsidRPr="00B50702">
              <w:rPr>
                <w:sz w:val="15"/>
              </w:rPr>
              <w:t>[17]</w:t>
            </w:r>
            <w:r w:rsidRPr="00B50702">
              <w:rPr>
                <w:b/>
                <w:bCs/>
                <w:sz w:val="15"/>
                <w:szCs w:val="15"/>
              </w:rPr>
              <w:fldChar w:fldCharType="end"/>
            </w:r>
          </w:p>
        </w:tc>
        <w:tc>
          <w:tcPr>
            <w:tcW w:w="0" w:type="auto"/>
          </w:tcPr>
          <w:p w14:paraId="57F105AA" w14:textId="77777777" w:rsidR="007E3433" w:rsidRPr="00B50702" w:rsidRDefault="007E3433" w:rsidP="003534D2">
            <w:pPr>
              <w:tabs>
                <w:tab w:val="left" w:pos="426"/>
              </w:tabs>
              <w:autoSpaceDE w:val="0"/>
              <w:autoSpaceDN w:val="0"/>
              <w:adjustRightInd w:val="0"/>
              <w:ind w:firstLineChars="0" w:firstLine="0"/>
              <w:rPr>
                <w:sz w:val="15"/>
                <w:szCs w:val="15"/>
              </w:rPr>
            </w:pPr>
            <w:r w:rsidRPr="00B50702">
              <w:rPr>
                <w:sz w:val="15"/>
                <w:szCs w:val="15"/>
              </w:rPr>
              <w:t>C</w:t>
            </w:r>
            <w:r w:rsidRPr="00B50702">
              <w:rPr>
                <w:sz w:val="15"/>
                <w:szCs w:val="15"/>
                <w:vertAlign w:val="subscript"/>
              </w:rPr>
              <w:t>44</w:t>
            </w:r>
            <w:r w:rsidRPr="00B50702">
              <w:rPr>
                <w:sz w:val="15"/>
                <w:szCs w:val="15"/>
              </w:rPr>
              <w:t>H</w:t>
            </w:r>
            <w:r w:rsidRPr="00B50702">
              <w:rPr>
                <w:sz w:val="15"/>
                <w:szCs w:val="15"/>
                <w:vertAlign w:val="subscript"/>
              </w:rPr>
              <w:t>30</w:t>
            </w:r>
            <w:r w:rsidRPr="00B50702">
              <w:rPr>
                <w:sz w:val="15"/>
                <w:szCs w:val="15"/>
              </w:rPr>
              <w:t>N</w:t>
            </w:r>
            <w:r w:rsidRPr="00B50702">
              <w:rPr>
                <w:sz w:val="15"/>
                <w:szCs w:val="15"/>
                <w:vertAlign w:val="subscript"/>
              </w:rPr>
              <w:t>4</w:t>
            </w:r>
          </w:p>
        </w:tc>
        <w:tc>
          <w:tcPr>
            <w:tcW w:w="0" w:type="auto"/>
          </w:tcPr>
          <w:p w14:paraId="54732B1D"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20F156A4" wp14:editId="65958E91">
                  <wp:extent cx="576000" cy="576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tc>
        <w:tc>
          <w:tcPr>
            <w:tcW w:w="0" w:type="auto"/>
          </w:tcPr>
          <w:p w14:paraId="6149E800"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71.29</w:t>
            </w:r>
          </w:p>
        </w:tc>
        <w:tc>
          <w:tcPr>
            <w:tcW w:w="0" w:type="auto"/>
          </w:tcPr>
          <w:p w14:paraId="6B563A7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917-23-7</w:t>
            </w:r>
          </w:p>
        </w:tc>
      </w:tr>
      <w:tr w:rsidR="007E3433" w:rsidRPr="00B50702" w14:paraId="44C4358A" w14:textId="77777777" w:rsidTr="003534D2">
        <w:trPr>
          <w:trHeight w:val="329"/>
          <w:jc w:val="center"/>
        </w:trPr>
        <w:tc>
          <w:tcPr>
            <w:tcW w:w="0" w:type="auto"/>
          </w:tcPr>
          <w:p w14:paraId="5E57EFC9"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AA</w:t>
            </w:r>
          </w:p>
        </w:tc>
        <w:tc>
          <w:tcPr>
            <w:tcW w:w="0" w:type="auto"/>
          </w:tcPr>
          <w:p w14:paraId="6E96CF61" w14:textId="77777777" w:rsidR="007E3433" w:rsidRPr="00B50702" w:rsidRDefault="007E3433" w:rsidP="003534D2">
            <w:pPr>
              <w:tabs>
                <w:tab w:val="left" w:pos="426"/>
              </w:tabs>
              <w:autoSpaceDE w:val="0"/>
              <w:autoSpaceDN w:val="0"/>
              <w:adjustRightInd w:val="0"/>
              <w:ind w:firstLineChars="0" w:firstLine="0"/>
              <w:rPr>
                <w:sz w:val="15"/>
                <w:szCs w:val="15"/>
              </w:rPr>
            </w:pPr>
            <w:r w:rsidRPr="00B50702">
              <w:rPr>
                <w:sz w:val="15"/>
                <w:szCs w:val="15"/>
              </w:rPr>
              <w:t>C</w:t>
            </w:r>
            <w:r w:rsidRPr="00B50702">
              <w:rPr>
                <w:sz w:val="15"/>
                <w:szCs w:val="15"/>
                <w:vertAlign w:val="subscript"/>
              </w:rPr>
              <w:t>3</w:t>
            </w:r>
            <w:r w:rsidRPr="00B50702">
              <w:rPr>
                <w:sz w:val="15"/>
                <w:szCs w:val="15"/>
              </w:rPr>
              <w:t>H</w:t>
            </w:r>
            <w:r w:rsidRPr="00B50702">
              <w:rPr>
                <w:sz w:val="15"/>
                <w:szCs w:val="15"/>
                <w:vertAlign w:val="subscript"/>
              </w:rPr>
              <w:t>6</w:t>
            </w:r>
            <w:r w:rsidRPr="00B50702">
              <w:rPr>
                <w:sz w:val="15"/>
                <w:szCs w:val="15"/>
              </w:rPr>
              <w:t>O</w:t>
            </w:r>
            <w:r w:rsidRPr="00B50702">
              <w:rPr>
                <w:sz w:val="15"/>
                <w:szCs w:val="15"/>
                <w:vertAlign w:val="subscript"/>
              </w:rPr>
              <w:t>2</w:t>
            </w:r>
          </w:p>
        </w:tc>
        <w:tc>
          <w:tcPr>
            <w:tcW w:w="0" w:type="auto"/>
          </w:tcPr>
          <w:p w14:paraId="2A9EA284"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358B4B56" wp14:editId="3BD5E2FB">
                  <wp:extent cx="451483" cy="361186"/>
                  <wp:effectExtent l="0" t="0" r="635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68" cy="373414"/>
                          </a:xfrm>
                          <a:prstGeom prst="rect">
                            <a:avLst/>
                          </a:prstGeom>
                          <a:noFill/>
                        </pic:spPr>
                      </pic:pic>
                    </a:graphicData>
                  </a:graphic>
                </wp:inline>
              </w:drawing>
            </w:r>
          </w:p>
        </w:tc>
        <w:tc>
          <w:tcPr>
            <w:tcW w:w="0" w:type="auto"/>
          </w:tcPr>
          <w:p w14:paraId="22CD798C"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5.15</w:t>
            </w:r>
          </w:p>
        </w:tc>
        <w:tc>
          <w:tcPr>
            <w:tcW w:w="0" w:type="auto"/>
          </w:tcPr>
          <w:p w14:paraId="3FBCB04C"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9003-01-4</w:t>
            </w:r>
          </w:p>
        </w:tc>
      </w:tr>
      <w:tr w:rsidR="007E3433" w:rsidRPr="00B50702" w14:paraId="7568F928" w14:textId="77777777" w:rsidTr="003534D2">
        <w:trPr>
          <w:trHeight w:val="329"/>
          <w:jc w:val="center"/>
        </w:trPr>
        <w:tc>
          <w:tcPr>
            <w:tcW w:w="0" w:type="auto"/>
          </w:tcPr>
          <w:p w14:paraId="3646D87C"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PEI</w:t>
            </w:r>
          </w:p>
        </w:tc>
        <w:tc>
          <w:tcPr>
            <w:tcW w:w="0" w:type="auto"/>
          </w:tcPr>
          <w:p w14:paraId="56EBCF5B" w14:textId="77777777" w:rsidR="007E3433" w:rsidRPr="00B50702" w:rsidRDefault="007E3433" w:rsidP="003534D2">
            <w:pPr>
              <w:tabs>
                <w:tab w:val="left" w:pos="426"/>
              </w:tabs>
              <w:autoSpaceDE w:val="0"/>
              <w:autoSpaceDN w:val="0"/>
              <w:adjustRightInd w:val="0"/>
              <w:ind w:firstLineChars="0" w:firstLine="0"/>
              <w:rPr>
                <w:sz w:val="15"/>
                <w:szCs w:val="15"/>
              </w:rPr>
            </w:pPr>
            <w:r w:rsidRPr="00B50702">
              <w:rPr>
                <w:sz w:val="15"/>
                <w:szCs w:val="15"/>
              </w:rPr>
              <w:t>H(NHCH</w:t>
            </w:r>
            <w:r w:rsidRPr="00B50702">
              <w:rPr>
                <w:sz w:val="15"/>
                <w:szCs w:val="15"/>
                <w:vertAlign w:val="subscript"/>
              </w:rPr>
              <w:t>2</w:t>
            </w:r>
            <w:r w:rsidRPr="00B50702">
              <w:rPr>
                <w:sz w:val="15"/>
                <w:szCs w:val="15"/>
              </w:rPr>
              <w:t>CH</w:t>
            </w:r>
            <w:proofErr w:type="gramStart"/>
            <w:r w:rsidRPr="00B50702">
              <w:rPr>
                <w:sz w:val="15"/>
                <w:szCs w:val="15"/>
                <w:vertAlign w:val="subscript"/>
              </w:rPr>
              <w:t>2</w:t>
            </w:r>
            <w:r w:rsidRPr="00B50702">
              <w:rPr>
                <w:sz w:val="15"/>
                <w:szCs w:val="15"/>
              </w:rPr>
              <w:t>)</w:t>
            </w:r>
            <w:r w:rsidRPr="00B50702">
              <w:rPr>
                <w:sz w:val="15"/>
                <w:szCs w:val="15"/>
                <w:vertAlign w:val="subscript"/>
              </w:rPr>
              <w:t>n</w:t>
            </w:r>
            <w:r w:rsidRPr="00B50702">
              <w:rPr>
                <w:sz w:val="15"/>
                <w:szCs w:val="15"/>
              </w:rPr>
              <w:t>NH</w:t>
            </w:r>
            <w:proofErr w:type="gramEnd"/>
            <w:r w:rsidRPr="00B50702">
              <w:rPr>
                <w:sz w:val="15"/>
                <w:szCs w:val="15"/>
                <w:vertAlign w:val="subscript"/>
              </w:rPr>
              <w:t>2</w:t>
            </w:r>
          </w:p>
        </w:tc>
        <w:tc>
          <w:tcPr>
            <w:tcW w:w="0" w:type="auto"/>
          </w:tcPr>
          <w:p w14:paraId="2F7ECCBF"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17718EA1" wp14:editId="7A7968FD">
                  <wp:extent cx="571500" cy="240751"/>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243" cy="264655"/>
                          </a:xfrm>
                          <a:prstGeom prst="rect">
                            <a:avLst/>
                          </a:prstGeom>
                        </pic:spPr>
                      </pic:pic>
                    </a:graphicData>
                  </a:graphic>
                </wp:inline>
              </w:drawing>
            </w:r>
          </w:p>
        </w:tc>
        <w:tc>
          <w:tcPr>
            <w:tcW w:w="0" w:type="auto"/>
          </w:tcPr>
          <w:p w14:paraId="2E818A70"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0.25</w:t>
            </w:r>
          </w:p>
        </w:tc>
        <w:tc>
          <w:tcPr>
            <w:tcW w:w="0" w:type="auto"/>
          </w:tcPr>
          <w:p w14:paraId="3AA8B65E"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9002-98-6</w:t>
            </w:r>
          </w:p>
        </w:tc>
      </w:tr>
      <w:tr w:rsidR="007E3433" w:rsidRPr="00B50702" w14:paraId="6ACBE7D3" w14:textId="77777777" w:rsidTr="003534D2">
        <w:trPr>
          <w:trHeight w:val="329"/>
          <w:jc w:val="center"/>
        </w:trPr>
        <w:tc>
          <w:tcPr>
            <w:tcW w:w="0" w:type="auto"/>
          </w:tcPr>
          <w:p w14:paraId="572B5889" w14:textId="77777777" w:rsidR="007E3433" w:rsidRPr="00B50702" w:rsidRDefault="007E3433" w:rsidP="003534D2">
            <w:pPr>
              <w:tabs>
                <w:tab w:val="left" w:pos="426"/>
              </w:tabs>
              <w:autoSpaceDE w:val="0"/>
              <w:autoSpaceDN w:val="0"/>
              <w:adjustRightInd w:val="0"/>
              <w:ind w:firstLineChars="0" w:firstLine="0"/>
              <w:rPr>
                <w:b/>
                <w:bCs/>
                <w:sz w:val="15"/>
                <w:szCs w:val="15"/>
              </w:rPr>
            </w:pPr>
            <w:proofErr w:type="spellStart"/>
            <w:r w:rsidRPr="00B50702">
              <w:rPr>
                <w:b/>
                <w:bCs/>
                <w:sz w:val="15"/>
                <w:szCs w:val="15"/>
              </w:rPr>
              <w:t>Tetrakis</w:t>
            </w:r>
            <w:proofErr w:type="spellEnd"/>
            <w:r w:rsidRPr="00B50702">
              <w:rPr>
                <w:b/>
                <w:bCs/>
                <w:sz w:val="15"/>
                <w:szCs w:val="15"/>
              </w:rPr>
              <w:t>(4-</w:t>
            </w:r>
            <w:proofErr w:type="gramStart"/>
            <w:r w:rsidRPr="00B50702">
              <w:rPr>
                <w:b/>
                <w:bCs/>
                <w:sz w:val="15"/>
                <w:szCs w:val="15"/>
              </w:rPr>
              <w:t>aminophenyl)ethene</w:t>
            </w:r>
            <w:proofErr w:type="gramEnd"/>
            <w:r w:rsidRPr="00264F0C">
              <w:rPr>
                <w:b/>
                <w:bCs/>
                <w:sz w:val="15"/>
                <w:szCs w:val="15"/>
              </w:rPr>
              <w:t>)</w:t>
            </w:r>
          </w:p>
          <w:p w14:paraId="34F053EA"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(ETTA)</w:t>
            </w:r>
            <w:r w:rsidRPr="00B50702">
              <w:rPr>
                <w:b/>
                <w:bCs/>
                <w:sz w:val="15"/>
                <w:szCs w:val="15"/>
              </w:rPr>
              <w:fldChar w:fldCharType="begin"/>
            </w:r>
            <w:r w:rsidRPr="00B50702">
              <w:rPr>
                <w:b/>
                <w:bCs/>
                <w:sz w:val="15"/>
                <w:szCs w:val="15"/>
              </w:rPr>
              <w:instrText xml:space="preserve"> ADDIN ZOTERO_ITEM CSL_CITATION {"citationID":"fL2ulJnP","properties":{"formattedCitation":"[18]","plainCitation":"[18]","noteIndex":0},"citationItems":[{"id":756,"uris":["http://zotero.org/users/14169885/items/2LL59XNH"],"itemData":{"id":756,"type":"article-journal","abstract":"Efficient capture and monitoring of radioactive iodine are essential for managing nuclear waste and safeguarding human health. In this study, two COFs (COF-A and COF-B) are reported for efficient iodine adsorption with yellow fluorescence. Compared to COF-B, COF-A presents better iodine capture performance (4.05 g</w:instrText>
            </w:r>
            <w:r w:rsidRPr="00B50702">
              <w:rPr>
                <w:rFonts w:ascii="MS Gothic" w:eastAsia="MS Gothic" w:hAnsi="MS Gothic" w:cs="MS Gothic" w:hint="eastAsia"/>
                <w:b/>
                <w:bCs/>
                <w:sz w:val="15"/>
                <w:szCs w:val="15"/>
              </w:rPr>
              <w:instrText>⋅</w:instrText>
            </w:r>
            <w:r w:rsidRPr="00B50702">
              <w:rPr>
                <w:b/>
                <w:bCs/>
                <w:sz w:val="15"/>
                <w:szCs w:val="15"/>
              </w:rPr>
              <w:instrText>g 1) due to larger specific surface area and electron-rich N adsorption sites. Meanwhile, we first report iodine ion modification for COF-A by methyl iodide (CH3I). After iodine ion modification, COF-N+ shows faster adsorption rates and higher adsorption capacity (5.11 g</w:instrText>
            </w:r>
            <w:r w:rsidRPr="00B50702">
              <w:rPr>
                <w:rFonts w:ascii="MS Gothic" w:eastAsia="MS Gothic" w:hAnsi="MS Gothic" w:cs="MS Gothic" w:hint="eastAsia"/>
                <w:b/>
                <w:bCs/>
                <w:sz w:val="15"/>
                <w:szCs w:val="15"/>
              </w:rPr>
              <w:instrText>⋅</w:instrText>
            </w:r>
            <w:r w:rsidRPr="00B50702">
              <w:rPr>
                <w:b/>
                <w:bCs/>
                <w:sz w:val="15"/>
                <w:szCs w:val="15"/>
              </w:rPr>
              <w:instrText xml:space="preserve">g 1) for iodine. Through mechanistic analysis, the interaction between electron-rich N adsorption sites of COFs and electron-deficient iodine by charge transfer is confirmed. Meanwhile, the coulomb interactions of quaternary nitrogen ion for iodine plays crucial roles in adsorption enhancement. Moreover, we construct a fluorescence sensing platform for real-time monitoring of iodine capture based on the PET process and the CT interactions between iodine and COFs, leading to the fluorescence quenching of COFs. To promote the development of personal health protection in the nuclear industry, a mask with dual function is prepared, achieving iodine removal and real-time fluorescence response and high removal efficiency (95.44 %) for iodine. This study presents a new idea to enhance iodine adsorption performance of adsorbents by ionic modification, while providing reference the considerable potential of these COFs for a wide range of applications.","container-title":"Chemical Engineering Journal","DOI":"10.1016/j.cej.2025.161825","ISSN":"13858947","journalAbbreviation":"Chemical Engineering Journal","language":"en","note":"abstractTranslation: </w:instrText>
            </w:r>
            <w:r w:rsidRPr="00B50702">
              <w:rPr>
                <w:b/>
                <w:bCs/>
                <w:sz w:val="15"/>
                <w:szCs w:val="15"/>
              </w:rPr>
              <w:instrText>有效捕获和监测放射性碘对于管理核废料和保障人类健康至关重要。在这项研究中，报道了两种</w:instrText>
            </w:r>
            <w:r w:rsidRPr="00B50702">
              <w:rPr>
                <w:b/>
                <w:bCs/>
                <w:sz w:val="15"/>
                <w:szCs w:val="15"/>
              </w:rPr>
              <w:instrText>COF</w:instrText>
            </w:r>
            <w:r w:rsidRPr="00B50702">
              <w:rPr>
                <w:b/>
                <w:bCs/>
                <w:sz w:val="15"/>
                <w:szCs w:val="15"/>
              </w:rPr>
              <w:instrText>（</w:instrText>
            </w:r>
            <w:r w:rsidRPr="00B50702">
              <w:rPr>
                <w:b/>
                <w:bCs/>
                <w:sz w:val="15"/>
                <w:szCs w:val="15"/>
              </w:rPr>
              <w:instrText>COF-A</w:instrText>
            </w:r>
            <w:r w:rsidRPr="00B50702">
              <w:rPr>
                <w:b/>
                <w:bCs/>
                <w:sz w:val="15"/>
                <w:szCs w:val="15"/>
              </w:rPr>
              <w:instrText>和</w:instrText>
            </w:r>
            <w:r w:rsidRPr="00B50702">
              <w:rPr>
                <w:b/>
                <w:bCs/>
                <w:sz w:val="15"/>
                <w:szCs w:val="15"/>
              </w:rPr>
              <w:instrText>COF-B</w:instrText>
            </w:r>
            <w:r w:rsidRPr="00B50702">
              <w:rPr>
                <w:b/>
                <w:bCs/>
                <w:sz w:val="15"/>
                <w:szCs w:val="15"/>
              </w:rPr>
              <w:instrText>）具有黄色荧光的有效碘吸附作用。与</w:instrText>
            </w:r>
            <w:r w:rsidRPr="00B50702">
              <w:rPr>
                <w:b/>
                <w:bCs/>
                <w:sz w:val="15"/>
                <w:szCs w:val="15"/>
              </w:rPr>
              <w:instrText>COF-B</w:instrText>
            </w:r>
            <w:r w:rsidRPr="00B50702">
              <w:rPr>
                <w:b/>
                <w:bCs/>
                <w:sz w:val="15"/>
                <w:szCs w:val="15"/>
              </w:rPr>
              <w:instrText>相比，</w:instrText>
            </w:r>
            <w:r w:rsidRPr="00B50702">
              <w:rPr>
                <w:b/>
                <w:bCs/>
                <w:sz w:val="15"/>
                <w:szCs w:val="15"/>
              </w:rPr>
              <w:instrText>COF-A</w:instrText>
            </w:r>
            <w:r w:rsidRPr="00B50702">
              <w:rPr>
                <w:b/>
                <w:bCs/>
                <w:sz w:val="15"/>
                <w:szCs w:val="15"/>
              </w:rPr>
              <w:instrText>具有更好的碘捕获性能（</w:instrText>
            </w:r>
            <w:r w:rsidRPr="00B50702">
              <w:rPr>
                <w:b/>
                <w:bCs/>
                <w:sz w:val="15"/>
                <w:szCs w:val="15"/>
              </w:rPr>
              <w:instrText>4.05 g</w:instrText>
            </w:r>
            <w:r w:rsidRPr="00B50702">
              <w:rPr>
                <w:rFonts w:ascii="MS Gothic" w:eastAsia="MS Gothic" w:hAnsi="MS Gothic" w:cs="MS Gothic" w:hint="eastAsia"/>
                <w:b/>
                <w:bCs/>
                <w:sz w:val="15"/>
                <w:szCs w:val="15"/>
              </w:rPr>
              <w:instrText>⋅</w:instrText>
            </w:r>
            <w:r w:rsidRPr="00B50702">
              <w:rPr>
                <w:b/>
                <w:bCs/>
                <w:sz w:val="15"/>
                <w:szCs w:val="15"/>
              </w:rPr>
              <w:instrText>g 1</w:instrText>
            </w:r>
            <w:r w:rsidRPr="00B50702">
              <w:rPr>
                <w:b/>
                <w:bCs/>
                <w:sz w:val="15"/>
                <w:szCs w:val="15"/>
              </w:rPr>
              <w:instrText>），因为它具有更大的比表面积和富含电子的</w:instrText>
            </w:r>
            <w:r w:rsidRPr="00B50702">
              <w:rPr>
                <w:b/>
                <w:bCs/>
                <w:sz w:val="15"/>
                <w:szCs w:val="15"/>
              </w:rPr>
              <w:instrText>N</w:instrText>
            </w:r>
            <w:r w:rsidRPr="00B50702">
              <w:rPr>
                <w:b/>
                <w:bCs/>
                <w:sz w:val="15"/>
                <w:szCs w:val="15"/>
              </w:rPr>
              <w:instrText>吸附位点。同时，我们首次报道了甲基碘（</w:instrText>
            </w:r>
            <w:r w:rsidRPr="00B50702">
              <w:rPr>
                <w:b/>
                <w:bCs/>
                <w:sz w:val="15"/>
                <w:szCs w:val="15"/>
              </w:rPr>
              <w:instrText>CH3I</w:instrText>
            </w:r>
            <w:r w:rsidRPr="00B50702">
              <w:rPr>
                <w:b/>
                <w:bCs/>
                <w:sz w:val="15"/>
                <w:szCs w:val="15"/>
              </w:rPr>
              <w:instrText>）对</w:instrText>
            </w:r>
            <w:r w:rsidRPr="00B50702">
              <w:rPr>
                <w:b/>
                <w:bCs/>
                <w:sz w:val="15"/>
                <w:szCs w:val="15"/>
              </w:rPr>
              <w:instrText>COF-A</w:instrText>
            </w:r>
            <w:r w:rsidRPr="00B50702">
              <w:rPr>
                <w:b/>
                <w:bCs/>
                <w:sz w:val="15"/>
                <w:szCs w:val="15"/>
              </w:rPr>
              <w:instrText>的碘离子修饰。碘离子改性后，</w:instrText>
            </w:r>
            <w:r w:rsidRPr="00B50702">
              <w:rPr>
                <w:b/>
                <w:bCs/>
                <w:sz w:val="15"/>
                <w:szCs w:val="15"/>
              </w:rPr>
              <w:instrText>COF-N+</w:instrText>
            </w:r>
            <w:r w:rsidRPr="00B50702">
              <w:rPr>
                <w:b/>
                <w:bCs/>
                <w:sz w:val="15"/>
                <w:szCs w:val="15"/>
              </w:rPr>
              <w:instrText>对碘的吸附速率更快，吸附容量更高（</w:instrText>
            </w:r>
            <w:r w:rsidRPr="00B50702">
              <w:rPr>
                <w:b/>
                <w:bCs/>
                <w:sz w:val="15"/>
                <w:szCs w:val="15"/>
              </w:rPr>
              <w:instrText>5.11 g</w:instrText>
            </w:r>
            <w:r w:rsidRPr="00B50702">
              <w:rPr>
                <w:rFonts w:ascii="MS Gothic" w:eastAsia="MS Gothic" w:hAnsi="MS Gothic" w:cs="MS Gothic" w:hint="eastAsia"/>
                <w:b/>
                <w:bCs/>
                <w:sz w:val="15"/>
                <w:szCs w:val="15"/>
              </w:rPr>
              <w:instrText>⋅</w:instrText>
            </w:r>
            <w:r w:rsidRPr="00B50702">
              <w:rPr>
                <w:b/>
                <w:bCs/>
                <w:sz w:val="15"/>
                <w:szCs w:val="15"/>
              </w:rPr>
              <w:instrText>g 1</w:instrText>
            </w:r>
            <w:r w:rsidRPr="00B50702">
              <w:rPr>
                <w:b/>
                <w:bCs/>
                <w:sz w:val="15"/>
                <w:szCs w:val="15"/>
              </w:rPr>
              <w:instrText>）。通过机理分析，证实了</w:instrText>
            </w:r>
            <w:r w:rsidRPr="00B50702">
              <w:rPr>
                <w:b/>
                <w:bCs/>
                <w:sz w:val="15"/>
                <w:szCs w:val="15"/>
              </w:rPr>
              <w:instrText>COFs</w:instrText>
            </w:r>
            <w:r w:rsidRPr="00B50702">
              <w:rPr>
                <w:b/>
                <w:bCs/>
                <w:sz w:val="15"/>
                <w:szCs w:val="15"/>
              </w:rPr>
              <w:instrText>的富电子氮吸附位点与缺电子碘之间通过电荷转移的相互作用。同时，季氮离子对碘的库仑相互作用在吸附增强中起着至关重要的作用。此外，我们基于</w:instrText>
            </w:r>
            <w:r w:rsidRPr="00B50702">
              <w:rPr>
                <w:b/>
                <w:bCs/>
                <w:sz w:val="15"/>
                <w:szCs w:val="15"/>
              </w:rPr>
              <w:instrText>PET</w:instrText>
            </w:r>
            <w:r w:rsidRPr="00B50702">
              <w:rPr>
                <w:b/>
                <w:bCs/>
                <w:sz w:val="15"/>
                <w:szCs w:val="15"/>
              </w:rPr>
              <w:instrText>过程和碘与</w:instrText>
            </w:r>
            <w:r w:rsidRPr="00B50702">
              <w:rPr>
                <w:b/>
                <w:bCs/>
                <w:sz w:val="15"/>
                <w:szCs w:val="15"/>
              </w:rPr>
              <w:instrText>COF</w:instrText>
            </w:r>
            <w:r w:rsidRPr="00B50702">
              <w:rPr>
                <w:b/>
                <w:bCs/>
                <w:sz w:val="15"/>
                <w:szCs w:val="15"/>
              </w:rPr>
              <w:instrText>之间的</w:instrText>
            </w:r>
            <w:r w:rsidRPr="00B50702">
              <w:rPr>
                <w:b/>
                <w:bCs/>
                <w:sz w:val="15"/>
                <w:szCs w:val="15"/>
              </w:rPr>
              <w:instrText>CT</w:instrText>
            </w:r>
            <w:r w:rsidRPr="00B50702">
              <w:rPr>
                <w:b/>
                <w:bCs/>
                <w:sz w:val="15"/>
                <w:szCs w:val="15"/>
              </w:rPr>
              <w:instrText>相互作用构建了一个荧光传感平台，用于实时监测碘捕获，从而导致</w:instrText>
            </w:r>
            <w:r w:rsidRPr="00B50702">
              <w:rPr>
                <w:b/>
                <w:bCs/>
                <w:sz w:val="15"/>
                <w:szCs w:val="15"/>
              </w:rPr>
              <w:instrText>COF</w:instrText>
            </w:r>
            <w:r w:rsidRPr="00B50702">
              <w:rPr>
                <w:b/>
                <w:bCs/>
                <w:sz w:val="15"/>
                <w:szCs w:val="15"/>
              </w:rPr>
              <w:instrText>的荧光淬灭。为促进核工业个人健康防护的发展，研制了一种具有双重功能的口罩，实现了碘的去除和实时荧光响应，碘的去除效率高（</w:instrText>
            </w:r>
            <w:r w:rsidRPr="00B50702">
              <w:rPr>
                <w:b/>
                <w:bCs/>
                <w:sz w:val="15"/>
                <w:szCs w:val="15"/>
              </w:rPr>
              <w:instrText>95.44%</w:instrText>
            </w:r>
            <w:r w:rsidRPr="00B50702">
              <w:rPr>
                <w:b/>
                <w:bCs/>
                <w:sz w:val="15"/>
                <w:szCs w:val="15"/>
              </w:rPr>
              <w:instrText>）。本研究提出了一种通过离子改性提高吸附剂碘吸附性能的新思路，同时为这些</w:instrText>
            </w:r>
            <w:r w:rsidRPr="00B50702">
              <w:rPr>
                <w:b/>
                <w:bCs/>
                <w:sz w:val="15"/>
                <w:szCs w:val="15"/>
              </w:rPr>
              <w:instrText>COF</w:instrText>
            </w:r>
            <w:r w:rsidRPr="00B50702">
              <w:rPr>
                <w:b/>
                <w:bCs/>
                <w:sz w:val="15"/>
                <w:szCs w:val="15"/>
              </w:rPr>
              <w:instrText>在广泛应用中的巨大潜力提供了参考。</w:instrText>
            </w:r>
            <w:r w:rsidRPr="00B50702">
              <w:rPr>
                <w:b/>
                <w:bCs/>
                <w:sz w:val="15"/>
                <w:szCs w:val="15"/>
              </w:rPr>
              <w:instrText xml:space="preserve">\ntitleTranslation: </w:instrText>
            </w:r>
            <w:r w:rsidRPr="00B50702">
              <w:rPr>
                <w:b/>
                <w:bCs/>
                <w:sz w:val="15"/>
                <w:szCs w:val="15"/>
              </w:rPr>
              <w:instrText>构建荧光含氮共价有机框架，用于可视化监测和有效吸附碘，并通过合成后离子修饰提高吸附容量</w:instrText>
            </w:r>
            <w:r w:rsidRPr="00B50702">
              <w:rPr>
                <w:b/>
                <w:bCs/>
                <w:sz w:val="15"/>
                <w:szCs w:val="15"/>
              </w:rPr>
              <w:instrText xml:space="preserve">","page":"161825","source":"DOI.org (Crossref)","title":"Constructing fluorescent nitrogen-containing covalent organic frameworks for visual monitoring and efficient adsorbing iodine with increasing adsorption capacity by post-synthesis ionic modification","volume":"510","author":[{"family":"Zhang","given":"Shuaijie"},{"family":"Mei","given":"Douchao"},{"family":"Li","given":"Ke"},{"family":"Yan","given":"Bing"}],"issued":{"date-parts":[["2025",4]]}}}],"schema":"https://github.com/citation-style-language/schema/raw/master/csl-citation.json"} </w:instrText>
            </w:r>
            <w:r w:rsidRPr="00B50702">
              <w:rPr>
                <w:b/>
                <w:bCs/>
                <w:sz w:val="15"/>
                <w:szCs w:val="15"/>
              </w:rPr>
              <w:fldChar w:fldCharType="separate"/>
            </w:r>
            <w:r w:rsidRPr="00B50702">
              <w:rPr>
                <w:sz w:val="15"/>
              </w:rPr>
              <w:t>[18]</w:t>
            </w:r>
            <w:r w:rsidRPr="00B50702">
              <w:rPr>
                <w:b/>
                <w:bCs/>
                <w:sz w:val="15"/>
                <w:szCs w:val="15"/>
              </w:rPr>
              <w:fldChar w:fldCharType="end"/>
            </w:r>
          </w:p>
        </w:tc>
        <w:tc>
          <w:tcPr>
            <w:tcW w:w="0" w:type="auto"/>
          </w:tcPr>
          <w:p w14:paraId="02D0112D" w14:textId="77777777" w:rsidR="007E3433" w:rsidRPr="00B50702" w:rsidRDefault="007E3433" w:rsidP="003534D2">
            <w:pPr>
              <w:tabs>
                <w:tab w:val="left" w:pos="426"/>
              </w:tabs>
              <w:autoSpaceDE w:val="0"/>
              <w:autoSpaceDN w:val="0"/>
              <w:adjustRightInd w:val="0"/>
              <w:ind w:firstLineChars="0" w:firstLine="0"/>
              <w:rPr>
                <w:sz w:val="15"/>
                <w:szCs w:val="15"/>
              </w:rPr>
            </w:pPr>
            <w:r w:rsidRPr="00B50702">
              <w:rPr>
                <w:sz w:val="15"/>
                <w:szCs w:val="15"/>
              </w:rPr>
              <w:t>C</w:t>
            </w:r>
            <w:r w:rsidRPr="00B50702">
              <w:rPr>
                <w:sz w:val="15"/>
                <w:szCs w:val="15"/>
                <w:vertAlign w:val="subscript"/>
              </w:rPr>
              <w:t>26</w:t>
            </w:r>
            <w:r w:rsidRPr="00B50702">
              <w:rPr>
                <w:sz w:val="15"/>
                <w:szCs w:val="15"/>
              </w:rPr>
              <w:t>H</w:t>
            </w:r>
            <w:r w:rsidRPr="00B50702">
              <w:rPr>
                <w:sz w:val="15"/>
                <w:szCs w:val="15"/>
                <w:vertAlign w:val="subscript"/>
              </w:rPr>
              <w:t>24</w:t>
            </w:r>
            <w:r w:rsidRPr="00B50702">
              <w:rPr>
                <w:sz w:val="15"/>
                <w:szCs w:val="15"/>
              </w:rPr>
              <w:t>N</w:t>
            </w:r>
            <w:r w:rsidRPr="00B50702">
              <w:rPr>
                <w:sz w:val="15"/>
                <w:szCs w:val="15"/>
                <w:vertAlign w:val="subscript"/>
              </w:rPr>
              <w:t>4</w:t>
            </w:r>
          </w:p>
        </w:tc>
        <w:tc>
          <w:tcPr>
            <w:tcW w:w="0" w:type="auto"/>
          </w:tcPr>
          <w:p w14:paraId="032FA4AC"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1EBD9C16" wp14:editId="6B19BA4D">
                  <wp:extent cx="512769" cy="530225"/>
                  <wp:effectExtent l="0" t="0" r="19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523717" cy="541546"/>
                          </a:xfrm>
                          <a:prstGeom prst="rect">
                            <a:avLst/>
                          </a:prstGeom>
                        </pic:spPr>
                      </pic:pic>
                    </a:graphicData>
                  </a:graphic>
                </wp:inline>
              </w:drawing>
            </w:r>
          </w:p>
        </w:tc>
        <w:tc>
          <w:tcPr>
            <w:tcW w:w="0" w:type="auto"/>
          </w:tcPr>
          <w:p w14:paraId="55CD0C3D"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36.76</w:t>
            </w:r>
          </w:p>
        </w:tc>
        <w:tc>
          <w:tcPr>
            <w:tcW w:w="0" w:type="auto"/>
          </w:tcPr>
          <w:p w14:paraId="365B6203"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78525-34-5</w:t>
            </w:r>
          </w:p>
        </w:tc>
      </w:tr>
      <w:tr w:rsidR="007E3433" w:rsidRPr="00B50702" w14:paraId="337631D2" w14:textId="77777777" w:rsidTr="003534D2">
        <w:trPr>
          <w:trHeight w:val="329"/>
          <w:jc w:val="center"/>
        </w:trPr>
        <w:tc>
          <w:tcPr>
            <w:tcW w:w="0" w:type="auto"/>
            <w:tcBorders>
              <w:bottom w:val="single" w:sz="4" w:space="0" w:color="auto"/>
            </w:tcBorders>
          </w:tcPr>
          <w:p w14:paraId="2B898895"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2,3,5,6-tetrafluoroterephthalaldehyde</w:t>
            </w:r>
          </w:p>
          <w:p w14:paraId="56498A94"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(TFA)</w:t>
            </w:r>
            <w:r w:rsidRPr="00B50702">
              <w:rPr>
                <w:b/>
                <w:bCs/>
                <w:sz w:val="15"/>
                <w:szCs w:val="15"/>
              </w:rPr>
              <w:fldChar w:fldCharType="begin"/>
            </w:r>
            <w:r w:rsidRPr="00B50702">
              <w:rPr>
                <w:b/>
                <w:bCs/>
                <w:sz w:val="15"/>
                <w:szCs w:val="15"/>
              </w:rPr>
              <w:instrText xml:space="preserve"> ADDIN ZOTERO_ITEM CSL_CITATION {"citationID":"RJ5QALQi","properties":{"formattedCitation":"[19]","plainCitation":"[19]","noteIndex":0},"citationItems":[{"id":776,"uris":["http://zotero.org/users/14169885/items/S98Z8DTN"],"itemData":{"id":776,"type":"article-journal","abstract":"The effective capture of radioactive iodine species is crucial in nuclear waste treatment, particularly under hightemperature industrial conditions (≥150 ◦C), yet it poses a significant challenge. Here, we propose a novel approach for constructing highly efficient iodine traps by precisely controlling band edges in covalent organic frameworks (COFs) through the incorporation of fluorine atoms. This strategy facilitates the transformation of I2 into I5 , thereby enhancing the interactions between the COF host and radioiodine species, leading to a remarkable iodine uptake capacity of up to 2.36 g/g under static adsorption condition at 150 ◦C, and 36.12 wt% under dynamic adsorption condition at 150 ◦C. Moreover, the captured iodine can be released by immersing the solid form in DMF solvent, providing a mean to modulate reaction conditions gently. Notably, TFA-COF material can be reused multiple times without significant loss in its iodine capture performance.","container-title":"Chemical Engineering Journal","DOI":"10.1016/j.cej.2024.153777","ISSN":"13858947","journalAbbreviation":"Chemical Engineering Journal","language":"en","note":"abstractTranslation: </w:instrText>
            </w:r>
            <w:r w:rsidRPr="00B50702">
              <w:rPr>
                <w:b/>
                <w:bCs/>
                <w:sz w:val="15"/>
                <w:szCs w:val="15"/>
              </w:rPr>
              <w:instrText>有效捕获放射性碘物种在核废物处理中至关重要，特别是在高温工业条件下（</w:instrText>
            </w:r>
            <w:r w:rsidRPr="00B50702">
              <w:rPr>
                <w:b/>
                <w:bCs/>
                <w:sz w:val="15"/>
                <w:szCs w:val="15"/>
              </w:rPr>
              <w:instrText>≥150°C</w:instrText>
            </w:r>
            <w:r w:rsidRPr="00B50702">
              <w:rPr>
                <w:b/>
                <w:bCs/>
                <w:sz w:val="15"/>
                <w:szCs w:val="15"/>
              </w:rPr>
              <w:instrText>），但这也是一个重大挑战。在这里，我们提出了一种通过掺入氟原子精确控制共价有机框架（</w:instrText>
            </w:r>
            <w:r w:rsidRPr="00B50702">
              <w:rPr>
                <w:b/>
                <w:bCs/>
                <w:sz w:val="15"/>
                <w:szCs w:val="15"/>
              </w:rPr>
              <w:instrText>COF</w:instrText>
            </w:r>
            <w:r w:rsidRPr="00B50702">
              <w:rPr>
                <w:b/>
                <w:bCs/>
                <w:sz w:val="15"/>
                <w:szCs w:val="15"/>
              </w:rPr>
              <w:instrText>）中的带边来构建高效碘陷阱的新方法。该策略有助于</w:instrText>
            </w:r>
            <w:r w:rsidRPr="00B50702">
              <w:rPr>
                <w:b/>
                <w:bCs/>
                <w:sz w:val="15"/>
                <w:szCs w:val="15"/>
              </w:rPr>
              <w:instrText>I2</w:instrText>
            </w:r>
            <w:r w:rsidRPr="00B50702">
              <w:rPr>
                <w:b/>
                <w:bCs/>
                <w:sz w:val="15"/>
                <w:szCs w:val="15"/>
              </w:rPr>
              <w:instrText>转化为</w:instrText>
            </w:r>
            <w:r w:rsidRPr="00B50702">
              <w:rPr>
                <w:b/>
                <w:bCs/>
                <w:sz w:val="15"/>
                <w:szCs w:val="15"/>
              </w:rPr>
              <w:instrText>I5</w:instrText>
            </w:r>
            <w:r w:rsidRPr="00B50702">
              <w:rPr>
                <w:b/>
                <w:bCs/>
                <w:sz w:val="15"/>
                <w:szCs w:val="15"/>
              </w:rPr>
              <w:instrText>，从而增强</w:instrText>
            </w:r>
            <w:r w:rsidRPr="00B50702">
              <w:rPr>
                <w:b/>
                <w:bCs/>
                <w:sz w:val="15"/>
                <w:szCs w:val="15"/>
              </w:rPr>
              <w:instrText>COF</w:instrText>
            </w:r>
            <w:r w:rsidRPr="00B50702">
              <w:rPr>
                <w:b/>
                <w:bCs/>
                <w:sz w:val="15"/>
                <w:szCs w:val="15"/>
              </w:rPr>
              <w:instrText>宿主与放射性碘物种之间的相互作用，在</w:instrText>
            </w:r>
            <w:r w:rsidRPr="00B50702">
              <w:rPr>
                <w:b/>
                <w:bCs/>
                <w:sz w:val="15"/>
                <w:szCs w:val="15"/>
              </w:rPr>
              <w:instrText>150℃</w:instrText>
            </w:r>
            <w:r w:rsidRPr="00B50702">
              <w:rPr>
                <w:b/>
                <w:bCs/>
                <w:sz w:val="15"/>
                <w:szCs w:val="15"/>
              </w:rPr>
              <w:instrText>的静态吸附条件下，碘吸收能力高达</w:instrText>
            </w:r>
            <w:r w:rsidRPr="00B50702">
              <w:rPr>
                <w:b/>
                <w:bCs/>
                <w:sz w:val="15"/>
                <w:szCs w:val="15"/>
              </w:rPr>
              <w:instrText>2.36 g/g◦C</w:instrText>
            </w:r>
            <w:r w:rsidRPr="00B50702">
              <w:rPr>
                <w:b/>
                <w:bCs/>
                <w:sz w:val="15"/>
                <w:szCs w:val="15"/>
              </w:rPr>
              <w:instrText>、</w:instrText>
            </w:r>
            <w:r w:rsidRPr="00B50702">
              <w:rPr>
                <w:b/>
                <w:bCs/>
                <w:sz w:val="15"/>
                <w:szCs w:val="15"/>
              </w:rPr>
              <w:instrText xml:space="preserve"> </w:instrText>
            </w:r>
            <w:r w:rsidRPr="00B50702">
              <w:rPr>
                <w:b/>
                <w:bCs/>
                <w:sz w:val="15"/>
                <w:szCs w:val="15"/>
              </w:rPr>
              <w:instrText>在</w:instrText>
            </w:r>
            <w:r w:rsidRPr="00B50702">
              <w:rPr>
                <w:b/>
                <w:bCs/>
                <w:sz w:val="15"/>
                <w:szCs w:val="15"/>
              </w:rPr>
              <w:instrText>150℃</w:instrText>
            </w:r>
            <w:r w:rsidRPr="00B50702">
              <w:rPr>
                <w:b/>
                <w:bCs/>
                <w:sz w:val="15"/>
                <w:szCs w:val="15"/>
              </w:rPr>
              <w:instrText>的动态吸附条件下为</w:instrText>
            </w:r>
            <w:r w:rsidRPr="00B50702">
              <w:rPr>
                <w:b/>
                <w:bCs/>
                <w:sz w:val="15"/>
                <w:szCs w:val="15"/>
              </w:rPr>
              <w:instrText>36.12</w:instrText>
            </w:r>
            <w:r w:rsidRPr="00B50702">
              <w:rPr>
                <w:b/>
                <w:bCs/>
                <w:sz w:val="15"/>
                <w:szCs w:val="15"/>
              </w:rPr>
              <w:instrText>重量</w:instrText>
            </w:r>
            <w:r w:rsidRPr="00B50702">
              <w:rPr>
                <w:b/>
                <w:bCs/>
                <w:sz w:val="15"/>
                <w:szCs w:val="15"/>
              </w:rPr>
              <w:instrText>%◦C.</w:instrText>
            </w:r>
            <w:r w:rsidRPr="00B50702">
              <w:rPr>
                <w:b/>
                <w:bCs/>
                <w:sz w:val="15"/>
                <w:szCs w:val="15"/>
              </w:rPr>
              <w:instrText>此外，通过将固体形式浸入</w:instrText>
            </w:r>
            <w:r w:rsidRPr="00B50702">
              <w:rPr>
                <w:b/>
                <w:bCs/>
                <w:sz w:val="15"/>
                <w:szCs w:val="15"/>
              </w:rPr>
              <w:instrText>DMF</w:instrText>
            </w:r>
            <w:r w:rsidRPr="00B50702">
              <w:rPr>
                <w:b/>
                <w:bCs/>
                <w:sz w:val="15"/>
                <w:szCs w:val="15"/>
              </w:rPr>
              <w:instrText>溶剂中，可以释放捕获的碘，从而温和地调节反应条件。值得注意的是，</w:instrText>
            </w:r>
            <w:r w:rsidRPr="00B50702">
              <w:rPr>
                <w:b/>
                <w:bCs/>
                <w:sz w:val="15"/>
                <w:szCs w:val="15"/>
              </w:rPr>
              <w:instrText>TFA-COF</w:instrText>
            </w:r>
            <w:r w:rsidRPr="00B50702">
              <w:rPr>
                <w:b/>
                <w:bCs/>
                <w:sz w:val="15"/>
                <w:szCs w:val="15"/>
              </w:rPr>
              <w:instrText>材料可以多次重复使用，而不会显著降低其碘捕获性能。</w:instrText>
            </w:r>
            <w:r w:rsidRPr="00B50702">
              <w:rPr>
                <w:b/>
                <w:bCs/>
                <w:sz w:val="15"/>
                <w:szCs w:val="15"/>
              </w:rPr>
              <w:instrText xml:space="preserve">\ntitleTranslation: </w:instrText>
            </w:r>
            <w:r w:rsidRPr="00B50702">
              <w:rPr>
                <w:b/>
                <w:bCs/>
                <w:sz w:val="15"/>
                <w:szCs w:val="15"/>
              </w:rPr>
              <w:instrText>通过共价有机框架中的带边控制增强高温碘捕获</w:instrText>
            </w:r>
            <w:r w:rsidRPr="00B50702">
              <w:rPr>
                <w:b/>
                <w:bCs/>
                <w:sz w:val="15"/>
                <w:szCs w:val="15"/>
              </w:rPr>
              <w:instrText xml:space="preserve">","page":"153777","source":"DOI.org (Crossref)","title":"Enhanced high-temperature iodine capture through band-edge control in covalent organic frameworks","volume":"496","author":[{"family":"Zhu","given":"Yaling"},{"family":"Li","given":"Yi"},{"family":"Luo","given":"Dan"},{"family":"He","given":"Yanlei"},{"family":"Zhou","given":"Jianqiao"},{"family":"Jiang","given":"Dan"},{"family":"Zhang","given":"Xiuyun"},{"family":"Chi","given":"Xiaodong"}],"issued":{"date-parts":[["2024",9]]}}}],"schema":"https://github.com/citation-style-language/schema/raw/master/csl-citation.json"} </w:instrText>
            </w:r>
            <w:r w:rsidRPr="00B50702">
              <w:rPr>
                <w:b/>
                <w:bCs/>
                <w:sz w:val="15"/>
                <w:szCs w:val="15"/>
              </w:rPr>
              <w:fldChar w:fldCharType="separate"/>
            </w:r>
            <w:r w:rsidRPr="00B50702">
              <w:rPr>
                <w:sz w:val="15"/>
              </w:rPr>
              <w:t>[19]</w:t>
            </w:r>
            <w:r w:rsidRPr="00B50702">
              <w:rPr>
                <w:b/>
                <w:bCs/>
                <w:sz w:val="15"/>
                <w:szCs w:val="15"/>
              </w:rPr>
              <w:fldChar w:fldCharType="end"/>
            </w:r>
          </w:p>
        </w:tc>
        <w:tc>
          <w:tcPr>
            <w:tcW w:w="0" w:type="auto"/>
            <w:tcBorders>
              <w:bottom w:val="single" w:sz="4" w:space="0" w:color="auto"/>
            </w:tcBorders>
          </w:tcPr>
          <w:p w14:paraId="5E56306C" w14:textId="77777777" w:rsidR="007E3433" w:rsidRPr="00B50702" w:rsidRDefault="007E3433" w:rsidP="003534D2">
            <w:pPr>
              <w:tabs>
                <w:tab w:val="left" w:pos="426"/>
              </w:tabs>
              <w:autoSpaceDE w:val="0"/>
              <w:autoSpaceDN w:val="0"/>
              <w:adjustRightInd w:val="0"/>
              <w:ind w:firstLineChars="0" w:firstLine="0"/>
              <w:rPr>
                <w:sz w:val="15"/>
                <w:szCs w:val="15"/>
              </w:rPr>
            </w:pPr>
            <w:r w:rsidRPr="00B50702">
              <w:rPr>
                <w:sz w:val="15"/>
                <w:szCs w:val="15"/>
              </w:rPr>
              <w:t>C</w:t>
            </w:r>
            <w:r w:rsidRPr="00B50702">
              <w:rPr>
                <w:sz w:val="15"/>
                <w:szCs w:val="15"/>
                <w:vertAlign w:val="subscript"/>
              </w:rPr>
              <w:t>8</w:t>
            </w:r>
            <w:r w:rsidRPr="00B50702">
              <w:rPr>
                <w:sz w:val="15"/>
                <w:szCs w:val="15"/>
              </w:rPr>
              <w:t>H</w:t>
            </w:r>
            <w:r w:rsidRPr="00B50702">
              <w:rPr>
                <w:sz w:val="15"/>
                <w:szCs w:val="15"/>
                <w:vertAlign w:val="subscript"/>
              </w:rPr>
              <w:t>2</w:t>
            </w:r>
            <w:r w:rsidRPr="00B50702">
              <w:rPr>
                <w:sz w:val="15"/>
                <w:szCs w:val="15"/>
              </w:rPr>
              <w:t>F</w:t>
            </w:r>
            <w:r w:rsidRPr="00B50702">
              <w:rPr>
                <w:sz w:val="15"/>
                <w:szCs w:val="15"/>
                <w:vertAlign w:val="subscript"/>
              </w:rPr>
              <w:t>4</w:t>
            </w:r>
            <w:r w:rsidRPr="00B50702">
              <w:rPr>
                <w:sz w:val="15"/>
                <w:szCs w:val="15"/>
              </w:rPr>
              <w:t>O</w:t>
            </w:r>
            <w:r w:rsidRPr="00B50702">
              <w:rPr>
                <w:sz w:val="15"/>
                <w:szCs w:val="15"/>
                <w:vertAlign w:val="subscript"/>
              </w:rPr>
              <w:t>2</w:t>
            </w:r>
          </w:p>
        </w:tc>
        <w:tc>
          <w:tcPr>
            <w:tcW w:w="0" w:type="auto"/>
            <w:tcBorders>
              <w:bottom w:val="single" w:sz="4" w:space="0" w:color="auto"/>
            </w:tcBorders>
          </w:tcPr>
          <w:p w14:paraId="2B8C8537"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550D12A8" wp14:editId="7191AC71">
                  <wp:extent cx="452904" cy="4762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895" cy="480447"/>
                          </a:xfrm>
                          <a:prstGeom prst="rect">
                            <a:avLst/>
                          </a:prstGeom>
                        </pic:spPr>
                      </pic:pic>
                    </a:graphicData>
                  </a:graphic>
                </wp:inline>
              </w:drawing>
            </w:r>
          </w:p>
        </w:tc>
        <w:tc>
          <w:tcPr>
            <w:tcW w:w="0" w:type="auto"/>
            <w:tcBorders>
              <w:bottom w:val="single" w:sz="4" w:space="0" w:color="auto"/>
            </w:tcBorders>
          </w:tcPr>
          <w:p w14:paraId="48DF4AA0"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18.24</w:t>
            </w:r>
          </w:p>
        </w:tc>
        <w:tc>
          <w:tcPr>
            <w:tcW w:w="0" w:type="auto"/>
            <w:tcBorders>
              <w:bottom w:val="single" w:sz="4" w:space="0" w:color="auto"/>
            </w:tcBorders>
          </w:tcPr>
          <w:p w14:paraId="393EA614"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3217-47-8</w:t>
            </w:r>
          </w:p>
        </w:tc>
      </w:tr>
      <w:tr w:rsidR="007E3433" w:rsidRPr="00B50702" w14:paraId="33812368" w14:textId="77777777" w:rsidTr="003534D2">
        <w:trPr>
          <w:trHeight w:val="329"/>
          <w:jc w:val="center"/>
        </w:trPr>
        <w:tc>
          <w:tcPr>
            <w:tcW w:w="0" w:type="auto"/>
            <w:tcBorders>
              <w:bottom w:val="single" w:sz="12" w:space="0" w:color="auto"/>
            </w:tcBorders>
          </w:tcPr>
          <w:p w14:paraId="586215FC"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lastRenderedPageBreak/>
              <w:t>1,3,5-Tris(4-</w:t>
            </w:r>
            <w:proofErr w:type="gramStart"/>
            <w:r w:rsidRPr="00B50702">
              <w:rPr>
                <w:b/>
                <w:bCs/>
                <w:sz w:val="15"/>
                <w:szCs w:val="15"/>
              </w:rPr>
              <w:t>aminophenyl)benzene</w:t>
            </w:r>
            <w:proofErr w:type="gramEnd"/>
            <w:r w:rsidRPr="00B50702">
              <w:rPr>
                <w:b/>
                <w:bCs/>
                <w:sz w:val="15"/>
                <w:szCs w:val="15"/>
              </w:rPr>
              <w:t>)</w:t>
            </w:r>
          </w:p>
          <w:p w14:paraId="45F25670" w14:textId="77777777" w:rsidR="007E3433" w:rsidRPr="00B50702" w:rsidRDefault="007E3433" w:rsidP="003534D2">
            <w:pPr>
              <w:tabs>
                <w:tab w:val="left" w:pos="426"/>
              </w:tabs>
              <w:autoSpaceDE w:val="0"/>
              <w:autoSpaceDN w:val="0"/>
              <w:adjustRightInd w:val="0"/>
              <w:ind w:firstLineChars="0" w:firstLine="0"/>
              <w:rPr>
                <w:b/>
                <w:bCs/>
                <w:sz w:val="15"/>
                <w:szCs w:val="15"/>
              </w:rPr>
            </w:pPr>
            <w:r w:rsidRPr="00B50702">
              <w:rPr>
                <w:b/>
                <w:bCs/>
                <w:sz w:val="15"/>
                <w:szCs w:val="15"/>
              </w:rPr>
              <w:t>(TPA)</w:t>
            </w:r>
            <w:r w:rsidRPr="00B50702">
              <w:rPr>
                <w:b/>
                <w:bCs/>
                <w:sz w:val="15"/>
                <w:szCs w:val="15"/>
              </w:rPr>
              <w:fldChar w:fldCharType="begin"/>
            </w:r>
            <w:r w:rsidRPr="00B50702">
              <w:rPr>
                <w:b/>
                <w:bCs/>
                <w:sz w:val="15"/>
                <w:szCs w:val="15"/>
              </w:rPr>
              <w:instrText xml:space="preserve"> ADDIN ZOTERO_ITEM CSL_CITATION {"citationID":"Reti8Yz2","properties":{"formattedCitation":"[13]","plainCitation":"[13]","noteIndex":0},"citationItems":[{"id":768,"uris":["http://zotero.org/users/14169885/items/8DUPX42D"],"itemData":{"id":768,"type":"article-journal","abstract":"Nuclear energy is a sustainable, low-carbon footprint, and cost-effective future energy source that might play an important role in the foreseeable energy demand. However, due to the volatility and long half-life of the released waste radioiodine from nuclear power stations, appropriate handling of radioactive waste is still a great challenge. Using covalent organic polymers (COPs) adsorbents to capture radioactive iodine compounds has gained much attention due to the simplicity of operation, low maintenance costs, and resistance to highly corrosive solutions. Herein, three as-synthesized amine-linked COP materials with heteroatoms (N, P, and O) are employed for iodine capture and obtain excellent iodine capture capacity due to the strong interactions of abundant heteroatoms with iodine compounds. The gas-phase iodine adsorption capacity of as-prepared COPs reached &gt; 2.1 g gad1s in 1 h, with an optimal gas-phase iodine adsorption capacity of 3.96 g gad1s and a liquid-phase iodine adsorption capacity of 905.69 mg gad1s. This study showed the promising iodine removal capabilities of heteroatoms-containing COPs from nuclear wastewater and nuclear exhaust gases.","container-title":"Chemical Engineering Journal","DOI":"10.1016/j.cej.2024.149739","ISSN":"13858947","journalAbbreviation":"Chemical Engineering Journal","language":"en","note":"abstractTranslation: </w:instrText>
            </w:r>
            <w:r w:rsidRPr="00B50702">
              <w:rPr>
                <w:b/>
                <w:bCs/>
                <w:sz w:val="15"/>
                <w:szCs w:val="15"/>
              </w:rPr>
              <w:instrText>核能是一种可持续、低碳足迹和具有成本效益的未来能源，可能在可预见的能源需求中发挥重要作用。然而，由于核电站释放的放射性碘废物的挥发性和半衰期较长，适当处理放射性废物仍然是一个巨大的挑战。使用共价有机聚合物（</w:instrText>
            </w:r>
            <w:r w:rsidRPr="00B50702">
              <w:rPr>
                <w:b/>
                <w:bCs/>
                <w:sz w:val="15"/>
                <w:szCs w:val="15"/>
              </w:rPr>
              <w:instrText>COP</w:instrText>
            </w:r>
            <w:r w:rsidRPr="00B50702">
              <w:rPr>
                <w:b/>
                <w:bCs/>
                <w:sz w:val="15"/>
                <w:szCs w:val="15"/>
              </w:rPr>
              <w:instrText>）吸附剂捕获放射性碘化合物因其操作简单、维护成本低和耐高腐蚀性溶液而受到广泛关注。本文中，三种合成的具有杂原子（</w:instrText>
            </w:r>
            <w:r w:rsidRPr="00B50702">
              <w:rPr>
                <w:b/>
                <w:bCs/>
                <w:sz w:val="15"/>
                <w:szCs w:val="15"/>
              </w:rPr>
              <w:instrText>N</w:instrText>
            </w:r>
            <w:r w:rsidRPr="00B50702">
              <w:rPr>
                <w:b/>
                <w:bCs/>
                <w:sz w:val="15"/>
                <w:szCs w:val="15"/>
              </w:rPr>
              <w:instrText>、</w:instrText>
            </w:r>
            <w:r w:rsidRPr="00B50702">
              <w:rPr>
                <w:b/>
                <w:bCs/>
                <w:sz w:val="15"/>
                <w:szCs w:val="15"/>
              </w:rPr>
              <w:instrText>P</w:instrText>
            </w:r>
            <w:r w:rsidRPr="00B50702">
              <w:rPr>
                <w:b/>
                <w:bCs/>
                <w:sz w:val="15"/>
                <w:szCs w:val="15"/>
              </w:rPr>
              <w:instrText>和</w:instrText>
            </w:r>
            <w:r w:rsidRPr="00B50702">
              <w:rPr>
                <w:b/>
                <w:bCs/>
                <w:sz w:val="15"/>
                <w:szCs w:val="15"/>
              </w:rPr>
              <w:instrText>O</w:instrText>
            </w:r>
            <w:r w:rsidRPr="00B50702">
              <w:rPr>
                <w:b/>
                <w:bCs/>
                <w:sz w:val="15"/>
                <w:szCs w:val="15"/>
              </w:rPr>
              <w:instrText>）的胺连接</w:instrText>
            </w:r>
            <w:r w:rsidRPr="00B50702">
              <w:rPr>
                <w:b/>
                <w:bCs/>
                <w:sz w:val="15"/>
                <w:szCs w:val="15"/>
              </w:rPr>
              <w:instrText>COP</w:instrText>
            </w:r>
            <w:r w:rsidRPr="00B50702">
              <w:rPr>
                <w:b/>
                <w:bCs/>
                <w:sz w:val="15"/>
                <w:szCs w:val="15"/>
              </w:rPr>
              <w:instrText>材料用于碘捕获，并由于丰富的杂原子与碘化合物的强相互作用而获得了优异的碘捕获能力。所制备的</w:instrText>
            </w:r>
            <w:r w:rsidRPr="00B50702">
              <w:rPr>
                <w:b/>
                <w:bCs/>
                <w:sz w:val="15"/>
                <w:szCs w:val="15"/>
              </w:rPr>
              <w:instrText>COP</w:instrText>
            </w:r>
            <w:r w:rsidRPr="00B50702">
              <w:rPr>
                <w:b/>
                <w:bCs/>
                <w:sz w:val="15"/>
                <w:szCs w:val="15"/>
              </w:rPr>
              <w:instrText>的气相碘吸附容量在</w:instrText>
            </w:r>
            <w:r w:rsidRPr="00B50702">
              <w:rPr>
                <w:b/>
                <w:bCs/>
                <w:sz w:val="15"/>
                <w:szCs w:val="15"/>
              </w:rPr>
              <w:instrText>1</w:instrText>
            </w:r>
            <w:r w:rsidRPr="00B50702">
              <w:rPr>
                <w:b/>
                <w:bCs/>
                <w:sz w:val="15"/>
                <w:szCs w:val="15"/>
              </w:rPr>
              <w:instrText>小时内达到</w:instrText>
            </w:r>
            <w:r w:rsidRPr="00B50702">
              <w:rPr>
                <w:b/>
                <w:bCs/>
                <w:sz w:val="15"/>
                <w:szCs w:val="15"/>
              </w:rPr>
              <w:instrText>&gt;2.1 g gad1s</w:instrText>
            </w:r>
            <w:r w:rsidRPr="00B50702">
              <w:rPr>
                <w:b/>
                <w:bCs/>
                <w:sz w:val="15"/>
                <w:szCs w:val="15"/>
              </w:rPr>
              <w:instrText>，最佳气相碘吸收容量为</w:instrText>
            </w:r>
            <w:r w:rsidRPr="00B50702">
              <w:rPr>
                <w:b/>
                <w:bCs/>
                <w:sz w:val="15"/>
                <w:szCs w:val="15"/>
              </w:rPr>
              <w:instrText>3.96 g gad3s</w:instrText>
            </w:r>
            <w:r w:rsidRPr="00B50702">
              <w:rPr>
                <w:b/>
                <w:bCs/>
                <w:sz w:val="15"/>
                <w:szCs w:val="15"/>
              </w:rPr>
              <w:instrText>，液相碘吸附能力为</w:instrText>
            </w:r>
            <w:r w:rsidRPr="00B50702">
              <w:rPr>
                <w:b/>
                <w:bCs/>
                <w:sz w:val="15"/>
                <w:szCs w:val="15"/>
              </w:rPr>
              <w:instrText>905.69 mg gad1s</w:instrText>
            </w:r>
            <w:r w:rsidRPr="00B50702">
              <w:rPr>
                <w:b/>
                <w:bCs/>
                <w:sz w:val="15"/>
                <w:szCs w:val="15"/>
              </w:rPr>
              <w:instrText>。这项研究表明，含杂原子的</w:instrText>
            </w:r>
            <w:r w:rsidRPr="00B50702">
              <w:rPr>
                <w:b/>
                <w:bCs/>
                <w:sz w:val="15"/>
                <w:szCs w:val="15"/>
              </w:rPr>
              <w:instrText>COP</w:instrText>
            </w:r>
            <w:r w:rsidRPr="00B50702">
              <w:rPr>
                <w:b/>
                <w:bCs/>
                <w:sz w:val="15"/>
                <w:szCs w:val="15"/>
              </w:rPr>
              <w:instrText>从核废水和核废气中去除碘的能力很有前景。</w:instrText>
            </w:r>
            <w:r w:rsidRPr="00B50702">
              <w:rPr>
                <w:b/>
                <w:bCs/>
                <w:sz w:val="15"/>
                <w:szCs w:val="15"/>
              </w:rPr>
              <w:instrText xml:space="preserve">\ntitleTranslation: </w:instrText>
            </w:r>
            <w:r w:rsidRPr="00B50702">
              <w:rPr>
                <w:b/>
                <w:bCs/>
                <w:sz w:val="15"/>
                <w:szCs w:val="15"/>
              </w:rPr>
              <w:instrText>共价有机聚合物用于有效去除气相和液相环境中的碘</w:instrText>
            </w:r>
            <w:r w:rsidRPr="00B50702">
              <w:rPr>
                <w:b/>
                <w:bCs/>
                <w:sz w:val="15"/>
                <w:szCs w:val="15"/>
              </w:rPr>
              <w:instrText xml:space="preserve">","page":"149739","source":"DOI.org (Crossref)","title":"Covalent organic polymers for efficient removal of iodine from gas- and liquid-phase environments","volume":"484","author":[{"family":"Zhu","given":"Haishan"},{"family":"Qin","given":"Yuancheng"},{"family":"Guo","given":"Yue"},{"family":"Shen","given":"Zhen"},{"family":"Imran","given":"Muhammad"},{"family":"Asim Mushtaq","given":"Muhammad"},{"family":"Zhang","given":"Zhiqi"},{"family":"Ni","given":"Cailing"},{"family":"Chen","given":"Yanqing"},{"family":"Ding","given":"Yangbin"},{"family":"Gul","given":"Hajera"},{"family":"Zou","given":"Jianping"},{"family":"Tsiakaras","given":"Panagiotis"},{"family":"Hsu","given":"Hsien-Yi"},{"family":"Zhao","given":"Jie"}],"issued":{"date-parts":[["2024",3]]}}}],"schema":"https://github.com/citation-style-language/schema/raw/master/csl-citation.json"} </w:instrText>
            </w:r>
            <w:r w:rsidRPr="00B50702">
              <w:rPr>
                <w:b/>
                <w:bCs/>
                <w:sz w:val="15"/>
                <w:szCs w:val="15"/>
              </w:rPr>
              <w:fldChar w:fldCharType="separate"/>
            </w:r>
            <w:r w:rsidRPr="00B50702">
              <w:rPr>
                <w:sz w:val="15"/>
              </w:rPr>
              <w:t>[13]</w:t>
            </w:r>
            <w:r w:rsidRPr="00B50702">
              <w:rPr>
                <w:b/>
                <w:bCs/>
                <w:sz w:val="15"/>
                <w:szCs w:val="15"/>
              </w:rPr>
              <w:fldChar w:fldCharType="end"/>
            </w:r>
          </w:p>
        </w:tc>
        <w:tc>
          <w:tcPr>
            <w:tcW w:w="0" w:type="auto"/>
            <w:tcBorders>
              <w:bottom w:val="single" w:sz="12" w:space="0" w:color="auto"/>
            </w:tcBorders>
          </w:tcPr>
          <w:p w14:paraId="7CEAE41F" w14:textId="77777777" w:rsidR="007E3433" w:rsidRPr="00B50702" w:rsidRDefault="007E3433" w:rsidP="003534D2">
            <w:pPr>
              <w:tabs>
                <w:tab w:val="left" w:pos="426"/>
              </w:tabs>
              <w:autoSpaceDE w:val="0"/>
              <w:autoSpaceDN w:val="0"/>
              <w:adjustRightInd w:val="0"/>
              <w:ind w:firstLineChars="0" w:firstLine="0"/>
              <w:rPr>
                <w:sz w:val="15"/>
                <w:szCs w:val="15"/>
              </w:rPr>
            </w:pPr>
            <w:r w:rsidRPr="00B50702">
              <w:rPr>
                <w:sz w:val="15"/>
                <w:szCs w:val="15"/>
              </w:rPr>
              <w:t>C</w:t>
            </w:r>
            <w:r w:rsidRPr="00B50702">
              <w:rPr>
                <w:sz w:val="15"/>
                <w:szCs w:val="15"/>
                <w:vertAlign w:val="subscript"/>
              </w:rPr>
              <w:t>24</w:t>
            </w:r>
            <w:r w:rsidRPr="00B50702">
              <w:rPr>
                <w:sz w:val="15"/>
                <w:szCs w:val="15"/>
              </w:rPr>
              <w:t>H</w:t>
            </w:r>
            <w:r w:rsidRPr="00B50702">
              <w:rPr>
                <w:sz w:val="15"/>
                <w:szCs w:val="15"/>
                <w:vertAlign w:val="subscript"/>
              </w:rPr>
              <w:t>21</w:t>
            </w:r>
            <w:r w:rsidRPr="00B50702">
              <w:rPr>
                <w:sz w:val="15"/>
                <w:szCs w:val="15"/>
              </w:rPr>
              <w:t>N</w:t>
            </w:r>
          </w:p>
        </w:tc>
        <w:tc>
          <w:tcPr>
            <w:tcW w:w="0" w:type="auto"/>
            <w:tcBorders>
              <w:bottom w:val="single" w:sz="12" w:space="0" w:color="auto"/>
            </w:tcBorders>
          </w:tcPr>
          <w:p w14:paraId="5A3E6682" w14:textId="77777777" w:rsidR="007E3433" w:rsidRPr="00B50702" w:rsidRDefault="007E3433" w:rsidP="003534D2">
            <w:pPr>
              <w:tabs>
                <w:tab w:val="left" w:pos="426"/>
              </w:tabs>
              <w:autoSpaceDE w:val="0"/>
              <w:autoSpaceDN w:val="0"/>
              <w:adjustRightInd w:val="0"/>
              <w:ind w:firstLineChars="0" w:firstLine="0"/>
              <w:rPr>
                <w:noProof/>
                <w:color w:val="000000" w:themeColor="text1"/>
                <w:sz w:val="15"/>
                <w:szCs w:val="15"/>
              </w:rPr>
            </w:pPr>
            <w:r w:rsidRPr="00B50702">
              <w:rPr>
                <w:noProof/>
                <w:color w:val="000000" w:themeColor="text1"/>
                <w:sz w:val="15"/>
                <w:szCs w:val="15"/>
              </w:rPr>
              <w:drawing>
                <wp:inline distT="0" distB="0" distL="0" distR="0" wp14:anchorId="7C915D17" wp14:editId="6FAD26E0">
                  <wp:extent cx="554745" cy="45180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054" cy="477301"/>
                          </a:xfrm>
                          <a:prstGeom prst="rect">
                            <a:avLst/>
                          </a:prstGeom>
                        </pic:spPr>
                      </pic:pic>
                    </a:graphicData>
                  </a:graphic>
                </wp:inline>
              </w:drawing>
            </w:r>
          </w:p>
        </w:tc>
        <w:tc>
          <w:tcPr>
            <w:tcW w:w="0" w:type="auto"/>
            <w:tcBorders>
              <w:bottom w:val="single" w:sz="12" w:space="0" w:color="auto"/>
            </w:tcBorders>
          </w:tcPr>
          <w:p w14:paraId="26EF5CC6"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19.49</w:t>
            </w:r>
          </w:p>
        </w:tc>
        <w:tc>
          <w:tcPr>
            <w:tcW w:w="0" w:type="auto"/>
            <w:tcBorders>
              <w:bottom w:val="single" w:sz="12" w:space="0" w:color="auto"/>
            </w:tcBorders>
          </w:tcPr>
          <w:p w14:paraId="47C6DFB6" w14:textId="77777777" w:rsidR="007E3433" w:rsidRPr="00B50702" w:rsidRDefault="007E3433" w:rsidP="003534D2">
            <w:pPr>
              <w:tabs>
                <w:tab w:val="left" w:pos="426"/>
              </w:tabs>
              <w:autoSpaceDE w:val="0"/>
              <w:autoSpaceDN w:val="0"/>
              <w:adjustRightInd w:val="0"/>
              <w:ind w:firstLineChars="0" w:firstLine="0"/>
              <w:rPr>
                <w:color w:val="000000" w:themeColor="text1"/>
                <w:sz w:val="15"/>
                <w:szCs w:val="15"/>
              </w:rPr>
            </w:pPr>
            <w:r w:rsidRPr="00B50702">
              <w:rPr>
                <w:color w:val="000000" w:themeColor="text1"/>
                <w:sz w:val="15"/>
                <w:szCs w:val="15"/>
              </w:rPr>
              <w:t>118727-34-7</w:t>
            </w:r>
          </w:p>
        </w:tc>
      </w:tr>
      <w:bookmarkEnd w:id="6"/>
    </w:tbl>
    <w:p w14:paraId="7C3821E5" w14:textId="2553F31A" w:rsidR="007E3433" w:rsidRDefault="007E3433" w:rsidP="007E3433">
      <w:pPr>
        <w:pStyle w:val="a8"/>
        <w:spacing w:beforeLines="100" w:before="326"/>
        <w:ind w:firstLineChars="0" w:firstLine="0"/>
        <w:jc w:val="center"/>
        <w:rPr>
          <w:b w:val="0"/>
          <w:bCs/>
        </w:rPr>
      </w:pPr>
      <w:r w:rsidRPr="00B50702">
        <w:br w:type="page"/>
      </w:r>
      <w:r w:rsidRPr="000065D5">
        <w:lastRenderedPageBreak/>
        <w:t>Table S</w:t>
      </w:r>
      <w:r w:rsidR="00E81E1A">
        <w:t>2</w:t>
      </w:r>
      <w:r w:rsidRPr="00B50702">
        <w:t xml:space="preserve"> </w:t>
      </w:r>
      <w:r w:rsidRPr="005A08DF">
        <w:rPr>
          <w:b w:val="0"/>
          <w:bCs/>
        </w:rPr>
        <w:t>Effect of EDC content on adsorption capacity</w:t>
      </w:r>
    </w:p>
    <w:tbl>
      <w:tblPr>
        <w:tblStyle w:val="a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7E3433" w14:paraId="6AE8534C" w14:textId="77777777" w:rsidTr="003534D2">
        <w:trPr>
          <w:jc w:val="center"/>
        </w:trPr>
        <w:tc>
          <w:tcPr>
            <w:tcW w:w="2074" w:type="dxa"/>
            <w:tcBorders>
              <w:top w:val="single" w:sz="12" w:space="0" w:color="auto"/>
              <w:bottom w:val="single" w:sz="6" w:space="0" w:color="auto"/>
            </w:tcBorders>
          </w:tcPr>
          <w:p w14:paraId="10795B96" w14:textId="77777777" w:rsidR="007E3433" w:rsidRDefault="007E3433" w:rsidP="003534D2">
            <w:pPr>
              <w:ind w:firstLineChars="0" w:firstLine="0"/>
            </w:pPr>
            <w:bookmarkStart w:id="8" w:name="_Hlk218670490"/>
            <w:r>
              <w:rPr>
                <w:b/>
                <w:bCs/>
                <w:color w:val="000000"/>
                <w:szCs w:val="28"/>
              </w:rPr>
              <w:t>C</w:t>
            </w:r>
            <w:r w:rsidRPr="008C2D25">
              <w:rPr>
                <w:b/>
                <w:bCs/>
                <w:color w:val="000000"/>
                <w:szCs w:val="28"/>
                <w:vertAlign w:val="subscript"/>
              </w:rPr>
              <w:t>EDC</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1ABB33AE" w14:textId="77777777" w:rsidR="007E3433" w:rsidRDefault="007E3433" w:rsidP="003534D2">
            <w:pPr>
              <w:ind w:firstLineChars="0" w:firstLine="0"/>
            </w:pPr>
            <w:r>
              <w:rPr>
                <w:b/>
                <w:bCs/>
                <w:color w:val="000000"/>
                <w:szCs w:val="28"/>
              </w:rPr>
              <w:t>C</w:t>
            </w:r>
            <w:r w:rsidRPr="008C2D25">
              <w:rPr>
                <w:b/>
                <w:bCs/>
                <w:color w:val="000000"/>
                <w:szCs w:val="28"/>
                <w:vertAlign w:val="subscript"/>
              </w:rPr>
              <w:t>NHS</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1ABA57CE" w14:textId="77777777" w:rsidR="007E3433" w:rsidRDefault="007E3433" w:rsidP="003534D2">
            <w:pPr>
              <w:ind w:firstLineChars="0" w:firstLine="0"/>
            </w:pPr>
            <w:r>
              <w:rPr>
                <w:b/>
                <w:bCs/>
                <w:color w:val="000000"/>
                <w:szCs w:val="28"/>
              </w:rPr>
              <w:t>C</w:t>
            </w:r>
            <w:r w:rsidRPr="008C2D25">
              <w:rPr>
                <w:b/>
                <w:bCs/>
                <w:color w:val="000000"/>
                <w:szCs w:val="28"/>
                <w:vertAlign w:val="subscript"/>
              </w:rPr>
              <w:t>PEI</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79C73926" w14:textId="77777777" w:rsidR="007E3433" w:rsidRDefault="007E3433" w:rsidP="003534D2">
            <w:pPr>
              <w:ind w:firstLineChars="0" w:firstLine="0"/>
            </w:pPr>
            <w:r w:rsidRPr="00B50702">
              <w:rPr>
                <w:b/>
                <w:bCs/>
                <w:color w:val="000000"/>
                <w:szCs w:val="28"/>
              </w:rPr>
              <w:t>t/h</w:t>
            </w:r>
          </w:p>
        </w:tc>
      </w:tr>
      <w:tr w:rsidR="007E3433" w14:paraId="180BA76E" w14:textId="77777777" w:rsidTr="003534D2">
        <w:trPr>
          <w:jc w:val="center"/>
        </w:trPr>
        <w:tc>
          <w:tcPr>
            <w:tcW w:w="2074" w:type="dxa"/>
            <w:tcBorders>
              <w:top w:val="single" w:sz="6" w:space="0" w:color="auto"/>
            </w:tcBorders>
          </w:tcPr>
          <w:p w14:paraId="6DD08B69" w14:textId="77777777" w:rsidR="007E3433" w:rsidRDefault="007E3433" w:rsidP="003534D2">
            <w:pPr>
              <w:ind w:firstLineChars="0" w:firstLine="0"/>
            </w:pPr>
            <w:r w:rsidRPr="008E0310">
              <w:rPr>
                <w:color w:val="000000"/>
                <w:szCs w:val="28"/>
              </w:rPr>
              <w:t>1</w:t>
            </w:r>
          </w:p>
        </w:tc>
        <w:tc>
          <w:tcPr>
            <w:tcW w:w="2074" w:type="dxa"/>
            <w:tcBorders>
              <w:top w:val="single" w:sz="6" w:space="0" w:color="auto"/>
            </w:tcBorders>
          </w:tcPr>
          <w:p w14:paraId="74811E46" w14:textId="77777777" w:rsidR="007E3433" w:rsidRDefault="007E3433" w:rsidP="003534D2">
            <w:pPr>
              <w:ind w:firstLineChars="0" w:firstLine="0"/>
            </w:pPr>
            <w:r>
              <w:rPr>
                <w:rFonts w:hint="eastAsia"/>
              </w:rPr>
              <w:t>2</w:t>
            </w:r>
            <w:r>
              <w:t>0</w:t>
            </w:r>
          </w:p>
        </w:tc>
        <w:tc>
          <w:tcPr>
            <w:tcW w:w="2074" w:type="dxa"/>
            <w:tcBorders>
              <w:top w:val="single" w:sz="6" w:space="0" w:color="auto"/>
            </w:tcBorders>
          </w:tcPr>
          <w:p w14:paraId="18734943" w14:textId="77777777" w:rsidR="007E3433" w:rsidRDefault="007E3433" w:rsidP="003534D2">
            <w:pPr>
              <w:ind w:firstLineChars="0" w:firstLine="0"/>
            </w:pPr>
            <w:r>
              <w:rPr>
                <w:rFonts w:hint="eastAsia"/>
              </w:rPr>
              <w:t>2</w:t>
            </w:r>
            <w:r>
              <w:t>0</w:t>
            </w:r>
          </w:p>
        </w:tc>
        <w:tc>
          <w:tcPr>
            <w:tcW w:w="2074" w:type="dxa"/>
            <w:tcBorders>
              <w:top w:val="single" w:sz="6" w:space="0" w:color="auto"/>
            </w:tcBorders>
          </w:tcPr>
          <w:p w14:paraId="19CE3D20" w14:textId="77777777" w:rsidR="007E3433" w:rsidRDefault="007E3433" w:rsidP="003534D2">
            <w:pPr>
              <w:ind w:firstLineChars="0" w:firstLine="0"/>
            </w:pPr>
            <w:r>
              <w:rPr>
                <w:rFonts w:hint="eastAsia"/>
              </w:rPr>
              <w:t>1</w:t>
            </w:r>
            <w:r>
              <w:t>2</w:t>
            </w:r>
          </w:p>
        </w:tc>
      </w:tr>
      <w:tr w:rsidR="007E3433" w14:paraId="7FAD52EA" w14:textId="77777777" w:rsidTr="003534D2">
        <w:trPr>
          <w:jc w:val="center"/>
        </w:trPr>
        <w:tc>
          <w:tcPr>
            <w:tcW w:w="2074" w:type="dxa"/>
          </w:tcPr>
          <w:p w14:paraId="1222E049" w14:textId="77777777" w:rsidR="007E3433" w:rsidRDefault="007E3433" w:rsidP="003534D2">
            <w:pPr>
              <w:ind w:firstLineChars="0" w:firstLine="0"/>
            </w:pPr>
            <w:r w:rsidRPr="008E0310">
              <w:rPr>
                <w:color w:val="000000"/>
                <w:szCs w:val="28"/>
              </w:rPr>
              <w:t>5</w:t>
            </w:r>
          </w:p>
        </w:tc>
        <w:tc>
          <w:tcPr>
            <w:tcW w:w="2074" w:type="dxa"/>
          </w:tcPr>
          <w:p w14:paraId="5F030245" w14:textId="77777777" w:rsidR="007E3433" w:rsidRDefault="007E3433" w:rsidP="003534D2">
            <w:pPr>
              <w:ind w:firstLineChars="0" w:firstLine="0"/>
            </w:pPr>
            <w:r>
              <w:rPr>
                <w:rFonts w:hint="eastAsia"/>
              </w:rPr>
              <w:t>2</w:t>
            </w:r>
            <w:r>
              <w:t>0</w:t>
            </w:r>
          </w:p>
        </w:tc>
        <w:tc>
          <w:tcPr>
            <w:tcW w:w="2074" w:type="dxa"/>
          </w:tcPr>
          <w:p w14:paraId="117B0249" w14:textId="77777777" w:rsidR="007E3433" w:rsidRDefault="007E3433" w:rsidP="003534D2">
            <w:pPr>
              <w:ind w:firstLineChars="0" w:firstLine="0"/>
            </w:pPr>
            <w:r>
              <w:rPr>
                <w:rFonts w:hint="eastAsia"/>
              </w:rPr>
              <w:t>2</w:t>
            </w:r>
            <w:r>
              <w:t>0</w:t>
            </w:r>
          </w:p>
        </w:tc>
        <w:tc>
          <w:tcPr>
            <w:tcW w:w="2074" w:type="dxa"/>
          </w:tcPr>
          <w:p w14:paraId="37136F9B" w14:textId="77777777" w:rsidR="007E3433" w:rsidRDefault="007E3433" w:rsidP="003534D2">
            <w:pPr>
              <w:ind w:firstLineChars="0" w:firstLine="0"/>
            </w:pPr>
            <w:r>
              <w:rPr>
                <w:rFonts w:hint="eastAsia"/>
              </w:rPr>
              <w:t>1</w:t>
            </w:r>
            <w:r>
              <w:t>2</w:t>
            </w:r>
          </w:p>
        </w:tc>
      </w:tr>
      <w:tr w:rsidR="007E3433" w14:paraId="4EA38A30" w14:textId="77777777" w:rsidTr="003534D2">
        <w:trPr>
          <w:jc w:val="center"/>
        </w:trPr>
        <w:tc>
          <w:tcPr>
            <w:tcW w:w="2074" w:type="dxa"/>
          </w:tcPr>
          <w:p w14:paraId="3752D165" w14:textId="77777777" w:rsidR="007E3433" w:rsidRDefault="007E3433" w:rsidP="003534D2">
            <w:pPr>
              <w:ind w:firstLineChars="0" w:firstLine="0"/>
            </w:pPr>
            <w:r w:rsidRPr="008E0310">
              <w:rPr>
                <w:color w:val="000000"/>
                <w:szCs w:val="28"/>
              </w:rPr>
              <w:t>10</w:t>
            </w:r>
          </w:p>
        </w:tc>
        <w:tc>
          <w:tcPr>
            <w:tcW w:w="2074" w:type="dxa"/>
          </w:tcPr>
          <w:p w14:paraId="7F37E93A" w14:textId="77777777" w:rsidR="007E3433" w:rsidRDefault="007E3433" w:rsidP="003534D2">
            <w:pPr>
              <w:ind w:firstLineChars="0" w:firstLine="0"/>
            </w:pPr>
            <w:r>
              <w:rPr>
                <w:rFonts w:hint="eastAsia"/>
              </w:rPr>
              <w:t>2</w:t>
            </w:r>
            <w:r>
              <w:t>0</w:t>
            </w:r>
          </w:p>
        </w:tc>
        <w:tc>
          <w:tcPr>
            <w:tcW w:w="2074" w:type="dxa"/>
          </w:tcPr>
          <w:p w14:paraId="1EFB5899" w14:textId="77777777" w:rsidR="007E3433" w:rsidRDefault="007E3433" w:rsidP="003534D2">
            <w:pPr>
              <w:ind w:firstLineChars="0" w:firstLine="0"/>
            </w:pPr>
            <w:r>
              <w:rPr>
                <w:rFonts w:hint="eastAsia"/>
              </w:rPr>
              <w:t>2</w:t>
            </w:r>
            <w:r>
              <w:t>0</w:t>
            </w:r>
          </w:p>
        </w:tc>
        <w:tc>
          <w:tcPr>
            <w:tcW w:w="2074" w:type="dxa"/>
          </w:tcPr>
          <w:p w14:paraId="2B82A93E" w14:textId="77777777" w:rsidR="007E3433" w:rsidRDefault="007E3433" w:rsidP="003534D2">
            <w:pPr>
              <w:ind w:firstLineChars="0" w:firstLine="0"/>
            </w:pPr>
            <w:r>
              <w:rPr>
                <w:rFonts w:hint="eastAsia"/>
              </w:rPr>
              <w:t>1</w:t>
            </w:r>
            <w:r>
              <w:t>2</w:t>
            </w:r>
          </w:p>
        </w:tc>
      </w:tr>
      <w:tr w:rsidR="007E3433" w14:paraId="5A3D4C12" w14:textId="77777777" w:rsidTr="003534D2">
        <w:trPr>
          <w:jc w:val="center"/>
        </w:trPr>
        <w:tc>
          <w:tcPr>
            <w:tcW w:w="2074" w:type="dxa"/>
          </w:tcPr>
          <w:p w14:paraId="72F92508" w14:textId="77777777" w:rsidR="007E3433" w:rsidRDefault="007E3433" w:rsidP="003534D2">
            <w:pPr>
              <w:ind w:firstLineChars="0" w:firstLine="0"/>
            </w:pPr>
            <w:r w:rsidRPr="008E0310">
              <w:rPr>
                <w:color w:val="000000"/>
                <w:szCs w:val="28"/>
              </w:rPr>
              <w:t>20</w:t>
            </w:r>
          </w:p>
        </w:tc>
        <w:tc>
          <w:tcPr>
            <w:tcW w:w="2074" w:type="dxa"/>
          </w:tcPr>
          <w:p w14:paraId="5B0E9CB0" w14:textId="77777777" w:rsidR="007E3433" w:rsidRDefault="007E3433" w:rsidP="003534D2">
            <w:pPr>
              <w:ind w:firstLineChars="0" w:firstLine="0"/>
            </w:pPr>
            <w:r>
              <w:rPr>
                <w:rFonts w:hint="eastAsia"/>
              </w:rPr>
              <w:t>2</w:t>
            </w:r>
            <w:r>
              <w:t>0</w:t>
            </w:r>
          </w:p>
        </w:tc>
        <w:tc>
          <w:tcPr>
            <w:tcW w:w="2074" w:type="dxa"/>
          </w:tcPr>
          <w:p w14:paraId="5A9E04A5" w14:textId="77777777" w:rsidR="007E3433" w:rsidRDefault="007E3433" w:rsidP="003534D2">
            <w:pPr>
              <w:ind w:firstLineChars="0" w:firstLine="0"/>
            </w:pPr>
            <w:r>
              <w:rPr>
                <w:rFonts w:hint="eastAsia"/>
              </w:rPr>
              <w:t>2</w:t>
            </w:r>
            <w:r>
              <w:t>0</w:t>
            </w:r>
          </w:p>
        </w:tc>
        <w:tc>
          <w:tcPr>
            <w:tcW w:w="2074" w:type="dxa"/>
          </w:tcPr>
          <w:p w14:paraId="7B251FAE" w14:textId="77777777" w:rsidR="007E3433" w:rsidRDefault="007E3433" w:rsidP="003534D2">
            <w:pPr>
              <w:ind w:firstLineChars="0" w:firstLine="0"/>
            </w:pPr>
            <w:r>
              <w:rPr>
                <w:rFonts w:hint="eastAsia"/>
              </w:rPr>
              <w:t>1</w:t>
            </w:r>
            <w:r>
              <w:t>2</w:t>
            </w:r>
          </w:p>
        </w:tc>
      </w:tr>
      <w:tr w:rsidR="007E3433" w14:paraId="1927936C" w14:textId="77777777" w:rsidTr="003534D2">
        <w:trPr>
          <w:jc w:val="center"/>
        </w:trPr>
        <w:tc>
          <w:tcPr>
            <w:tcW w:w="2074" w:type="dxa"/>
          </w:tcPr>
          <w:p w14:paraId="7C9C4419" w14:textId="77777777" w:rsidR="007E3433" w:rsidRDefault="007E3433" w:rsidP="003534D2">
            <w:pPr>
              <w:ind w:firstLineChars="0" w:firstLine="0"/>
            </w:pPr>
            <w:r w:rsidRPr="008E0310">
              <w:rPr>
                <w:color w:val="000000"/>
                <w:szCs w:val="28"/>
              </w:rPr>
              <w:t>40</w:t>
            </w:r>
          </w:p>
        </w:tc>
        <w:tc>
          <w:tcPr>
            <w:tcW w:w="2074" w:type="dxa"/>
          </w:tcPr>
          <w:p w14:paraId="11ED7310" w14:textId="77777777" w:rsidR="007E3433" w:rsidRDefault="007E3433" w:rsidP="003534D2">
            <w:pPr>
              <w:ind w:firstLineChars="0" w:firstLine="0"/>
            </w:pPr>
            <w:r>
              <w:rPr>
                <w:rFonts w:hint="eastAsia"/>
              </w:rPr>
              <w:t>2</w:t>
            </w:r>
            <w:r>
              <w:t>0</w:t>
            </w:r>
          </w:p>
        </w:tc>
        <w:tc>
          <w:tcPr>
            <w:tcW w:w="2074" w:type="dxa"/>
          </w:tcPr>
          <w:p w14:paraId="5D63E994" w14:textId="77777777" w:rsidR="007E3433" w:rsidRDefault="007E3433" w:rsidP="003534D2">
            <w:pPr>
              <w:ind w:firstLineChars="0" w:firstLine="0"/>
            </w:pPr>
            <w:r>
              <w:rPr>
                <w:rFonts w:hint="eastAsia"/>
              </w:rPr>
              <w:t>2</w:t>
            </w:r>
            <w:r>
              <w:t>0</w:t>
            </w:r>
          </w:p>
        </w:tc>
        <w:tc>
          <w:tcPr>
            <w:tcW w:w="2074" w:type="dxa"/>
          </w:tcPr>
          <w:p w14:paraId="5D04B884" w14:textId="77777777" w:rsidR="007E3433" w:rsidRDefault="007E3433" w:rsidP="003534D2">
            <w:pPr>
              <w:ind w:firstLineChars="0" w:firstLine="0"/>
            </w:pPr>
            <w:r>
              <w:rPr>
                <w:rFonts w:hint="eastAsia"/>
              </w:rPr>
              <w:t>1</w:t>
            </w:r>
            <w:r>
              <w:t>2</w:t>
            </w:r>
          </w:p>
        </w:tc>
      </w:tr>
      <w:tr w:rsidR="007E3433" w14:paraId="2FF02C04" w14:textId="77777777" w:rsidTr="003534D2">
        <w:trPr>
          <w:jc w:val="center"/>
        </w:trPr>
        <w:tc>
          <w:tcPr>
            <w:tcW w:w="2074" w:type="dxa"/>
          </w:tcPr>
          <w:p w14:paraId="1E4F4631" w14:textId="77777777" w:rsidR="007E3433" w:rsidRDefault="007E3433" w:rsidP="003534D2">
            <w:pPr>
              <w:ind w:firstLineChars="0" w:firstLine="0"/>
            </w:pPr>
            <w:r w:rsidRPr="008E0310">
              <w:rPr>
                <w:color w:val="000000"/>
                <w:szCs w:val="28"/>
              </w:rPr>
              <w:t>60</w:t>
            </w:r>
          </w:p>
        </w:tc>
        <w:tc>
          <w:tcPr>
            <w:tcW w:w="2074" w:type="dxa"/>
          </w:tcPr>
          <w:p w14:paraId="624482DE" w14:textId="77777777" w:rsidR="007E3433" w:rsidRDefault="007E3433" w:rsidP="003534D2">
            <w:pPr>
              <w:ind w:firstLineChars="0" w:firstLine="0"/>
            </w:pPr>
            <w:r>
              <w:rPr>
                <w:rFonts w:hint="eastAsia"/>
              </w:rPr>
              <w:t>2</w:t>
            </w:r>
            <w:r>
              <w:t>0</w:t>
            </w:r>
          </w:p>
        </w:tc>
        <w:tc>
          <w:tcPr>
            <w:tcW w:w="2074" w:type="dxa"/>
          </w:tcPr>
          <w:p w14:paraId="795D59E8" w14:textId="77777777" w:rsidR="007E3433" w:rsidRDefault="007E3433" w:rsidP="003534D2">
            <w:pPr>
              <w:ind w:firstLineChars="0" w:firstLine="0"/>
            </w:pPr>
            <w:r>
              <w:rPr>
                <w:rFonts w:hint="eastAsia"/>
              </w:rPr>
              <w:t>2</w:t>
            </w:r>
            <w:r>
              <w:t>0</w:t>
            </w:r>
          </w:p>
        </w:tc>
        <w:tc>
          <w:tcPr>
            <w:tcW w:w="2074" w:type="dxa"/>
          </w:tcPr>
          <w:p w14:paraId="0D4F22A1" w14:textId="77777777" w:rsidR="007E3433" w:rsidRDefault="007E3433" w:rsidP="003534D2">
            <w:pPr>
              <w:ind w:firstLineChars="0" w:firstLine="0"/>
            </w:pPr>
            <w:r>
              <w:rPr>
                <w:rFonts w:hint="eastAsia"/>
              </w:rPr>
              <w:t>1</w:t>
            </w:r>
            <w:r>
              <w:t>2</w:t>
            </w:r>
          </w:p>
        </w:tc>
      </w:tr>
    </w:tbl>
    <w:bookmarkEnd w:id="8"/>
    <w:p w14:paraId="2BD571C4" w14:textId="5620B2F1" w:rsidR="007E3433" w:rsidRDefault="007E3433" w:rsidP="007E3433">
      <w:pPr>
        <w:pStyle w:val="a8"/>
        <w:spacing w:beforeLines="100" w:before="326"/>
        <w:ind w:firstLineChars="0" w:firstLine="0"/>
        <w:jc w:val="center"/>
        <w:rPr>
          <w:b w:val="0"/>
          <w:bCs/>
        </w:rPr>
      </w:pPr>
      <w:r w:rsidRPr="000065D5">
        <w:t>Table S</w:t>
      </w:r>
      <w:r w:rsidR="00E81E1A">
        <w:t>3</w:t>
      </w:r>
      <w:r w:rsidRPr="00B50702">
        <w:t xml:space="preserve"> </w:t>
      </w:r>
      <w:r w:rsidRPr="005A08DF">
        <w:rPr>
          <w:b w:val="0"/>
          <w:bCs/>
        </w:rPr>
        <w:t>Effect of NHS content on adsorption capacity</w:t>
      </w:r>
    </w:p>
    <w:tbl>
      <w:tblPr>
        <w:tblStyle w:val="a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7E3433" w14:paraId="34D7B15A" w14:textId="77777777" w:rsidTr="003534D2">
        <w:trPr>
          <w:jc w:val="center"/>
        </w:trPr>
        <w:tc>
          <w:tcPr>
            <w:tcW w:w="2074" w:type="dxa"/>
            <w:tcBorders>
              <w:top w:val="single" w:sz="12" w:space="0" w:color="auto"/>
              <w:bottom w:val="single" w:sz="6" w:space="0" w:color="auto"/>
            </w:tcBorders>
          </w:tcPr>
          <w:p w14:paraId="367A3DA7" w14:textId="77777777" w:rsidR="007E3433" w:rsidRDefault="007E3433" w:rsidP="003534D2">
            <w:pPr>
              <w:ind w:firstLineChars="0" w:firstLine="0"/>
            </w:pPr>
            <w:r>
              <w:rPr>
                <w:b/>
                <w:bCs/>
                <w:color w:val="000000"/>
                <w:szCs w:val="28"/>
              </w:rPr>
              <w:t>C</w:t>
            </w:r>
            <w:r w:rsidRPr="008C2D25">
              <w:rPr>
                <w:b/>
                <w:bCs/>
                <w:color w:val="000000"/>
                <w:szCs w:val="28"/>
                <w:vertAlign w:val="subscript"/>
              </w:rPr>
              <w:t>EDC</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0A9BF428" w14:textId="77777777" w:rsidR="007E3433" w:rsidRDefault="007E3433" w:rsidP="003534D2">
            <w:pPr>
              <w:ind w:firstLineChars="0" w:firstLine="0"/>
            </w:pPr>
            <w:r>
              <w:rPr>
                <w:b/>
                <w:bCs/>
                <w:color w:val="000000"/>
                <w:szCs w:val="28"/>
              </w:rPr>
              <w:t>C</w:t>
            </w:r>
            <w:r w:rsidRPr="008C2D25">
              <w:rPr>
                <w:b/>
                <w:bCs/>
                <w:color w:val="000000"/>
                <w:szCs w:val="28"/>
                <w:vertAlign w:val="subscript"/>
              </w:rPr>
              <w:t>NHS</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1BF256C2" w14:textId="77777777" w:rsidR="007E3433" w:rsidRDefault="007E3433" w:rsidP="003534D2">
            <w:pPr>
              <w:ind w:firstLineChars="0" w:firstLine="0"/>
            </w:pPr>
            <w:r>
              <w:rPr>
                <w:b/>
                <w:bCs/>
                <w:color w:val="000000"/>
                <w:szCs w:val="28"/>
              </w:rPr>
              <w:t>C</w:t>
            </w:r>
            <w:r w:rsidRPr="008C2D25">
              <w:rPr>
                <w:b/>
                <w:bCs/>
                <w:color w:val="000000"/>
                <w:szCs w:val="28"/>
                <w:vertAlign w:val="subscript"/>
              </w:rPr>
              <w:t>PEI</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3AF71B1B" w14:textId="77777777" w:rsidR="007E3433" w:rsidRDefault="007E3433" w:rsidP="003534D2">
            <w:pPr>
              <w:ind w:firstLineChars="0" w:firstLine="0"/>
            </w:pPr>
            <w:r w:rsidRPr="00B50702">
              <w:rPr>
                <w:b/>
                <w:bCs/>
                <w:color w:val="000000"/>
                <w:szCs w:val="28"/>
              </w:rPr>
              <w:t>t/h</w:t>
            </w:r>
          </w:p>
        </w:tc>
      </w:tr>
      <w:tr w:rsidR="007E3433" w14:paraId="2EF89AE1" w14:textId="77777777" w:rsidTr="003534D2">
        <w:trPr>
          <w:jc w:val="center"/>
        </w:trPr>
        <w:tc>
          <w:tcPr>
            <w:tcW w:w="2074" w:type="dxa"/>
            <w:tcBorders>
              <w:top w:val="single" w:sz="6" w:space="0" w:color="auto"/>
            </w:tcBorders>
          </w:tcPr>
          <w:p w14:paraId="51BB9BAB" w14:textId="77777777" w:rsidR="007E3433" w:rsidRDefault="007E3433" w:rsidP="003534D2">
            <w:pPr>
              <w:ind w:firstLineChars="0" w:firstLine="0"/>
            </w:pPr>
            <w:r>
              <w:rPr>
                <w:rFonts w:hint="eastAsia"/>
              </w:rPr>
              <w:t>2</w:t>
            </w:r>
            <w:r>
              <w:t>0</w:t>
            </w:r>
          </w:p>
        </w:tc>
        <w:tc>
          <w:tcPr>
            <w:tcW w:w="2074" w:type="dxa"/>
            <w:tcBorders>
              <w:top w:val="single" w:sz="6" w:space="0" w:color="auto"/>
            </w:tcBorders>
            <w:vAlign w:val="center"/>
          </w:tcPr>
          <w:p w14:paraId="254FBE06" w14:textId="77777777" w:rsidR="007E3433" w:rsidRDefault="007E3433" w:rsidP="003534D2">
            <w:pPr>
              <w:ind w:firstLineChars="0" w:firstLine="0"/>
            </w:pPr>
            <w:r w:rsidRPr="00B50702">
              <w:rPr>
                <w:color w:val="000000"/>
                <w:szCs w:val="28"/>
              </w:rPr>
              <w:t>1</w:t>
            </w:r>
          </w:p>
        </w:tc>
        <w:tc>
          <w:tcPr>
            <w:tcW w:w="2074" w:type="dxa"/>
            <w:tcBorders>
              <w:top w:val="single" w:sz="6" w:space="0" w:color="auto"/>
            </w:tcBorders>
          </w:tcPr>
          <w:p w14:paraId="7F39A9EB" w14:textId="77777777" w:rsidR="007E3433" w:rsidRDefault="007E3433" w:rsidP="003534D2">
            <w:pPr>
              <w:ind w:firstLineChars="0" w:firstLine="0"/>
            </w:pPr>
            <w:r>
              <w:rPr>
                <w:rFonts w:hint="eastAsia"/>
              </w:rPr>
              <w:t>2</w:t>
            </w:r>
            <w:r>
              <w:t>0</w:t>
            </w:r>
          </w:p>
        </w:tc>
        <w:tc>
          <w:tcPr>
            <w:tcW w:w="2074" w:type="dxa"/>
            <w:tcBorders>
              <w:top w:val="single" w:sz="6" w:space="0" w:color="auto"/>
            </w:tcBorders>
          </w:tcPr>
          <w:p w14:paraId="62388FFC" w14:textId="77777777" w:rsidR="007E3433" w:rsidRDefault="007E3433" w:rsidP="003534D2">
            <w:pPr>
              <w:ind w:firstLineChars="0" w:firstLine="0"/>
            </w:pPr>
            <w:r>
              <w:rPr>
                <w:rFonts w:hint="eastAsia"/>
              </w:rPr>
              <w:t>1</w:t>
            </w:r>
            <w:r>
              <w:t>2</w:t>
            </w:r>
          </w:p>
        </w:tc>
      </w:tr>
      <w:tr w:rsidR="007E3433" w14:paraId="41B8EB8F" w14:textId="77777777" w:rsidTr="003534D2">
        <w:trPr>
          <w:jc w:val="center"/>
        </w:trPr>
        <w:tc>
          <w:tcPr>
            <w:tcW w:w="2074" w:type="dxa"/>
          </w:tcPr>
          <w:p w14:paraId="125A6589" w14:textId="77777777" w:rsidR="007E3433" w:rsidRDefault="007E3433" w:rsidP="003534D2">
            <w:pPr>
              <w:ind w:firstLineChars="0" w:firstLine="0"/>
            </w:pPr>
            <w:r>
              <w:rPr>
                <w:rFonts w:hint="eastAsia"/>
              </w:rPr>
              <w:t>2</w:t>
            </w:r>
            <w:r>
              <w:t>0</w:t>
            </w:r>
          </w:p>
        </w:tc>
        <w:tc>
          <w:tcPr>
            <w:tcW w:w="2074" w:type="dxa"/>
            <w:vAlign w:val="center"/>
          </w:tcPr>
          <w:p w14:paraId="30F5EA4C" w14:textId="77777777" w:rsidR="007E3433" w:rsidRDefault="007E3433" w:rsidP="003534D2">
            <w:pPr>
              <w:ind w:firstLineChars="0" w:firstLine="0"/>
            </w:pPr>
            <w:r w:rsidRPr="00B50702">
              <w:rPr>
                <w:color w:val="000000"/>
                <w:szCs w:val="28"/>
              </w:rPr>
              <w:t>5</w:t>
            </w:r>
          </w:p>
        </w:tc>
        <w:tc>
          <w:tcPr>
            <w:tcW w:w="2074" w:type="dxa"/>
          </w:tcPr>
          <w:p w14:paraId="652A41EB" w14:textId="77777777" w:rsidR="007E3433" w:rsidRDefault="007E3433" w:rsidP="003534D2">
            <w:pPr>
              <w:ind w:firstLineChars="0" w:firstLine="0"/>
            </w:pPr>
            <w:r>
              <w:rPr>
                <w:rFonts w:hint="eastAsia"/>
              </w:rPr>
              <w:t>2</w:t>
            </w:r>
            <w:r>
              <w:t>0</w:t>
            </w:r>
          </w:p>
        </w:tc>
        <w:tc>
          <w:tcPr>
            <w:tcW w:w="2074" w:type="dxa"/>
          </w:tcPr>
          <w:p w14:paraId="212FCC2F" w14:textId="77777777" w:rsidR="007E3433" w:rsidRDefault="007E3433" w:rsidP="003534D2">
            <w:pPr>
              <w:ind w:firstLineChars="0" w:firstLine="0"/>
            </w:pPr>
            <w:r>
              <w:rPr>
                <w:rFonts w:hint="eastAsia"/>
              </w:rPr>
              <w:t>1</w:t>
            </w:r>
            <w:r>
              <w:t>2</w:t>
            </w:r>
          </w:p>
        </w:tc>
      </w:tr>
      <w:tr w:rsidR="007E3433" w14:paraId="0181404F" w14:textId="77777777" w:rsidTr="003534D2">
        <w:trPr>
          <w:jc w:val="center"/>
        </w:trPr>
        <w:tc>
          <w:tcPr>
            <w:tcW w:w="2074" w:type="dxa"/>
          </w:tcPr>
          <w:p w14:paraId="6E31A789" w14:textId="77777777" w:rsidR="007E3433" w:rsidRDefault="007E3433" w:rsidP="003534D2">
            <w:pPr>
              <w:ind w:firstLineChars="0" w:firstLine="0"/>
            </w:pPr>
            <w:r>
              <w:rPr>
                <w:rFonts w:hint="eastAsia"/>
              </w:rPr>
              <w:t>2</w:t>
            </w:r>
            <w:r>
              <w:t>0</w:t>
            </w:r>
          </w:p>
        </w:tc>
        <w:tc>
          <w:tcPr>
            <w:tcW w:w="2074" w:type="dxa"/>
            <w:vAlign w:val="center"/>
          </w:tcPr>
          <w:p w14:paraId="01F523C4" w14:textId="77777777" w:rsidR="007E3433" w:rsidRDefault="007E3433" w:rsidP="003534D2">
            <w:pPr>
              <w:ind w:firstLineChars="0" w:firstLine="0"/>
            </w:pPr>
            <w:r w:rsidRPr="00B50702">
              <w:rPr>
                <w:color w:val="000000"/>
                <w:szCs w:val="28"/>
              </w:rPr>
              <w:t>10</w:t>
            </w:r>
          </w:p>
        </w:tc>
        <w:tc>
          <w:tcPr>
            <w:tcW w:w="2074" w:type="dxa"/>
          </w:tcPr>
          <w:p w14:paraId="3469C662" w14:textId="77777777" w:rsidR="007E3433" w:rsidRDefault="007E3433" w:rsidP="003534D2">
            <w:pPr>
              <w:ind w:firstLineChars="0" w:firstLine="0"/>
            </w:pPr>
            <w:r>
              <w:rPr>
                <w:rFonts w:hint="eastAsia"/>
              </w:rPr>
              <w:t>2</w:t>
            </w:r>
            <w:r>
              <w:t>0</w:t>
            </w:r>
          </w:p>
        </w:tc>
        <w:tc>
          <w:tcPr>
            <w:tcW w:w="2074" w:type="dxa"/>
          </w:tcPr>
          <w:p w14:paraId="58EC6F93" w14:textId="77777777" w:rsidR="007E3433" w:rsidRDefault="007E3433" w:rsidP="003534D2">
            <w:pPr>
              <w:ind w:firstLineChars="0" w:firstLine="0"/>
            </w:pPr>
            <w:r>
              <w:rPr>
                <w:rFonts w:hint="eastAsia"/>
              </w:rPr>
              <w:t>1</w:t>
            </w:r>
            <w:r>
              <w:t>2</w:t>
            </w:r>
          </w:p>
        </w:tc>
      </w:tr>
      <w:tr w:rsidR="007E3433" w14:paraId="54E5F75A" w14:textId="77777777" w:rsidTr="003534D2">
        <w:trPr>
          <w:jc w:val="center"/>
        </w:trPr>
        <w:tc>
          <w:tcPr>
            <w:tcW w:w="2074" w:type="dxa"/>
          </w:tcPr>
          <w:p w14:paraId="568CCB5F" w14:textId="77777777" w:rsidR="007E3433" w:rsidRDefault="007E3433" w:rsidP="003534D2">
            <w:pPr>
              <w:ind w:firstLineChars="0" w:firstLine="0"/>
            </w:pPr>
            <w:r>
              <w:rPr>
                <w:rFonts w:hint="eastAsia"/>
              </w:rPr>
              <w:t>2</w:t>
            </w:r>
            <w:r>
              <w:t>0</w:t>
            </w:r>
          </w:p>
        </w:tc>
        <w:tc>
          <w:tcPr>
            <w:tcW w:w="2074" w:type="dxa"/>
            <w:vAlign w:val="center"/>
          </w:tcPr>
          <w:p w14:paraId="7262EFF3" w14:textId="77777777" w:rsidR="007E3433" w:rsidRDefault="007E3433" w:rsidP="003534D2">
            <w:pPr>
              <w:ind w:firstLineChars="0" w:firstLine="0"/>
            </w:pPr>
            <w:r w:rsidRPr="00B50702">
              <w:rPr>
                <w:color w:val="000000"/>
                <w:szCs w:val="28"/>
              </w:rPr>
              <w:t>20</w:t>
            </w:r>
          </w:p>
        </w:tc>
        <w:tc>
          <w:tcPr>
            <w:tcW w:w="2074" w:type="dxa"/>
          </w:tcPr>
          <w:p w14:paraId="589C2CEB" w14:textId="77777777" w:rsidR="007E3433" w:rsidRDefault="007E3433" w:rsidP="003534D2">
            <w:pPr>
              <w:ind w:firstLineChars="0" w:firstLine="0"/>
            </w:pPr>
            <w:r>
              <w:rPr>
                <w:rFonts w:hint="eastAsia"/>
              </w:rPr>
              <w:t>2</w:t>
            </w:r>
            <w:r>
              <w:t>0</w:t>
            </w:r>
          </w:p>
        </w:tc>
        <w:tc>
          <w:tcPr>
            <w:tcW w:w="2074" w:type="dxa"/>
          </w:tcPr>
          <w:p w14:paraId="7A742615" w14:textId="77777777" w:rsidR="007E3433" w:rsidRDefault="007E3433" w:rsidP="003534D2">
            <w:pPr>
              <w:ind w:firstLineChars="0" w:firstLine="0"/>
            </w:pPr>
            <w:r>
              <w:rPr>
                <w:rFonts w:hint="eastAsia"/>
              </w:rPr>
              <w:t>1</w:t>
            </w:r>
            <w:r>
              <w:t>2</w:t>
            </w:r>
          </w:p>
        </w:tc>
      </w:tr>
      <w:tr w:rsidR="007E3433" w14:paraId="7D1D1489" w14:textId="77777777" w:rsidTr="003534D2">
        <w:trPr>
          <w:jc w:val="center"/>
        </w:trPr>
        <w:tc>
          <w:tcPr>
            <w:tcW w:w="2074" w:type="dxa"/>
          </w:tcPr>
          <w:p w14:paraId="154F1E20" w14:textId="77777777" w:rsidR="007E3433" w:rsidRDefault="007E3433" w:rsidP="003534D2">
            <w:pPr>
              <w:ind w:firstLineChars="0" w:firstLine="0"/>
            </w:pPr>
            <w:r>
              <w:rPr>
                <w:rFonts w:hint="eastAsia"/>
              </w:rPr>
              <w:t>2</w:t>
            </w:r>
            <w:r>
              <w:t>0</w:t>
            </w:r>
          </w:p>
        </w:tc>
        <w:tc>
          <w:tcPr>
            <w:tcW w:w="2074" w:type="dxa"/>
            <w:vAlign w:val="center"/>
          </w:tcPr>
          <w:p w14:paraId="174370B8" w14:textId="77777777" w:rsidR="007E3433" w:rsidRDefault="007E3433" w:rsidP="003534D2">
            <w:pPr>
              <w:ind w:firstLineChars="0" w:firstLine="0"/>
            </w:pPr>
            <w:r w:rsidRPr="00B50702">
              <w:rPr>
                <w:color w:val="000000"/>
                <w:szCs w:val="28"/>
              </w:rPr>
              <w:t>40</w:t>
            </w:r>
          </w:p>
        </w:tc>
        <w:tc>
          <w:tcPr>
            <w:tcW w:w="2074" w:type="dxa"/>
          </w:tcPr>
          <w:p w14:paraId="1147F413" w14:textId="77777777" w:rsidR="007E3433" w:rsidRDefault="007E3433" w:rsidP="003534D2">
            <w:pPr>
              <w:ind w:firstLineChars="0" w:firstLine="0"/>
            </w:pPr>
            <w:r>
              <w:rPr>
                <w:rFonts w:hint="eastAsia"/>
              </w:rPr>
              <w:t>2</w:t>
            </w:r>
            <w:r>
              <w:t>0</w:t>
            </w:r>
          </w:p>
        </w:tc>
        <w:tc>
          <w:tcPr>
            <w:tcW w:w="2074" w:type="dxa"/>
          </w:tcPr>
          <w:p w14:paraId="106B3D58" w14:textId="77777777" w:rsidR="007E3433" w:rsidRDefault="007E3433" w:rsidP="003534D2">
            <w:pPr>
              <w:ind w:firstLineChars="0" w:firstLine="0"/>
            </w:pPr>
            <w:r>
              <w:rPr>
                <w:rFonts w:hint="eastAsia"/>
              </w:rPr>
              <w:t>1</w:t>
            </w:r>
            <w:r>
              <w:t>2</w:t>
            </w:r>
          </w:p>
        </w:tc>
      </w:tr>
      <w:tr w:rsidR="007E3433" w14:paraId="7F9D0CEB" w14:textId="77777777" w:rsidTr="003534D2">
        <w:trPr>
          <w:jc w:val="center"/>
        </w:trPr>
        <w:tc>
          <w:tcPr>
            <w:tcW w:w="2074" w:type="dxa"/>
          </w:tcPr>
          <w:p w14:paraId="5FA9B51E" w14:textId="77777777" w:rsidR="007E3433" w:rsidRDefault="007E3433" w:rsidP="003534D2">
            <w:pPr>
              <w:ind w:firstLineChars="0" w:firstLine="0"/>
            </w:pPr>
            <w:r>
              <w:rPr>
                <w:rFonts w:hint="eastAsia"/>
              </w:rPr>
              <w:t>2</w:t>
            </w:r>
            <w:r>
              <w:t>0</w:t>
            </w:r>
          </w:p>
        </w:tc>
        <w:tc>
          <w:tcPr>
            <w:tcW w:w="2074" w:type="dxa"/>
            <w:vAlign w:val="center"/>
          </w:tcPr>
          <w:p w14:paraId="0C9628BA" w14:textId="77777777" w:rsidR="007E3433" w:rsidRDefault="007E3433" w:rsidP="003534D2">
            <w:pPr>
              <w:ind w:firstLineChars="0" w:firstLine="0"/>
            </w:pPr>
            <w:r w:rsidRPr="00B50702">
              <w:rPr>
                <w:color w:val="000000"/>
                <w:szCs w:val="28"/>
              </w:rPr>
              <w:t>60</w:t>
            </w:r>
          </w:p>
        </w:tc>
        <w:tc>
          <w:tcPr>
            <w:tcW w:w="2074" w:type="dxa"/>
          </w:tcPr>
          <w:p w14:paraId="77A51F77" w14:textId="77777777" w:rsidR="007E3433" w:rsidRDefault="007E3433" w:rsidP="003534D2">
            <w:pPr>
              <w:ind w:firstLineChars="0" w:firstLine="0"/>
            </w:pPr>
            <w:r>
              <w:rPr>
                <w:rFonts w:hint="eastAsia"/>
              </w:rPr>
              <w:t>2</w:t>
            </w:r>
            <w:r>
              <w:t>0</w:t>
            </w:r>
          </w:p>
        </w:tc>
        <w:tc>
          <w:tcPr>
            <w:tcW w:w="2074" w:type="dxa"/>
          </w:tcPr>
          <w:p w14:paraId="14B50567" w14:textId="77777777" w:rsidR="007E3433" w:rsidRDefault="007E3433" w:rsidP="003534D2">
            <w:pPr>
              <w:ind w:firstLineChars="0" w:firstLine="0"/>
            </w:pPr>
            <w:r>
              <w:rPr>
                <w:rFonts w:hint="eastAsia"/>
              </w:rPr>
              <w:t>1</w:t>
            </w:r>
            <w:r>
              <w:t>2</w:t>
            </w:r>
          </w:p>
        </w:tc>
      </w:tr>
    </w:tbl>
    <w:p w14:paraId="47057EAB" w14:textId="1212FA64" w:rsidR="007E3433" w:rsidRDefault="007E3433" w:rsidP="007E3433">
      <w:pPr>
        <w:pStyle w:val="a8"/>
        <w:spacing w:beforeLines="100" w:before="326"/>
        <w:ind w:firstLineChars="0" w:firstLine="0"/>
        <w:jc w:val="center"/>
        <w:rPr>
          <w:b w:val="0"/>
          <w:bCs/>
        </w:rPr>
      </w:pPr>
      <w:r w:rsidRPr="000065D5">
        <w:t>Table S</w:t>
      </w:r>
      <w:r w:rsidR="00E81E1A">
        <w:t>4</w:t>
      </w:r>
      <w:r w:rsidRPr="00B50702">
        <w:t xml:space="preserve"> </w:t>
      </w:r>
      <w:r w:rsidRPr="005A08DF">
        <w:rPr>
          <w:b w:val="0"/>
          <w:bCs/>
        </w:rPr>
        <w:t>Effect of PEI content on adsorption capacity</w:t>
      </w:r>
    </w:p>
    <w:tbl>
      <w:tblPr>
        <w:tblStyle w:val="a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7E3433" w14:paraId="6F5CB431" w14:textId="77777777" w:rsidTr="003534D2">
        <w:trPr>
          <w:jc w:val="center"/>
        </w:trPr>
        <w:tc>
          <w:tcPr>
            <w:tcW w:w="2074" w:type="dxa"/>
            <w:tcBorders>
              <w:top w:val="single" w:sz="12" w:space="0" w:color="auto"/>
              <w:bottom w:val="single" w:sz="6" w:space="0" w:color="auto"/>
            </w:tcBorders>
          </w:tcPr>
          <w:p w14:paraId="38D94428" w14:textId="77777777" w:rsidR="007E3433" w:rsidRDefault="007E3433" w:rsidP="003534D2">
            <w:pPr>
              <w:ind w:firstLineChars="0" w:firstLine="0"/>
            </w:pPr>
            <w:r>
              <w:rPr>
                <w:b/>
                <w:bCs/>
                <w:color w:val="000000"/>
                <w:szCs w:val="28"/>
              </w:rPr>
              <w:t>C</w:t>
            </w:r>
            <w:r w:rsidRPr="008C2D25">
              <w:rPr>
                <w:b/>
                <w:bCs/>
                <w:color w:val="000000"/>
                <w:szCs w:val="28"/>
                <w:vertAlign w:val="subscript"/>
              </w:rPr>
              <w:t>EDC</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02188ACD" w14:textId="77777777" w:rsidR="007E3433" w:rsidRDefault="007E3433" w:rsidP="003534D2">
            <w:pPr>
              <w:ind w:firstLineChars="0" w:firstLine="0"/>
            </w:pPr>
            <w:r>
              <w:rPr>
                <w:b/>
                <w:bCs/>
                <w:color w:val="000000"/>
                <w:szCs w:val="28"/>
              </w:rPr>
              <w:t>C</w:t>
            </w:r>
            <w:r w:rsidRPr="008C2D25">
              <w:rPr>
                <w:b/>
                <w:bCs/>
                <w:color w:val="000000"/>
                <w:szCs w:val="28"/>
                <w:vertAlign w:val="subscript"/>
              </w:rPr>
              <w:t>NHS</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02918CE7" w14:textId="77777777" w:rsidR="007E3433" w:rsidRDefault="007E3433" w:rsidP="003534D2">
            <w:pPr>
              <w:ind w:firstLineChars="0" w:firstLine="0"/>
            </w:pPr>
            <w:r>
              <w:rPr>
                <w:b/>
                <w:bCs/>
                <w:color w:val="000000"/>
                <w:szCs w:val="28"/>
              </w:rPr>
              <w:t>C</w:t>
            </w:r>
            <w:r w:rsidRPr="008C2D25">
              <w:rPr>
                <w:b/>
                <w:bCs/>
                <w:color w:val="000000"/>
                <w:szCs w:val="28"/>
                <w:vertAlign w:val="subscript"/>
              </w:rPr>
              <w:t>PEI</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24D736C4" w14:textId="77777777" w:rsidR="007E3433" w:rsidRDefault="007E3433" w:rsidP="003534D2">
            <w:pPr>
              <w:ind w:firstLineChars="0" w:firstLine="0"/>
            </w:pPr>
            <w:r w:rsidRPr="00B50702">
              <w:rPr>
                <w:b/>
                <w:bCs/>
                <w:color w:val="000000"/>
                <w:szCs w:val="28"/>
              </w:rPr>
              <w:t>t/h</w:t>
            </w:r>
          </w:p>
        </w:tc>
      </w:tr>
      <w:tr w:rsidR="007E3433" w14:paraId="347D5A55" w14:textId="77777777" w:rsidTr="003534D2">
        <w:trPr>
          <w:jc w:val="center"/>
        </w:trPr>
        <w:tc>
          <w:tcPr>
            <w:tcW w:w="2074" w:type="dxa"/>
            <w:tcBorders>
              <w:top w:val="single" w:sz="6" w:space="0" w:color="auto"/>
            </w:tcBorders>
          </w:tcPr>
          <w:p w14:paraId="5279C0CC" w14:textId="77777777" w:rsidR="007E3433" w:rsidRDefault="007E3433" w:rsidP="003534D2">
            <w:pPr>
              <w:ind w:firstLineChars="0" w:firstLine="0"/>
            </w:pPr>
            <w:r>
              <w:rPr>
                <w:rFonts w:hint="eastAsia"/>
              </w:rPr>
              <w:t>2</w:t>
            </w:r>
            <w:r>
              <w:t>0</w:t>
            </w:r>
          </w:p>
        </w:tc>
        <w:tc>
          <w:tcPr>
            <w:tcW w:w="2074" w:type="dxa"/>
            <w:tcBorders>
              <w:top w:val="single" w:sz="6" w:space="0" w:color="auto"/>
            </w:tcBorders>
          </w:tcPr>
          <w:p w14:paraId="23E63BD6" w14:textId="77777777" w:rsidR="007E3433" w:rsidRDefault="007E3433" w:rsidP="003534D2">
            <w:pPr>
              <w:ind w:firstLineChars="0" w:firstLine="0"/>
            </w:pPr>
            <w:r>
              <w:rPr>
                <w:rFonts w:hint="eastAsia"/>
              </w:rPr>
              <w:t>2</w:t>
            </w:r>
            <w:r>
              <w:t>0</w:t>
            </w:r>
          </w:p>
        </w:tc>
        <w:tc>
          <w:tcPr>
            <w:tcW w:w="2074" w:type="dxa"/>
            <w:tcBorders>
              <w:top w:val="single" w:sz="6" w:space="0" w:color="auto"/>
            </w:tcBorders>
            <w:vAlign w:val="center"/>
          </w:tcPr>
          <w:p w14:paraId="52923F88" w14:textId="77777777" w:rsidR="007E3433" w:rsidRDefault="007E3433" w:rsidP="003534D2">
            <w:pPr>
              <w:ind w:firstLineChars="0" w:firstLine="0"/>
            </w:pPr>
            <w:r w:rsidRPr="00B50702">
              <w:rPr>
                <w:color w:val="000000"/>
                <w:szCs w:val="28"/>
              </w:rPr>
              <w:t>20</w:t>
            </w:r>
          </w:p>
        </w:tc>
        <w:tc>
          <w:tcPr>
            <w:tcW w:w="2074" w:type="dxa"/>
            <w:tcBorders>
              <w:top w:val="single" w:sz="6" w:space="0" w:color="auto"/>
            </w:tcBorders>
          </w:tcPr>
          <w:p w14:paraId="4F9C267D" w14:textId="77777777" w:rsidR="007E3433" w:rsidRDefault="007E3433" w:rsidP="003534D2">
            <w:pPr>
              <w:ind w:firstLineChars="0" w:firstLine="0"/>
            </w:pPr>
            <w:r>
              <w:rPr>
                <w:rFonts w:hint="eastAsia"/>
              </w:rPr>
              <w:t>1</w:t>
            </w:r>
            <w:r>
              <w:t>2</w:t>
            </w:r>
          </w:p>
        </w:tc>
      </w:tr>
      <w:tr w:rsidR="007E3433" w14:paraId="184ABD64" w14:textId="77777777" w:rsidTr="003534D2">
        <w:trPr>
          <w:jc w:val="center"/>
        </w:trPr>
        <w:tc>
          <w:tcPr>
            <w:tcW w:w="2074" w:type="dxa"/>
          </w:tcPr>
          <w:p w14:paraId="47FF4F50" w14:textId="77777777" w:rsidR="007E3433" w:rsidRDefault="007E3433" w:rsidP="003534D2">
            <w:pPr>
              <w:ind w:firstLineChars="0" w:firstLine="0"/>
            </w:pPr>
            <w:r>
              <w:rPr>
                <w:rFonts w:hint="eastAsia"/>
              </w:rPr>
              <w:t>2</w:t>
            </w:r>
            <w:r>
              <w:t>0</w:t>
            </w:r>
          </w:p>
        </w:tc>
        <w:tc>
          <w:tcPr>
            <w:tcW w:w="2074" w:type="dxa"/>
          </w:tcPr>
          <w:p w14:paraId="28928123" w14:textId="77777777" w:rsidR="007E3433" w:rsidRDefault="007E3433" w:rsidP="003534D2">
            <w:pPr>
              <w:ind w:firstLineChars="0" w:firstLine="0"/>
            </w:pPr>
            <w:r>
              <w:rPr>
                <w:rFonts w:hint="eastAsia"/>
              </w:rPr>
              <w:t>2</w:t>
            </w:r>
            <w:r>
              <w:t>0</w:t>
            </w:r>
          </w:p>
        </w:tc>
        <w:tc>
          <w:tcPr>
            <w:tcW w:w="2074" w:type="dxa"/>
            <w:vAlign w:val="center"/>
          </w:tcPr>
          <w:p w14:paraId="1770E3B9" w14:textId="77777777" w:rsidR="007E3433" w:rsidRDefault="007E3433" w:rsidP="003534D2">
            <w:pPr>
              <w:ind w:firstLineChars="0" w:firstLine="0"/>
            </w:pPr>
            <w:r w:rsidRPr="00B50702">
              <w:rPr>
                <w:color w:val="000000"/>
                <w:szCs w:val="28"/>
              </w:rPr>
              <w:t>40</w:t>
            </w:r>
          </w:p>
        </w:tc>
        <w:tc>
          <w:tcPr>
            <w:tcW w:w="2074" w:type="dxa"/>
          </w:tcPr>
          <w:p w14:paraId="60DCF909" w14:textId="77777777" w:rsidR="007E3433" w:rsidRDefault="007E3433" w:rsidP="003534D2">
            <w:pPr>
              <w:ind w:firstLineChars="0" w:firstLine="0"/>
            </w:pPr>
            <w:r>
              <w:rPr>
                <w:rFonts w:hint="eastAsia"/>
              </w:rPr>
              <w:t>1</w:t>
            </w:r>
            <w:r>
              <w:t>2</w:t>
            </w:r>
          </w:p>
        </w:tc>
      </w:tr>
      <w:tr w:rsidR="007E3433" w14:paraId="5E68605B" w14:textId="77777777" w:rsidTr="003534D2">
        <w:trPr>
          <w:jc w:val="center"/>
        </w:trPr>
        <w:tc>
          <w:tcPr>
            <w:tcW w:w="2074" w:type="dxa"/>
          </w:tcPr>
          <w:p w14:paraId="0650671E" w14:textId="77777777" w:rsidR="007E3433" w:rsidRDefault="007E3433" w:rsidP="003534D2">
            <w:pPr>
              <w:ind w:firstLineChars="0" w:firstLine="0"/>
            </w:pPr>
            <w:r>
              <w:rPr>
                <w:rFonts w:hint="eastAsia"/>
              </w:rPr>
              <w:t>2</w:t>
            </w:r>
            <w:r>
              <w:t>0</w:t>
            </w:r>
          </w:p>
        </w:tc>
        <w:tc>
          <w:tcPr>
            <w:tcW w:w="2074" w:type="dxa"/>
          </w:tcPr>
          <w:p w14:paraId="5590AFCE" w14:textId="77777777" w:rsidR="007E3433" w:rsidRDefault="007E3433" w:rsidP="003534D2">
            <w:pPr>
              <w:ind w:firstLineChars="0" w:firstLine="0"/>
            </w:pPr>
            <w:r>
              <w:rPr>
                <w:rFonts w:hint="eastAsia"/>
              </w:rPr>
              <w:t>2</w:t>
            </w:r>
            <w:r>
              <w:t>0</w:t>
            </w:r>
          </w:p>
        </w:tc>
        <w:tc>
          <w:tcPr>
            <w:tcW w:w="2074" w:type="dxa"/>
            <w:vAlign w:val="center"/>
          </w:tcPr>
          <w:p w14:paraId="2AB55DBC" w14:textId="77777777" w:rsidR="007E3433" w:rsidRDefault="007E3433" w:rsidP="003534D2">
            <w:pPr>
              <w:ind w:firstLineChars="0" w:firstLine="0"/>
            </w:pPr>
            <w:r w:rsidRPr="00B50702">
              <w:rPr>
                <w:color w:val="000000"/>
                <w:szCs w:val="28"/>
              </w:rPr>
              <w:t>60</w:t>
            </w:r>
          </w:p>
        </w:tc>
        <w:tc>
          <w:tcPr>
            <w:tcW w:w="2074" w:type="dxa"/>
          </w:tcPr>
          <w:p w14:paraId="0AD9BE5B" w14:textId="77777777" w:rsidR="007E3433" w:rsidRDefault="007E3433" w:rsidP="003534D2">
            <w:pPr>
              <w:ind w:firstLineChars="0" w:firstLine="0"/>
            </w:pPr>
            <w:r>
              <w:rPr>
                <w:rFonts w:hint="eastAsia"/>
              </w:rPr>
              <w:t>1</w:t>
            </w:r>
            <w:r>
              <w:t>2</w:t>
            </w:r>
          </w:p>
        </w:tc>
      </w:tr>
      <w:tr w:rsidR="007E3433" w14:paraId="026B9012" w14:textId="77777777" w:rsidTr="003534D2">
        <w:trPr>
          <w:jc w:val="center"/>
        </w:trPr>
        <w:tc>
          <w:tcPr>
            <w:tcW w:w="2074" w:type="dxa"/>
          </w:tcPr>
          <w:p w14:paraId="65455ED8" w14:textId="77777777" w:rsidR="007E3433" w:rsidRDefault="007E3433" w:rsidP="003534D2">
            <w:pPr>
              <w:ind w:firstLineChars="0" w:firstLine="0"/>
            </w:pPr>
            <w:r>
              <w:rPr>
                <w:rFonts w:hint="eastAsia"/>
              </w:rPr>
              <w:t>2</w:t>
            </w:r>
            <w:r>
              <w:t>0</w:t>
            </w:r>
          </w:p>
        </w:tc>
        <w:tc>
          <w:tcPr>
            <w:tcW w:w="2074" w:type="dxa"/>
          </w:tcPr>
          <w:p w14:paraId="315471DE" w14:textId="77777777" w:rsidR="007E3433" w:rsidRDefault="007E3433" w:rsidP="003534D2">
            <w:pPr>
              <w:ind w:firstLineChars="0" w:firstLine="0"/>
            </w:pPr>
            <w:r>
              <w:rPr>
                <w:rFonts w:hint="eastAsia"/>
              </w:rPr>
              <w:t>2</w:t>
            </w:r>
            <w:r>
              <w:t>0</w:t>
            </w:r>
          </w:p>
        </w:tc>
        <w:tc>
          <w:tcPr>
            <w:tcW w:w="2074" w:type="dxa"/>
            <w:vAlign w:val="center"/>
          </w:tcPr>
          <w:p w14:paraId="0FA10C9F" w14:textId="77777777" w:rsidR="007E3433" w:rsidRDefault="007E3433" w:rsidP="003534D2">
            <w:pPr>
              <w:ind w:firstLineChars="0" w:firstLine="0"/>
            </w:pPr>
            <w:r w:rsidRPr="00B50702">
              <w:rPr>
                <w:color w:val="000000"/>
                <w:szCs w:val="28"/>
              </w:rPr>
              <w:t>80</w:t>
            </w:r>
          </w:p>
        </w:tc>
        <w:tc>
          <w:tcPr>
            <w:tcW w:w="2074" w:type="dxa"/>
          </w:tcPr>
          <w:p w14:paraId="306DE15E" w14:textId="77777777" w:rsidR="007E3433" w:rsidRDefault="007E3433" w:rsidP="003534D2">
            <w:pPr>
              <w:ind w:firstLineChars="0" w:firstLine="0"/>
            </w:pPr>
            <w:r>
              <w:rPr>
                <w:rFonts w:hint="eastAsia"/>
              </w:rPr>
              <w:t>1</w:t>
            </w:r>
            <w:r>
              <w:t>2</w:t>
            </w:r>
          </w:p>
        </w:tc>
      </w:tr>
      <w:tr w:rsidR="007E3433" w14:paraId="134DE1B9" w14:textId="77777777" w:rsidTr="003534D2">
        <w:trPr>
          <w:jc w:val="center"/>
        </w:trPr>
        <w:tc>
          <w:tcPr>
            <w:tcW w:w="2074" w:type="dxa"/>
          </w:tcPr>
          <w:p w14:paraId="7382A980" w14:textId="77777777" w:rsidR="007E3433" w:rsidRDefault="007E3433" w:rsidP="003534D2">
            <w:pPr>
              <w:ind w:firstLineChars="0" w:firstLine="0"/>
            </w:pPr>
            <w:r>
              <w:rPr>
                <w:rFonts w:hint="eastAsia"/>
              </w:rPr>
              <w:t>2</w:t>
            </w:r>
            <w:r>
              <w:t>0</w:t>
            </w:r>
          </w:p>
        </w:tc>
        <w:tc>
          <w:tcPr>
            <w:tcW w:w="2074" w:type="dxa"/>
          </w:tcPr>
          <w:p w14:paraId="76AD7EB9" w14:textId="77777777" w:rsidR="007E3433" w:rsidRDefault="007E3433" w:rsidP="003534D2">
            <w:pPr>
              <w:ind w:firstLineChars="0" w:firstLine="0"/>
            </w:pPr>
            <w:r>
              <w:rPr>
                <w:rFonts w:hint="eastAsia"/>
              </w:rPr>
              <w:t>2</w:t>
            </w:r>
            <w:r>
              <w:t>0</w:t>
            </w:r>
          </w:p>
        </w:tc>
        <w:tc>
          <w:tcPr>
            <w:tcW w:w="2074" w:type="dxa"/>
            <w:vAlign w:val="center"/>
          </w:tcPr>
          <w:p w14:paraId="78E36D46" w14:textId="77777777" w:rsidR="007E3433" w:rsidRDefault="007E3433" w:rsidP="003534D2">
            <w:pPr>
              <w:ind w:firstLineChars="0" w:firstLine="0"/>
            </w:pPr>
            <w:r w:rsidRPr="00B50702">
              <w:rPr>
                <w:color w:val="000000"/>
                <w:szCs w:val="28"/>
              </w:rPr>
              <w:t>120</w:t>
            </w:r>
          </w:p>
        </w:tc>
        <w:tc>
          <w:tcPr>
            <w:tcW w:w="2074" w:type="dxa"/>
          </w:tcPr>
          <w:p w14:paraId="47E41030" w14:textId="77777777" w:rsidR="007E3433" w:rsidRDefault="007E3433" w:rsidP="003534D2">
            <w:pPr>
              <w:ind w:firstLineChars="0" w:firstLine="0"/>
            </w:pPr>
            <w:r>
              <w:rPr>
                <w:rFonts w:hint="eastAsia"/>
              </w:rPr>
              <w:t>1</w:t>
            </w:r>
            <w:r>
              <w:t>2</w:t>
            </w:r>
          </w:p>
        </w:tc>
      </w:tr>
      <w:tr w:rsidR="007E3433" w14:paraId="4D149F31" w14:textId="77777777" w:rsidTr="003534D2">
        <w:trPr>
          <w:jc w:val="center"/>
        </w:trPr>
        <w:tc>
          <w:tcPr>
            <w:tcW w:w="2074" w:type="dxa"/>
          </w:tcPr>
          <w:p w14:paraId="2DD93958" w14:textId="77777777" w:rsidR="007E3433" w:rsidRDefault="007E3433" w:rsidP="003534D2">
            <w:pPr>
              <w:ind w:firstLineChars="0" w:firstLine="0"/>
            </w:pPr>
            <w:r>
              <w:rPr>
                <w:rFonts w:hint="eastAsia"/>
              </w:rPr>
              <w:t>2</w:t>
            </w:r>
            <w:r>
              <w:t>0</w:t>
            </w:r>
          </w:p>
        </w:tc>
        <w:tc>
          <w:tcPr>
            <w:tcW w:w="2074" w:type="dxa"/>
          </w:tcPr>
          <w:p w14:paraId="0179B539" w14:textId="77777777" w:rsidR="007E3433" w:rsidRDefault="007E3433" w:rsidP="003534D2">
            <w:pPr>
              <w:ind w:firstLineChars="0" w:firstLine="0"/>
            </w:pPr>
            <w:r>
              <w:rPr>
                <w:rFonts w:hint="eastAsia"/>
              </w:rPr>
              <w:t>2</w:t>
            </w:r>
            <w:r>
              <w:t>0</w:t>
            </w:r>
          </w:p>
        </w:tc>
        <w:tc>
          <w:tcPr>
            <w:tcW w:w="2074" w:type="dxa"/>
            <w:vAlign w:val="center"/>
          </w:tcPr>
          <w:p w14:paraId="3529ED6D" w14:textId="77777777" w:rsidR="007E3433" w:rsidRDefault="007E3433" w:rsidP="003534D2">
            <w:pPr>
              <w:ind w:firstLineChars="0" w:firstLine="0"/>
            </w:pPr>
            <w:r w:rsidRPr="00B50702">
              <w:rPr>
                <w:color w:val="000000"/>
                <w:szCs w:val="28"/>
              </w:rPr>
              <w:t>160</w:t>
            </w:r>
          </w:p>
        </w:tc>
        <w:tc>
          <w:tcPr>
            <w:tcW w:w="2074" w:type="dxa"/>
          </w:tcPr>
          <w:p w14:paraId="24863E66" w14:textId="77777777" w:rsidR="007E3433" w:rsidRDefault="007E3433" w:rsidP="003534D2">
            <w:pPr>
              <w:ind w:firstLineChars="0" w:firstLine="0"/>
            </w:pPr>
            <w:r>
              <w:rPr>
                <w:rFonts w:hint="eastAsia"/>
              </w:rPr>
              <w:t>1</w:t>
            </w:r>
            <w:r>
              <w:t>2</w:t>
            </w:r>
          </w:p>
        </w:tc>
      </w:tr>
    </w:tbl>
    <w:p w14:paraId="012D4DC1" w14:textId="77777777" w:rsidR="007E3433" w:rsidRPr="00B50702" w:rsidRDefault="007E3433" w:rsidP="007E3433">
      <w:pPr>
        <w:pStyle w:val="a8"/>
        <w:ind w:firstLine="181"/>
        <w:jc w:val="both"/>
      </w:pPr>
      <w:r w:rsidRPr="00B50702">
        <w:br w:type="page"/>
      </w:r>
    </w:p>
    <w:p w14:paraId="420C9751" w14:textId="53E7831B" w:rsidR="007E3433" w:rsidRDefault="007E3433" w:rsidP="007E3433">
      <w:pPr>
        <w:pStyle w:val="a8"/>
        <w:spacing w:beforeLines="100" w:before="326"/>
        <w:ind w:firstLineChars="0" w:firstLine="0"/>
        <w:jc w:val="center"/>
        <w:rPr>
          <w:b w:val="0"/>
          <w:bCs/>
          <w:szCs w:val="28"/>
        </w:rPr>
      </w:pPr>
      <w:r w:rsidRPr="000065D5">
        <w:lastRenderedPageBreak/>
        <w:t>Table S</w:t>
      </w:r>
      <w:r w:rsidR="00E81E1A">
        <w:t>5</w:t>
      </w:r>
      <w:r w:rsidRPr="00B50702">
        <w:t xml:space="preserve"> </w:t>
      </w:r>
      <w:r w:rsidRPr="005A08DF">
        <w:rPr>
          <w:b w:val="0"/>
          <w:bCs/>
          <w:szCs w:val="28"/>
        </w:rPr>
        <w:t>Effect of PEI grafting time on adsorption capacity</w:t>
      </w:r>
    </w:p>
    <w:tbl>
      <w:tblPr>
        <w:tblStyle w:val="a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7E3433" w14:paraId="68D0E42C" w14:textId="77777777" w:rsidTr="003534D2">
        <w:trPr>
          <w:jc w:val="center"/>
        </w:trPr>
        <w:tc>
          <w:tcPr>
            <w:tcW w:w="2074" w:type="dxa"/>
            <w:tcBorders>
              <w:top w:val="single" w:sz="12" w:space="0" w:color="auto"/>
              <w:bottom w:val="single" w:sz="6" w:space="0" w:color="auto"/>
            </w:tcBorders>
          </w:tcPr>
          <w:p w14:paraId="7815CCB9" w14:textId="77777777" w:rsidR="007E3433" w:rsidRDefault="007E3433" w:rsidP="003534D2">
            <w:pPr>
              <w:ind w:firstLineChars="0" w:firstLine="0"/>
            </w:pPr>
            <w:r>
              <w:rPr>
                <w:b/>
                <w:bCs/>
                <w:color w:val="000000"/>
                <w:szCs w:val="28"/>
              </w:rPr>
              <w:t>C</w:t>
            </w:r>
            <w:r w:rsidRPr="008C2D25">
              <w:rPr>
                <w:b/>
                <w:bCs/>
                <w:color w:val="000000"/>
                <w:szCs w:val="28"/>
                <w:vertAlign w:val="subscript"/>
              </w:rPr>
              <w:t>EDC</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775BD9C1" w14:textId="77777777" w:rsidR="007E3433" w:rsidRDefault="007E3433" w:rsidP="003534D2">
            <w:pPr>
              <w:ind w:firstLineChars="0" w:firstLine="0"/>
            </w:pPr>
            <w:r>
              <w:rPr>
                <w:b/>
                <w:bCs/>
                <w:color w:val="000000"/>
                <w:szCs w:val="28"/>
              </w:rPr>
              <w:t>C</w:t>
            </w:r>
            <w:r w:rsidRPr="008C2D25">
              <w:rPr>
                <w:b/>
                <w:bCs/>
                <w:color w:val="000000"/>
                <w:szCs w:val="28"/>
                <w:vertAlign w:val="subscript"/>
              </w:rPr>
              <w:t>NHS</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19BDA765" w14:textId="77777777" w:rsidR="007E3433" w:rsidRDefault="007E3433" w:rsidP="003534D2">
            <w:pPr>
              <w:ind w:firstLineChars="0" w:firstLine="0"/>
            </w:pPr>
            <w:r>
              <w:rPr>
                <w:b/>
                <w:bCs/>
                <w:color w:val="000000"/>
                <w:szCs w:val="28"/>
              </w:rPr>
              <w:t>C</w:t>
            </w:r>
            <w:r w:rsidRPr="008C2D25">
              <w:rPr>
                <w:b/>
                <w:bCs/>
                <w:color w:val="000000"/>
                <w:szCs w:val="28"/>
                <w:vertAlign w:val="subscript"/>
              </w:rPr>
              <w:t>PEI</w:t>
            </w:r>
            <w:r w:rsidRPr="00B50702">
              <w:rPr>
                <w:b/>
                <w:bCs/>
                <w:color w:val="000000"/>
                <w:szCs w:val="28"/>
              </w:rPr>
              <w:t>/</w:t>
            </w:r>
            <w:r w:rsidRPr="00103A6F">
              <w:rPr>
                <w:b/>
                <w:bCs/>
                <w:color w:val="000000"/>
                <w:szCs w:val="28"/>
              </w:rPr>
              <w:t>g·L</w:t>
            </w:r>
            <w:r w:rsidRPr="00B50702">
              <w:rPr>
                <w:b/>
                <w:bCs/>
                <w:color w:val="000000"/>
                <w:szCs w:val="28"/>
                <w:vertAlign w:val="superscript"/>
              </w:rPr>
              <w:t>-1</w:t>
            </w:r>
          </w:p>
        </w:tc>
        <w:tc>
          <w:tcPr>
            <w:tcW w:w="2074" w:type="dxa"/>
            <w:tcBorders>
              <w:top w:val="single" w:sz="12" w:space="0" w:color="auto"/>
              <w:bottom w:val="single" w:sz="6" w:space="0" w:color="auto"/>
            </w:tcBorders>
          </w:tcPr>
          <w:p w14:paraId="1BCB7EEC" w14:textId="77777777" w:rsidR="007E3433" w:rsidRDefault="007E3433" w:rsidP="003534D2">
            <w:pPr>
              <w:ind w:firstLineChars="0" w:firstLine="0"/>
            </w:pPr>
            <w:r w:rsidRPr="00B50702">
              <w:rPr>
                <w:b/>
                <w:bCs/>
                <w:color w:val="000000"/>
                <w:szCs w:val="28"/>
              </w:rPr>
              <w:t>t/h</w:t>
            </w:r>
          </w:p>
        </w:tc>
      </w:tr>
      <w:tr w:rsidR="007E3433" w14:paraId="2E90F0AF" w14:textId="77777777" w:rsidTr="003534D2">
        <w:trPr>
          <w:jc w:val="center"/>
        </w:trPr>
        <w:tc>
          <w:tcPr>
            <w:tcW w:w="2074" w:type="dxa"/>
            <w:tcBorders>
              <w:top w:val="single" w:sz="6" w:space="0" w:color="auto"/>
            </w:tcBorders>
          </w:tcPr>
          <w:p w14:paraId="30CE4DEB" w14:textId="77777777" w:rsidR="007E3433" w:rsidRDefault="007E3433" w:rsidP="003534D2">
            <w:pPr>
              <w:ind w:firstLineChars="0" w:firstLine="0"/>
            </w:pPr>
            <w:r>
              <w:t>1</w:t>
            </w:r>
          </w:p>
        </w:tc>
        <w:tc>
          <w:tcPr>
            <w:tcW w:w="2074" w:type="dxa"/>
            <w:tcBorders>
              <w:top w:val="single" w:sz="6" w:space="0" w:color="auto"/>
            </w:tcBorders>
            <w:vAlign w:val="center"/>
          </w:tcPr>
          <w:p w14:paraId="758FF35B" w14:textId="77777777" w:rsidR="007E3433" w:rsidRDefault="007E3433" w:rsidP="003534D2">
            <w:pPr>
              <w:ind w:firstLineChars="0" w:firstLine="0"/>
            </w:pPr>
            <w:r w:rsidRPr="00B50702">
              <w:rPr>
                <w:color w:val="000000"/>
                <w:szCs w:val="28"/>
              </w:rPr>
              <w:t>1</w:t>
            </w:r>
          </w:p>
        </w:tc>
        <w:tc>
          <w:tcPr>
            <w:tcW w:w="2074" w:type="dxa"/>
            <w:tcBorders>
              <w:top w:val="single" w:sz="6" w:space="0" w:color="auto"/>
            </w:tcBorders>
          </w:tcPr>
          <w:p w14:paraId="2E77D2BC" w14:textId="77777777" w:rsidR="007E3433" w:rsidRDefault="007E3433" w:rsidP="003534D2">
            <w:pPr>
              <w:ind w:firstLineChars="0" w:firstLine="0"/>
            </w:pPr>
            <w:r>
              <w:t>120</w:t>
            </w:r>
          </w:p>
        </w:tc>
        <w:tc>
          <w:tcPr>
            <w:tcW w:w="2074" w:type="dxa"/>
            <w:tcBorders>
              <w:top w:val="single" w:sz="6" w:space="0" w:color="auto"/>
            </w:tcBorders>
          </w:tcPr>
          <w:p w14:paraId="45DC46B2" w14:textId="77777777" w:rsidR="007E3433" w:rsidRDefault="007E3433" w:rsidP="003534D2">
            <w:pPr>
              <w:ind w:firstLineChars="0" w:firstLine="0"/>
            </w:pPr>
            <w:r>
              <w:t>6</w:t>
            </w:r>
          </w:p>
        </w:tc>
      </w:tr>
      <w:tr w:rsidR="007E3433" w14:paraId="716BB833" w14:textId="77777777" w:rsidTr="003534D2">
        <w:trPr>
          <w:jc w:val="center"/>
        </w:trPr>
        <w:tc>
          <w:tcPr>
            <w:tcW w:w="2074" w:type="dxa"/>
          </w:tcPr>
          <w:p w14:paraId="096E3122" w14:textId="77777777" w:rsidR="007E3433" w:rsidRDefault="007E3433" w:rsidP="003534D2">
            <w:pPr>
              <w:ind w:firstLineChars="0" w:firstLine="0"/>
            </w:pPr>
            <w:r>
              <w:t>1</w:t>
            </w:r>
          </w:p>
        </w:tc>
        <w:tc>
          <w:tcPr>
            <w:tcW w:w="2074" w:type="dxa"/>
            <w:vAlign w:val="center"/>
          </w:tcPr>
          <w:p w14:paraId="635FAABC" w14:textId="77777777" w:rsidR="007E3433" w:rsidRDefault="007E3433" w:rsidP="003534D2">
            <w:pPr>
              <w:ind w:firstLineChars="0" w:firstLine="0"/>
            </w:pPr>
            <w:r>
              <w:rPr>
                <w:color w:val="000000"/>
                <w:szCs w:val="28"/>
              </w:rPr>
              <w:t>1</w:t>
            </w:r>
          </w:p>
        </w:tc>
        <w:tc>
          <w:tcPr>
            <w:tcW w:w="2074" w:type="dxa"/>
          </w:tcPr>
          <w:p w14:paraId="6825CFC7" w14:textId="77777777" w:rsidR="007E3433" w:rsidRDefault="007E3433" w:rsidP="003534D2">
            <w:pPr>
              <w:ind w:firstLineChars="0" w:firstLine="0"/>
            </w:pPr>
            <w:r>
              <w:t>120</w:t>
            </w:r>
          </w:p>
        </w:tc>
        <w:tc>
          <w:tcPr>
            <w:tcW w:w="2074" w:type="dxa"/>
          </w:tcPr>
          <w:p w14:paraId="0DA0EB33" w14:textId="77777777" w:rsidR="007E3433" w:rsidRDefault="007E3433" w:rsidP="003534D2">
            <w:pPr>
              <w:ind w:firstLineChars="0" w:firstLine="0"/>
            </w:pPr>
            <w:r>
              <w:t>9</w:t>
            </w:r>
          </w:p>
        </w:tc>
      </w:tr>
      <w:tr w:rsidR="007E3433" w14:paraId="2923EBD7" w14:textId="77777777" w:rsidTr="003534D2">
        <w:trPr>
          <w:jc w:val="center"/>
        </w:trPr>
        <w:tc>
          <w:tcPr>
            <w:tcW w:w="2074" w:type="dxa"/>
          </w:tcPr>
          <w:p w14:paraId="4C8670F7" w14:textId="77777777" w:rsidR="007E3433" w:rsidRDefault="007E3433" w:rsidP="003534D2">
            <w:pPr>
              <w:ind w:firstLineChars="0" w:firstLine="0"/>
            </w:pPr>
            <w:r>
              <w:t>1</w:t>
            </w:r>
          </w:p>
        </w:tc>
        <w:tc>
          <w:tcPr>
            <w:tcW w:w="2074" w:type="dxa"/>
            <w:vAlign w:val="center"/>
          </w:tcPr>
          <w:p w14:paraId="5CA8980F" w14:textId="77777777" w:rsidR="007E3433" w:rsidRDefault="007E3433" w:rsidP="003534D2">
            <w:pPr>
              <w:ind w:firstLineChars="0" w:firstLine="0"/>
            </w:pPr>
            <w:r>
              <w:rPr>
                <w:color w:val="000000"/>
                <w:szCs w:val="28"/>
              </w:rPr>
              <w:t>1</w:t>
            </w:r>
          </w:p>
        </w:tc>
        <w:tc>
          <w:tcPr>
            <w:tcW w:w="2074" w:type="dxa"/>
          </w:tcPr>
          <w:p w14:paraId="4ADE599B" w14:textId="77777777" w:rsidR="007E3433" w:rsidRDefault="007E3433" w:rsidP="003534D2">
            <w:pPr>
              <w:ind w:firstLineChars="0" w:firstLine="0"/>
            </w:pPr>
            <w:r>
              <w:t>120</w:t>
            </w:r>
          </w:p>
        </w:tc>
        <w:tc>
          <w:tcPr>
            <w:tcW w:w="2074" w:type="dxa"/>
          </w:tcPr>
          <w:p w14:paraId="4F206733" w14:textId="77777777" w:rsidR="007E3433" w:rsidRDefault="007E3433" w:rsidP="003534D2">
            <w:pPr>
              <w:ind w:firstLineChars="0" w:firstLine="0"/>
            </w:pPr>
            <w:r>
              <w:t>15</w:t>
            </w:r>
          </w:p>
        </w:tc>
      </w:tr>
      <w:tr w:rsidR="007E3433" w14:paraId="240EA8F1" w14:textId="77777777" w:rsidTr="003534D2">
        <w:trPr>
          <w:jc w:val="center"/>
        </w:trPr>
        <w:tc>
          <w:tcPr>
            <w:tcW w:w="2074" w:type="dxa"/>
          </w:tcPr>
          <w:p w14:paraId="621B688D" w14:textId="77777777" w:rsidR="007E3433" w:rsidRDefault="007E3433" w:rsidP="003534D2">
            <w:pPr>
              <w:ind w:firstLineChars="0" w:firstLine="0"/>
            </w:pPr>
            <w:r>
              <w:t>1</w:t>
            </w:r>
          </w:p>
        </w:tc>
        <w:tc>
          <w:tcPr>
            <w:tcW w:w="2074" w:type="dxa"/>
            <w:vAlign w:val="center"/>
          </w:tcPr>
          <w:p w14:paraId="5086D412" w14:textId="77777777" w:rsidR="007E3433" w:rsidRDefault="007E3433" w:rsidP="003534D2">
            <w:pPr>
              <w:ind w:firstLineChars="0" w:firstLine="0"/>
            </w:pPr>
            <w:r>
              <w:rPr>
                <w:color w:val="000000"/>
                <w:szCs w:val="28"/>
              </w:rPr>
              <w:t>1</w:t>
            </w:r>
          </w:p>
        </w:tc>
        <w:tc>
          <w:tcPr>
            <w:tcW w:w="2074" w:type="dxa"/>
          </w:tcPr>
          <w:p w14:paraId="5F829120" w14:textId="77777777" w:rsidR="007E3433" w:rsidRDefault="007E3433" w:rsidP="003534D2">
            <w:pPr>
              <w:ind w:firstLineChars="0" w:firstLine="0"/>
            </w:pPr>
            <w:r>
              <w:t>120</w:t>
            </w:r>
          </w:p>
        </w:tc>
        <w:tc>
          <w:tcPr>
            <w:tcW w:w="2074" w:type="dxa"/>
          </w:tcPr>
          <w:p w14:paraId="2F06699E" w14:textId="77777777" w:rsidR="007E3433" w:rsidRDefault="007E3433" w:rsidP="003534D2">
            <w:pPr>
              <w:ind w:firstLineChars="0" w:firstLine="0"/>
            </w:pPr>
            <w:r>
              <w:t>12</w:t>
            </w:r>
          </w:p>
        </w:tc>
      </w:tr>
      <w:tr w:rsidR="007E3433" w14:paraId="2250B599" w14:textId="77777777" w:rsidTr="003534D2">
        <w:trPr>
          <w:jc w:val="center"/>
        </w:trPr>
        <w:tc>
          <w:tcPr>
            <w:tcW w:w="2074" w:type="dxa"/>
          </w:tcPr>
          <w:p w14:paraId="6173F785" w14:textId="77777777" w:rsidR="007E3433" w:rsidRDefault="007E3433" w:rsidP="003534D2">
            <w:pPr>
              <w:ind w:firstLineChars="0" w:firstLine="0"/>
            </w:pPr>
            <w:r>
              <w:t>1</w:t>
            </w:r>
          </w:p>
        </w:tc>
        <w:tc>
          <w:tcPr>
            <w:tcW w:w="2074" w:type="dxa"/>
            <w:vAlign w:val="center"/>
          </w:tcPr>
          <w:p w14:paraId="38EB9E94" w14:textId="77777777" w:rsidR="007E3433" w:rsidRDefault="007E3433" w:rsidP="003534D2">
            <w:pPr>
              <w:ind w:firstLineChars="0" w:firstLine="0"/>
            </w:pPr>
            <w:r>
              <w:rPr>
                <w:color w:val="000000"/>
                <w:szCs w:val="28"/>
              </w:rPr>
              <w:t>1</w:t>
            </w:r>
          </w:p>
        </w:tc>
        <w:tc>
          <w:tcPr>
            <w:tcW w:w="2074" w:type="dxa"/>
          </w:tcPr>
          <w:p w14:paraId="422F77DF" w14:textId="77777777" w:rsidR="007E3433" w:rsidRDefault="007E3433" w:rsidP="003534D2">
            <w:pPr>
              <w:ind w:firstLineChars="0" w:firstLine="0"/>
            </w:pPr>
            <w:r>
              <w:t>120</w:t>
            </w:r>
          </w:p>
        </w:tc>
        <w:tc>
          <w:tcPr>
            <w:tcW w:w="2074" w:type="dxa"/>
          </w:tcPr>
          <w:p w14:paraId="32167344" w14:textId="77777777" w:rsidR="007E3433" w:rsidRDefault="007E3433" w:rsidP="003534D2">
            <w:pPr>
              <w:ind w:firstLineChars="0" w:firstLine="0"/>
            </w:pPr>
            <w:r>
              <w:t>18</w:t>
            </w:r>
          </w:p>
        </w:tc>
      </w:tr>
    </w:tbl>
    <w:p w14:paraId="0D536369" w14:textId="6729E914" w:rsidR="007E3433" w:rsidRPr="00B50702" w:rsidRDefault="007E3433" w:rsidP="007E3433">
      <w:pPr>
        <w:pStyle w:val="a8"/>
        <w:ind w:firstLine="181"/>
        <w:jc w:val="center"/>
      </w:pPr>
      <w:r w:rsidRPr="00B50702">
        <w:br w:type="page"/>
      </w:r>
      <w:r w:rsidRPr="000065D5">
        <w:lastRenderedPageBreak/>
        <w:t>Table S</w:t>
      </w:r>
      <w:r w:rsidR="00E81E1A">
        <w:t>6</w:t>
      </w:r>
      <w:r w:rsidRPr="00B50702">
        <w:t xml:space="preserve"> </w:t>
      </w:r>
      <w:r w:rsidRPr="005A08DF">
        <w:rPr>
          <w:b w:val="0"/>
          <w:bCs/>
        </w:rPr>
        <w:t>The average pore size and specific surface area of the adsorbent</w:t>
      </w:r>
    </w:p>
    <w:tbl>
      <w:tblPr>
        <w:tblStyle w:val="41"/>
        <w:tblW w:w="5000" w:type="pct"/>
        <w:jc w:val="center"/>
        <w:tblLook w:val="04A0" w:firstRow="1" w:lastRow="0" w:firstColumn="1" w:lastColumn="0" w:noHBand="0" w:noVBand="1"/>
      </w:tblPr>
      <w:tblGrid>
        <w:gridCol w:w="1817"/>
        <w:gridCol w:w="3497"/>
        <w:gridCol w:w="2992"/>
      </w:tblGrid>
      <w:tr w:rsidR="007E3433" w:rsidRPr="00B50702" w14:paraId="368A8A96" w14:textId="77777777" w:rsidTr="00383F6C">
        <w:trPr>
          <w:trHeight w:val="493"/>
          <w:jc w:val="center"/>
        </w:trPr>
        <w:tc>
          <w:tcPr>
            <w:tcW w:w="1094" w:type="pct"/>
            <w:tcBorders>
              <w:top w:val="single" w:sz="12" w:space="0" w:color="000000"/>
              <w:bottom w:val="single" w:sz="4" w:space="0" w:color="000000"/>
              <w:right w:val="nil"/>
              <w:tl2br w:val="nil"/>
            </w:tcBorders>
            <w:shd w:val="clear" w:color="auto" w:fill="FFFFFF"/>
          </w:tcPr>
          <w:p w14:paraId="531968CB" w14:textId="77777777" w:rsidR="007E3433" w:rsidRPr="00103A6F" w:rsidRDefault="007E3433" w:rsidP="003534D2">
            <w:pPr>
              <w:widowControl/>
              <w:tabs>
                <w:tab w:val="left" w:pos="426"/>
              </w:tabs>
              <w:ind w:firstLine="211"/>
              <w:jc w:val="both"/>
              <w:rPr>
                <w:b/>
                <w:bCs/>
                <w:color w:val="000000"/>
                <w:sz w:val="21"/>
              </w:rPr>
            </w:pPr>
            <w:r w:rsidRPr="00103A6F">
              <w:rPr>
                <w:b/>
                <w:bCs/>
                <w:color w:val="000000"/>
                <w:sz w:val="21"/>
              </w:rPr>
              <w:t>Sample</w:t>
            </w:r>
          </w:p>
        </w:tc>
        <w:tc>
          <w:tcPr>
            <w:tcW w:w="2105" w:type="pct"/>
            <w:tcBorders>
              <w:top w:val="single" w:sz="12" w:space="0" w:color="000000"/>
              <w:left w:val="nil"/>
              <w:bottom w:val="single" w:sz="4" w:space="0" w:color="000000"/>
              <w:right w:val="nil"/>
            </w:tcBorders>
            <w:shd w:val="clear" w:color="auto" w:fill="FFFFFF"/>
          </w:tcPr>
          <w:p w14:paraId="10D60FB0" w14:textId="77777777" w:rsidR="007E3433" w:rsidRPr="00103A6F" w:rsidRDefault="007E3433" w:rsidP="003534D2">
            <w:pPr>
              <w:widowControl/>
              <w:tabs>
                <w:tab w:val="left" w:pos="426"/>
              </w:tabs>
              <w:ind w:firstLine="211"/>
              <w:jc w:val="both"/>
              <w:rPr>
                <w:b/>
                <w:bCs/>
                <w:color w:val="000000"/>
                <w:sz w:val="21"/>
              </w:rPr>
            </w:pPr>
            <w:r w:rsidRPr="00103A6F">
              <w:rPr>
                <w:b/>
                <w:bCs/>
                <w:color w:val="000000"/>
                <w:sz w:val="21"/>
              </w:rPr>
              <w:t>Specific surface area (</w:t>
            </w:r>
            <w:r w:rsidRPr="002C4BE6">
              <w:rPr>
                <w:b/>
                <w:bCs/>
                <w:color w:val="000000"/>
                <w:sz w:val="21"/>
              </w:rPr>
              <w:t>m</w:t>
            </w:r>
            <w:r w:rsidRPr="002C4BE6">
              <w:rPr>
                <w:b/>
                <w:bCs/>
                <w:color w:val="000000"/>
                <w:sz w:val="21"/>
                <w:vertAlign w:val="superscript"/>
              </w:rPr>
              <w:t>2</w:t>
            </w:r>
            <w:r>
              <w:rPr>
                <w:b/>
                <w:bCs/>
                <w:color w:val="000000"/>
                <w:sz w:val="21"/>
                <w:vertAlign w:val="superscript"/>
              </w:rPr>
              <w:t xml:space="preserve"> </w:t>
            </w:r>
            <w:r w:rsidRPr="00103A6F">
              <w:rPr>
                <w:b/>
                <w:bCs/>
                <w:color w:val="000000"/>
                <w:szCs w:val="28"/>
              </w:rPr>
              <w:t>·</w:t>
            </w:r>
            <w:r w:rsidRPr="002C4BE6">
              <w:rPr>
                <w:b/>
                <w:bCs/>
                <w:color w:val="000000"/>
                <w:sz w:val="21"/>
              </w:rPr>
              <w:t>g</w:t>
            </w:r>
            <w:r w:rsidRPr="002C4BE6">
              <w:rPr>
                <w:b/>
                <w:bCs/>
                <w:color w:val="000000"/>
                <w:sz w:val="21"/>
                <w:vertAlign w:val="superscript"/>
              </w:rPr>
              <w:t>-1</w:t>
            </w:r>
            <w:r w:rsidRPr="00103A6F">
              <w:rPr>
                <w:b/>
                <w:bCs/>
                <w:color w:val="000000"/>
                <w:sz w:val="21"/>
              </w:rPr>
              <w:t>)</w:t>
            </w:r>
          </w:p>
        </w:tc>
        <w:tc>
          <w:tcPr>
            <w:tcW w:w="1801" w:type="pct"/>
            <w:tcBorders>
              <w:top w:val="single" w:sz="12" w:space="0" w:color="000000"/>
              <w:left w:val="nil"/>
              <w:bottom w:val="single" w:sz="4" w:space="0" w:color="000000"/>
              <w:right w:val="nil"/>
            </w:tcBorders>
            <w:shd w:val="clear" w:color="auto" w:fill="FFFFFF"/>
          </w:tcPr>
          <w:p w14:paraId="7F24818A" w14:textId="77777777" w:rsidR="007E3433" w:rsidRPr="00103A6F" w:rsidRDefault="007E3433" w:rsidP="003534D2">
            <w:pPr>
              <w:widowControl/>
              <w:tabs>
                <w:tab w:val="left" w:pos="426"/>
              </w:tabs>
              <w:ind w:firstLine="211"/>
              <w:jc w:val="both"/>
              <w:rPr>
                <w:b/>
                <w:bCs/>
                <w:color w:val="000000"/>
                <w:sz w:val="21"/>
              </w:rPr>
            </w:pPr>
            <w:r w:rsidRPr="00103A6F">
              <w:rPr>
                <w:b/>
                <w:bCs/>
                <w:color w:val="000000"/>
                <w:sz w:val="21"/>
              </w:rPr>
              <w:t>Average pore size(nm)</w:t>
            </w:r>
          </w:p>
        </w:tc>
      </w:tr>
      <w:tr w:rsidR="007E3433" w:rsidRPr="00B50702" w14:paraId="4C43906C" w14:textId="77777777" w:rsidTr="00383F6C">
        <w:trPr>
          <w:trHeight w:val="493"/>
          <w:jc w:val="center"/>
        </w:trPr>
        <w:tc>
          <w:tcPr>
            <w:tcW w:w="1094" w:type="pct"/>
            <w:tcBorders>
              <w:top w:val="single" w:sz="4" w:space="0" w:color="000000"/>
              <w:right w:val="nil"/>
            </w:tcBorders>
            <w:shd w:val="clear" w:color="auto" w:fill="FFFFFF"/>
          </w:tcPr>
          <w:p w14:paraId="7BF37547" w14:textId="77777777" w:rsidR="007E3433" w:rsidRPr="00B50702" w:rsidRDefault="007E3433" w:rsidP="003534D2">
            <w:pPr>
              <w:widowControl/>
              <w:tabs>
                <w:tab w:val="left" w:pos="426"/>
              </w:tabs>
              <w:ind w:firstLine="210"/>
              <w:jc w:val="both"/>
              <w:rPr>
                <w:color w:val="000000"/>
                <w:sz w:val="21"/>
              </w:rPr>
            </w:pPr>
            <w:r w:rsidRPr="00B50702">
              <w:rPr>
                <w:color w:val="000000"/>
                <w:sz w:val="21"/>
              </w:rPr>
              <w:t>PAA</w:t>
            </w:r>
          </w:p>
        </w:tc>
        <w:tc>
          <w:tcPr>
            <w:tcW w:w="2105" w:type="pct"/>
            <w:tcBorders>
              <w:top w:val="single" w:sz="4" w:space="0" w:color="000000"/>
              <w:left w:val="nil"/>
              <w:bottom w:val="nil"/>
              <w:right w:val="nil"/>
            </w:tcBorders>
            <w:shd w:val="clear" w:color="auto" w:fill="FFFFFF"/>
          </w:tcPr>
          <w:p w14:paraId="45E72E5C" w14:textId="77777777" w:rsidR="007E3433" w:rsidRPr="00B50702" w:rsidRDefault="007E3433" w:rsidP="003534D2">
            <w:pPr>
              <w:widowControl/>
              <w:tabs>
                <w:tab w:val="left" w:pos="426"/>
              </w:tabs>
              <w:ind w:firstLine="210"/>
              <w:jc w:val="both"/>
              <w:rPr>
                <w:color w:val="000000"/>
                <w:sz w:val="21"/>
                <w:szCs w:val="21"/>
              </w:rPr>
            </w:pPr>
            <w:r w:rsidRPr="00B50702">
              <w:rPr>
                <w:color w:val="000000"/>
                <w:sz w:val="21"/>
                <w:szCs w:val="21"/>
              </w:rPr>
              <w:t>26.66</w:t>
            </w:r>
          </w:p>
        </w:tc>
        <w:tc>
          <w:tcPr>
            <w:tcW w:w="1801" w:type="pct"/>
            <w:tcBorders>
              <w:top w:val="single" w:sz="4" w:space="0" w:color="000000"/>
              <w:left w:val="nil"/>
              <w:bottom w:val="nil"/>
              <w:right w:val="nil"/>
            </w:tcBorders>
            <w:shd w:val="clear" w:color="auto" w:fill="FFFFFF"/>
          </w:tcPr>
          <w:p w14:paraId="50EA6C24" w14:textId="77777777" w:rsidR="007E3433" w:rsidRPr="00B50702" w:rsidRDefault="007E3433" w:rsidP="003534D2">
            <w:pPr>
              <w:widowControl/>
              <w:tabs>
                <w:tab w:val="left" w:pos="426"/>
              </w:tabs>
              <w:ind w:firstLine="210"/>
              <w:jc w:val="both"/>
              <w:rPr>
                <w:color w:val="000000"/>
                <w:sz w:val="21"/>
                <w:szCs w:val="21"/>
              </w:rPr>
            </w:pPr>
            <w:r w:rsidRPr="00B50702">
              <w:rPr>
                <w:color w:val="000000"/>
                <w:sz w:val="21"/>
                <w:szCs w:val="21"/>
              </w:rPr>
              <w:t>1.31</w:t>
            </w:r>
          </w:p>
        </w:tc>
      </w:tr>
      <w:tr w:rsidR="007E3433" w:rsidRPr="00B50702" w14:paraId="5311A887" w14:textId="77777777" w:rsidTr="00383F6C">
        <w:trPr>
          <w:trHeight w:val="493"/>
          <w:jc w:val="center"/>
        </w:trPr>
        <w:tc>
          <w:tcPr>
            <w:tcW w:w="1094" w:type="pct"/>
            <w:tcBorders>
              <w:bottom w:val="single" w:sz="12" w:space="0" w:color="000000"/>
              <w:right w:val="nil"/>
            </w:tcBorders>
            <w:shd w:val="clear" w:color="auto" w:fill="FFFFFF"/>
          </w:tcPr>
          <w:p w14:paraId="570855ED" w14:textId="77777777" w:rsidR="007E3433" w:rsidRPr="00B50702" w:rsidRDefault="007E3433" w:rsidP="003534D2">
            <w:pPr>
              <w:widowControl/>
              <w:tabs>
                <w:tab w:val="left" w:pos="426"/>
              </w:tabs>
              <w:ind w:firstLine="210"/>
              <w:jc w:val="both"/>
              <w:rPr>
                <w:color w:val="000000"/>
                <w:sz w:val="21"/>
              </w:rPr>
            </w:pPr>
            <w:r w:rsidRPr="00B50702">
              <w:rPr>
                <w:color w:val="000000"/>
                <w:sz w:val="21"/>
              </w:rPr>
              <w:t>PEI@PAA</w:t>
            </w:r>
          </w:p>
        </w:tc>
        <w:tc>
          <w:tcPr>
            <w:tcW w:w="2105" w:type="pct"/>
            <w:tcBorders>
              <w:top w:val="nil"/>
              <w:left w:val="nil"/>
              <w:bottom w:val="single" w:sz="12" w:space="0" w:color="000000"/>
              <w:right w:val="nil"/>
            </w:tcBorders>
            <w:shd w:val="clear" w:color="auto" w:fill="FFFFFF"/>
          </w:tcPr>
          <w:p w14:paraId="75D54501" w14:textId="77777777" w:rsidR="007E3433" w:rsidRPr="00B50702" w:rsidRDefault="007E3433" w:rsidP="003534D2">
            <w:pPr>
              <w:widowControl/>
              <w:tabs>
                <w:tab w:val="left" w:pos="426"/>
              </w:tabs>
              <w:ind w:firstLine="210"/>
              <w:jc w:val="both"/>
              <w:rPr>
                <w:color w:val="000000"/>
                <w:sz w:val="21"/>
                <w:szCs w:val="21"/>
              </w:rPr>
            </w:pPr>
            <w:r w:rsidRPr="00B50702">
              <w:rPr>
                <w:color w:val="000000"/>
                <w:sz w:val="21"/>
                <w:szCs w:val="21"/>
              </w:rPr>
              <w:t>15.52</w:t>
            </w:r>
          </w:p>
        </w:tc>
        <w:tc>
          <w:tcPr>
            <w:tcW w:w="1801" w:type="pct"/>
            <w:tcBorders>
              <w:top w:val="nil"/>
              <w:left w:val="nil"/>
              <w:bottom w:val="single" w:sz="12" w:space="0" w:color="000000"/>
              <w:right w:val="nil"/>
            </w:tcBorders>
            <w:shd w:val="clear" w:color="auto" w:fill="FFFFFF"/>
          </w:tcPr>
          <w:p w14:paraId="11C52463" w14:textId="77777777" w:rsidR="007E3433" w:rsidRPr="00B50702" w:rsidRDefault="007E3433" w:rsidP="003534D2">
            <w:pPr>
              <w:widowControl/>
              <w:tabs>
                <w:tab w:val="left" w:pos="426"/>
              </w:tabs>
              <w:ind w:firstLine="210"/>
              <w:jc w:val="both"/>
              <w:rPr>
                <w:color w:val="000000"/>
                <w:sz w:val="21"/>
                <w:szCs w:val="21"/>
              </w:rPr>
            </w:pPr>
            <w:r w:rsidRPr="00B50702">
              <w:rPr>
                <w:color w:val="000000"/>
                <w:sz w:val="21"/>
                <w:szCs w:val="21"/>
              </w:rPr>
              <w:t>6.85</w:t>
            </w:r>
          </w:p>
        </w:tc>
      </w:tr>
    </w:tbl>
    <w:tbl>
      <w:tblPr>
        <w:tblStyle w:val="aa"/>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E3433" w:rsidRPr="00B50702" w14:paraId="0F0211B5" w14:textId="77777777" w:rsidTr="003534D2">
        <w:trPr>
          <w:trHeight w:val="613"/>
        </w:trPr>
        <w:tc>
          <w:tcPr>
            <w:tcW w:w="8522" w:type="dxa"/>
          </w:tcPr>
          <w:p w14:paraId="677B3695" w14:textId="77A9E0C4" w:rsidR="007E3433" w:rsidRPr="00B50702" w:rsidRDefault="007E3433" w:rsidP="003534D2">
            <w:pPr>
              <w:pStyle w:val="a8"/>
              <w:spacing w:beforeLines="100" w:before="326"/>
              <w:ind w:firstLineChars="251" w:firstLine="454"/>
              <w:jc w:val="center"/>
            </w:pPr>
            <w:r w:rsidRPr="000065D5">
              <w:t>Table S</w:t>
            </w:r>
            <w:r w:rsidR="00E81E1A">
              <w:t>7</w:t>
            </w:r>
            <w:r w:rsidRPr="00B50702">
              <w:t xml:space="preserve"> </w:t>
            </w:r>
            <w:r w:rsidRPr="005A08DF">
              <w:rPr>
                <w:b w:val="0"/>
                <w:bCs/>
              </w:rPr>
              <w:t xml:space="preserve">The </w:t>
            </w:r>
            <w:proofErr w:type="spellStart"/>
            <w:r w:rsidRPr="005A08DF">
              <w:rPr>
                <w:b w:val="0"/>
                <w:bCs/>
                <w:i/>
                <w:iCs/>
              </w:rPr>
              <w:t>E</w:t>
            </w:r>
            <w:r w:rsidRPr="005A08DF">
              <w:rPr>
                <w:b w:val="0"/>
                <w:bCs/>
                <w:vertAlign w:val="subscript"/>
              </w:rPr>
              <w:t>ad</w:t>
            </w:r>
            <w:proofErr w:type="spellEnd"/>
            <w:r w:rsidRPr="005A08DF">
              <w:rPr>
                <w:b w:val="0"/>
                <w:bCs/>
              </w:rPr>
              <w:t xml:space="preserve"> per molecular conformation</w:t>
            </w:r>
          </w:p>
          <w:tbl>
            <w:tblPr>
              <w:tblStyle w:val="aa"/>
              <w:tblW w:w="5000" w:type="pct"/>
              <w:jc w:val="center"/>
              <w:tblLook w:val="04A0" w:firstRow="1" w:lastRow="0" w:firstColumn="1" w:lastColumn="0" w:noHBand="0" w:noVBand="1"/>
            </w:tblPr>
            <w:tblGrid>
              <w:gridCol w:w="3537"/>
              <w:gridCol w:w="2400"/>
              <w:gridCol w:w="2369"/>
            </w:tblGrid>
            <w:tr w:rsidR="007E3433" w:rsidRPr="00B50702" w14:paraId="433660C5" w14:textId="77777777" w:rsidTr="00383F6C">
              <w:trPr>
                <w:jc w:val="center"/>
              </w:trPr>
              <w:tc>
                <w:tcPr>
                  <w:tcW w:w="2129" w:type="pct"/>
                  <w:tcBorders>
                    <w:top w:val="single" w:sz="12" w:space="0" w:color="000000"/>
                    <w:left w:val="nil"/>
                    <w:bottom w:val="single" w:sz="4" w:space="0" w:color="000000"/>
                    <w:right w:val="nil"/>
                    <w:tl2br w:val="nil"/>
                  </w:tcBorders>
                  <w:shd w:val="clear" w:color="auto" w:fill="FFFFFF"/>
                  <w:vAlign w:val="center"/>
                </w:tcPr>
                <w:p w14:paraId="7CE9CF69" w14:textId="77777777" w:rsidR="007E3433" w:rsidRPr="00103A6F" w:rsidRDefault="007E3433" w:rsidP="003534D2">
                  <w:pPr>
                    <w:widowControl/>
                    <w:tabs>
                      <w:tab w:val="left" w:pos="426"/>
                    </w:tabs>
                    <w:ind w:firstLine="211"/>
                    <w:jc w:val="left"/>
                    <w:rPr>
                      <w:b/>
                      <w:bCs/>
                      <w:color w:val="000000"/>
                      <w:sz w:val="21"/>
                      <w:szCs w:val="21"/>
                    </w:rPr>
                  </w:pPr>
                  <w:r w:rsidRPr="00103A6F">
                    <w:rPr>
                      <w:b/>
                      <w:bCs/>
                      <w:color w:val="000000"/>
                      <w:sz w:val="21"/>
                      <w:szCs w:val="21"/>
                    </w:rPr>
                    <w:t>Electronic energy</w:t>
                  </w:r>
                </w:p>
              </w:tc>
              <w:tc>
                <w:tcPr>
                  <w:tcW w:w="1445" w:type="pct"/>
                  <w:tcBorders>
                    <w:top w:val="single" w:sz="12" w:space="0" w:color="000000"/>
                    <w:left w:val="nil"/>
                    <w:bottom w:val="single" w:sz="4" w:space="0" w:color="000000"/>
                    <w:right w:val="nil"/>
                  </w:tcBorders>
                  <w:shd w:val="clear" w:color="auto" w:fill="FFFFFF"/>
                  <w:vAlign w:val="center"/>
                </w:tcPr>
                <w:p w14:paraId="30C6F4D1" w14:textId="77777777" w:rsidR="007E3433" w:rsidRPr="00103A6F" w:rsidRDefault="007E3433" w:rsidP="003534D2">
                  <w:pPr>
                    <w:tabs>
                      <w:tab w:val="left" w:pos="426"/>
                    </w:tabs>
                    <w:ind w:firstLineChars="251" w:firstLine="529"/>
                    <w:jc w:val="left"/>
                    <w:rPr>
                      <w:b/>
                      <w:bCs/>
                      <w:color w:val="000000"/>
                      <w:sz w:val="21"/>
                      <w:szCs w:val="21"/>
                    </w:rPr>
                  </w:pPr>
                  <w:r w:rsidRPr="00103A6F">
                    <w:rPr>
                      <w:b/>
                      <w:bCs/>
                      <w:i/>
                      <w:iCs/>
                      <w:color w:val="000000"/>
                      <w:sz w:val="21"/>
                      <w:szCs w:val="21"/>
                    </w:rPr>
                    <w:t>E</w:t>
                  </w:r>
                  <w:r w:rsidRPr="00103A6F">
                    <w:rPr>
                      <w:b/>
                      <w:bCs/>
                      <w:color w:val="000000"/>
                      <w:sz w:val="21"/>
                      <w:szCs w:val="21"/>
                    </w:rPr>
                    <w:t>/Hartree</w:t>
                  </w:r>
                </w:p>
              </w:tc>
              <w:tc>
                <w:tcPr>
                  <w:tcW w:w="1426" w:type="pct"/>
                  <w:tcBorders>
                    <w:top w:val="single" w:sz="12" w:space="0" w:color="000000"/>
                    <w:left w:val="nil"/>
                    <w:bottom w:val="single" w:sz="4" w:space="0" w:color="000000"/>
                    <w:right w:val="nil"/>
                  </w:tcBorders>
                  <w:shd w:val="clear" w:color="auto" w:fill="FFFFFF"/>
                  <w:vAlign w:val="center"/>
                </w:tcPr>
                <w:p w14:paraId="5BAAD190" w14:textId="77777777" w:rsidR="007E3433" w:rsidRPr="00103A6F" w:rsidRDefault="007E3433" w:rsidP="003534D2">
                  <w:pPr>
                    <w:tabs>
                      <w:tab w:val="left" w:pos="426"/>
                    </w:tabs>
                    <w:ind w:firstLineChars="251" w:firstLine="529"/>
                    <w:jc w:val="left"/>
                    <w:rPr>
                      <w:b/>
                      <w:bCs/>
                      <w:color w:val="000000"/>
                      <w:sz w:val="21"/>
                      <w:szCs w:val="21"/>
                    </w:rPr>
                  </w:pPr>
                  <w:r w:rsidRPr="00103A6F">
                    <w:rPr>
                      <w:b/>
                      <w:bCs/>
                      <w:i/>
                      <w:iCs/>
                      <w:color w:val="000000"/>
                      <w:sz w:val="21"/>
                      <w:szCs w:val="21"/>
                    </w:rPr>
                    <w:t>E</w:t>
                  </w:r>
                  <w:r w:rsidRPr="00103A6F">
                    <w:rPr>
                      <w:b/>
                      <w:bCs/>
                      <w:color w:val="000000"/>
                      <w:sz w:val="21"/>
                      <w:szCs w:val="21"/>
                      <w:vertAlign w:val="subscript"/>
                    </w:rPr>
                    <w:t>ads</w:t>
                  </w:r>
                  <w:r w:rsidRPr="00103A6F">
                    <w:rPr>
                      <w:b/>
                      <w:bCs/>
                      <w:color w:val="000000"/>
                      <w:sz w:val="21"/>
                      <w:szCs w:val="21"/>
                    </w:rPr>
                    <w:t>/kJ</w:t>
                  </w:r>
                  <w:r w:rsidRPr="00103A6F">
                    <w:rPr>
                      <w:b/>
                      <w:bCs/>
                      <w:color w:val="000000"/>
                      <w:szCs w:val="28"/>
                    </w:rPr>
                    <w:t>·</w:t>
                  </w:r>
                  <w:r w:rsidRPr="00103A6F">
                    <w:rPr>
                      <w:b/>
                      <w:bCs/>
                      <w:color w:val="000000"/>
                      <w:sz w:val="21"/>
                      <w:szCs w:val="21"/>
                    </w:rPr>
                    <w:t>mol</w:t>
                  </w:r>
                  <w:r w:rsidRPr="00103A6F">
                    <w:rPr>
                      <w:b/>
                      <w:bCs/>
                      <w:color w:val="000000"/>
                      <w:sz w:val="21"/>
                      <w:szCs w:val="21"/>
                      <w:vertAlign w:val="superscript"/>
                    </w:rPr>
                    <w:t>-1</w:t>
                  </w:r>
                </w:p>
              </w:tc>
            </w:tr>
            <w:tr w:rsidR="007E3433" w:rsidRPr="00B50702" w14:paraId="6FE08336" w14:textId="77777777" w:rsidTr="00383F6C">
              <w:trPr>
                <w:jc w:val="center"/>
              </w:trPr>
              <w:tc>
                <w:tcPr>
                  <w:tcW w:w="2129" w:type="pct"/>
                  <w:tcBorders>
                    <w:top w:val="single" w:sz="4" w:space="0" w:color="000000"/>
                    <w:left w:val="nil"/>
                    <w:bottom w:val="nil"/>
                    <w:right w:val="nil"/>
                  </w:tcBorders>
                  <w:shd w:val="clear" w:color="auto" w:fill="FFFFFF"/>
                  <w:vAlign w:val="center"/>
                </w:tcPr>
                <w:p w14:paraId="182B4F25" w14:textId="77777777" w:rsidR="007E3433" w:rsidRPr="00B50702" w:rsidRDefault="007E3433" w:rsidP="003534D2">
                  <w:pPr>
                    <w:tabs>
                      <w:tab w:val="left" w:pos="426"/>
                    </w:tabs>
                    <w:ind w:firstLineChars="251" w:firstLine="527"/>
                    <w:jc w:val="left"/>
                    <w:rPr>
                      <w:color w:val="000000"/>
                      <w:sz w:val="21"/>
                      <w:szCs w:val="21"/>
                    </w:rPr>
                  </w:pPr>
                  <w:r w:rsidRPr="00B50702">
                    <w:rPr>
                      <w:i/>
                      <w:iCs/>
                      <w:color w:val="000000"/>
                      <w:sz w:val="21"/>
                      <w:szCs w:val="21"/>
                    </w:rPr>
                    <w:t>E</w:t>
                  </w:r>
                  <w:r w:rsidRPr="00B50702">
                    <w:rPr>
                      <w:color w:val="000000"/>
                      <w:sz w:val="21"/>
                      <w:szCs w:val="21"/>
                      <w:vertAlign w:val="subscript"/>
                    </w:rPr>
                    <w:t>I</w:t>
                  </w:r>
                </w:p>
              </w:tc>
              <w:tc>
                <w:tcPr>
                  <w:tcW w:w="1445" w:type="pct"/>
                  <w:tcBorders>
                    <w:top w:val="single" w:sz="4" w:space="0" w:color="000000"/>
                    <w:left w:val="nil"/>
                    <w:bottom w:val="nil"/>
                    <w:right w:val="nil"/>
                  </w:tcBorders>
                  <w:shd w:val="clear" w:color="auto" w:fill="FFFFFF"/>
                  <w:vAlign w:val="center"/>
                </w:tcPr>
                <w:p w14:paraId="5087EF4B"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-595.28</w:t>
                  </w:r>
                </w:p>
              </w:tc>
              <w:tc>
                <w:tcPr>
                  <w:tcW w:w="1426" w:type="pct"/>
                  <w:tcBorders>
                    <w:top w:val="single" w:sz="4" w:space="0" w:color="000000"/>
                    <w:left w:val="nil"/>
                    <w:bottom w:val="nil"/>
                    <w:right w:val="nil"/>
                  </w:tcBorders>
                  <w:shd w:val="clear" w:color="auto" w:fill="FFFFFF"/>
                  <w:vAlign w:val="center"/>
                </w:tcPr>
                <w:p w14:paraId="09F3FA93" w14:textId="77777777" w:rsidR="007E3433" w:rsidRPr="00B50702" w:rsidRDefault="007E3433" w:rsidP="003534D2">
                  <w:pPr>
                    <w:tabs>
                      <w:tab w:val="left" w:pos="426"/>
                    </w:tabs>
                    <w:ind w:firstLineChars="251" w:firstLine="527"/>
                    <w:jc w:val="left"/>
                    <w:rPr>
                      <w:color w:val="000000"/>
                      <w:sz w:val="21"/>
                      <w:szCs w:val="21"/>
                    </w:rPr>
                  </w:pPr>
                </w:p>
              </w:tc>
            </w:tr>
            <w:tr w:rsidR="007E3433" w:rsidRPr="00B50702" w14:paraId="0B2FBCAF" w14:textId="77777777" w:rsidTr="00383F6C">
              <w:trPr>
                <w:jc w:val="center"/>
              </w:trPr>
              <w:tc>
                <w:tcPr>
                  <w:tcW w:w="2129" w:type="pct"/>
                  <w:tcBorders>
                    <w:top w:val="nil"/>
                    <w:left w:val="nil"/>
                    <w:bottom w:val="nil"/>
                    <w:right w:val="nil"/>
                  </w:tcBorders>
                  <w:shd w:val="clear" w:color="auto" w:fill="FFFFFF"/>
                  <w:vAlign w:val="center"/>
                </w:tcPr>
                <w:p w14:paraId="13169619" w14:textId="77777777" w:rsidR="007E3433" w:rsidRPr="00B50702" w:rsidRDefault="007E3433" w:rsidP="003534D2">
                  <w:pPr>
                    <w:tabs>
                      <w:tab w:val="left" w:pos="426"/>
                    </w:tabs>
                    <w:ind w:firstLineChars="251" w:firstLine="527"/>
                    <w:jc w:val="left"/>
                    <w:rPr>
                      <w:color w:val="000000"/>
                      <w:sz w:val="21"/>
                      <w:szCs w:val="21"/>
                    </w:rPr>
                  </w:pPr>
                  <w:proofErr w:type="spellStart"/>
                  <w:r w:rsidRPr="00B50702">
                    <w:rPr>
                      <w:i/>
                      <w:iCs/>
                      <w:color w:val="000000"/>
                      <w:sz w:val="21"/>
                      <w:szCs w:val="21"/>
                    </w:rPr>
                    <w:t>E</w:t>
                  </w:r>
                  <w:r w:rsidRPr="00B50702">
                    <w:rPr>
                      <w:color w:val="000000"/>
                      <w:sz w:val="21"/>
                      <w:szCs w:val="21"/>
                      <w:vertAlign w:val="subscript"/>
                    </w:rPr>
                    <w:t>m</w:t>
                  </w:r>
                  <w:proofErr w:type="spellEnd"/>
                  <w:r w:rsidRPr="00B50702">
                    <w:rPr>
                      <w:color w:val="000000"/>
                      <w:sz w:val="21"/>
                      <w:szCs w:val="21"/>
                      <w:vertAlign w:val="subscript"/>
                    </w:rPr>
                    <w:t xml:space="preserve"> b</w:t>
                  </w:r>
                </w:p>
              </w:tc>
              <w:tc>
                <w:tcPr>
                  <w:tcW w:w="1445" w:type="pct"/>
                  <w:tcBorders>
                    <w:top w:val="nil"/>
                    <w:left w:val="nil"/>
                    <w:bottom w:val="nil"/>
                    <w:right w:val="nil"/>
                  </w:tcBorders>
                  <w:shd w:val="clear" w:color="auto" w:fill="FFFFFF"/>
                  <w:vAlign w:val="center"/>
                </w:tcPr>
                <w:p w14:paraId="6488EAB6"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-688.47</w:t>
                  </w:r>
                </w:p>
              </w:tc>
              <w:tc>
                <w:tcPr>
                  <w:tcW w:w="1426" w:type="pct"/>
                  <w:tcBorders>
                    <w:top w:val="nil"/>
                    <w:left w:val="nil"/>
                    <w:bottom w:val="nil"/>
                    <w:right w:val="nil"/>
                  </w:tcBorders>
                  <w:shd w:val="clear" w:color="auto" w:fill="FFFFFF"/>
                  <w:vAlign w:val="center"/>
                </w:tcPr>
                <w:p w14:paraId="73A139B5" w14:textId="77777777" w:rsidR="007E3433" w:rsidRPr="00B50702" w:rsidRDefault="007E3433" w:rsidP="003534D2">
                  <w:pPr>
                    <w:tabs>
                      <w:tab w:val="left" w:pos="426"/>
                    </w:tabs>
                    <w:ind w:firstLineChars="251" w:firstLine="527"/>
                    <w:jc w:val="left"/>
                    <w:rPr>
                      <w:color w:val="000000"/>
                      <w:sz w:val="21"/>
                      <w:szCs w:val="21"/>
                    </w:rPr>
                  </w:pPr>
                </w:p>
              </w:tc>
            </w:tr>
            <w:tr w:rsidR="007E3433" w:rsidRPr="00B50702" w14:paraId="31EB7A5E" w14:textId="77777777" w:rsidTr="00383F6C">
              <w:trPr>
                <w:jc w:val="center"/>
              </w:trPr>
              <w:tc>
                <w:tcPr>
                  <w:tcW w:w="2129" w:type="pct"/>
                  <w:tcBorders>
                    <w:top w:val="nil"/>
                    <w:left w:val="nil"/>
                    <w:bottom w:val="nil"/>
                    <w:right w:val="nil"/>
                  </w:tcBorders>
                  <w:shd w:val="clear" w:color="auto" w:fill="FFFFFF"/>
                  <w:vAlign w:val="center"/>
                </w:tcPr>
                <w:p w14:paraId="416636A7" w14:textId="77777777" w:rsidR="007E3433" w:rsidRPr="00B50702" w:rsidRDefault="007E3433" w:rsidP="003534D2">
                  <w:pPr>
                    <w:tabs>
                      <w:tab w:val="left" w:pos="426"/>
                    </w:tabs>
                    <w:ind w:firstLineChars="251" w:firstLine="527"/>
                    <w:jc w:val="left"/>
                    <w:rPr>
                      <w:color w:val="000000"/>
                      <w:sz w:val="21"/>
                      <w:szCs w:val="21"/>
                    </w:rPr>
                  </w:pPr>
                  <w:proofErr w:type="gramStart"/>
                  <w:r w:rsidRPr="00B50702">
                    <w:rPr>
                      <w:i/>
                      <w:iCs/>
                      <w:color w:val="000000"/>
                      <w:sz w:val="21"/>
                      <w:szCs w:val="21"/>
                    </w:rPr>
                    <w:t>E</w:t>
                  </w:r>
                  <w:r w:rsidRPr="00B50702">
                    <w:rPr>
                      <w:color w:val="000000"/>
                      <w:sz w:val="21"/>
                      <w:szCs w:val="21"/>
                      <w:vertAlign w:val="subscript"/>
                    </w:rPr>
                    <w:t>t</w:t>
                  </w:r>
                  <w:r w:rsidRPr="00264F0C">
                    <w:rPr>
                      <w:color w:val="000000"/>
                      <w:sz w:val="21"/>
                      <w:szCs w:val="21"/>
                    </w:rPr>
                    <w:t>(</w:t>
                  </w:r>
                  <w:proofErr w:type="gramEnd"/>
                  <w:r w:rsidRPr="00B50702">
                    <w:rPr>
                      <w:color w:val="000000"/>
                      <w:sz w:val="21"/>
                      <w:szCs w:val="21"/>
                    </w:rPr>
                    <w:t>RNH</w:t>
                  </w:r>
                  <w:r w:rsidRPr="00B50702">
                    <w:rPr>
                      <w:color w:val="000000"/>
                      <w:sz w:val="21"/>
                      <w:szCs w:val="21"/>
                      <w:vertAlign w:val="subscript"/>
                    </w:rPr>
                    <w:t>2</w:t>
                  </w:r>
                  <w:r w:rsidRPr="00264F0C">
                    <w:rPr>
                      <w:color w:val="000000"/>
                      <w:sz w:val="21"/>
                      <w:szCs w:val="21"/>
                    </w:rPr>
                    <w:t>)</w:t>
                  </w:r>
                </w:p>
              </w:tc>
              <w:tc>
                <w:tcPr>
                  <w:tcW w:w="1445" w:type="pct"/>
                  <w:tcBorders>
                    <w:top w:val="nil"/>
                    <w:left w:val="nil"/>
                    <w:bottom w:val="nil"/>
                    <w:right w:val="nil"/>
                  </w:tcBorders>
                  <w:shd w:val="clear" w:color="auto" w:fill="FFFFFF"/>
                  <w:vAlign w:val="center"/>
                </w:tcPr>
                <w:p w14:paraId="094B7D89"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-1283.75</w:t>
                  </w:r>
                </w:p>
              </w:tc>
              <w:tc>
                <w:tcPr>
                  <w:tcW w:w="1426" w:type="pct"/>
                  <w:tcBorders>
                    <w:top w:val="nil"/>
                    <w:left w:val="nil"/>
                    <w:bottom w:val="nil"/>
                    <w:right w:val="nil"/>
                  </w:tcBorders>
                  <w:shd w:val="clear" w:color="auto" w:fill="FFFFFF"/>
                  <w:vAlign w:val="center"/>
                </w:tcPr>
                <w:p w14:paraId="301BB495"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-14.08</w:t>
                  </w:r>
                </w:p>
              </w:tc>
            </w:tr>
            <w:tr w:rsidR="007E3433" w:rsidRPr="00B50702" w14:paraId="7C7840EF" w14:textId="77777777" w:rsidTr="00383F6C">
              <w:trPr>
                <w:jc w:val="center"/>
              </w:trPr>
              <w:tc>
                <w:tcPr>
                  <w:tcW w:w="2129" w:type="pct"/>
                  <w:tcBorders>
                    <w:top w:val="nil"/>
                    <w:left w:val="nil"/>
                    <w:bottom w:val="nil"/>
                    <w:right w:val="nil"/>
                  </w:tcBorders>
                  <w:shd w:val="clear" w:color="auto" w:fill="FFFFFF"/>
                  <w:vAlign w:val="center"/>
                </w:tcPr>
                <w:p w14:paraId="31C23181" w14:textId="77777777" w:rsidR="007E3433" w:rsidRPr="00B50702" w:rsidRDefault="007E3433" w:rsidP="003534D2">
                  <w:pPr>
                    <w:tabs>
                      <w:tab w:val="left" w:pos="426"/>
                    </w:tabs>
                    <w:ind w:firstLineChars="251" w:firstLine="527"/>
                    <w:jc w:val="left"/>
                    <w:rPr>
                      <w:color w:val="000000"/>
                      <w:sz w:val="21"/>
                      <w:szCs w:val="21"/>
                    </w:rPr>
                  </w:pPr>
                  <w:r w:rsidRPr="00B50702">
                    <w:rPr>
                      <w:i/>
                      <w:iCs/>
                      <w:color w:val="000000"/>
                      <w:sz w:val="21"/>
                      <w:szCs w:val="21"/>
                    </w:rPr>
                    <w:t>E</w:t>
                  </w:r>
                  <w:r w:rsidRPr="00B50702">
                    <w:rPr>
                      <w:color w:val="000000"/>
                      <w:sz w:val="21"/>
                      <w:szCs w:val="21"/>
                      <w:vertAlign w:val="subscript"/>
                    </w:rPr>
                    <w:t>t</w:t>
                  </w:r>
                  <w:r w:rsidRPr="00264F0C">
                    <w:rPr>
                      <w:color w:val="000000"/>
                      <w:sz w:val="21"/>
                      <w:szCs w:val="21"/>
                    </w:rPr>
                    <w:t>(</w:t>
                  </w:r>
                  <w:r w:rsidRPr="00B50702">
                    <w:rPr>
                      <w:color w:val="000000"/>
                      <w:sz w:val="21"/>
                      <w:szCs w:val="21"/>
                    </w:rPr>
                    <w:t>R</w:t>
                  </w:r>
                  <w:r w:rsidRPr="00B50702">
                    <w:rPr>
                      <w:color w:val="000000"/>
                      <w:sz w:val="21"/>
                      <w:szCs w:val="21"/>
                      <w:vertAlign w:val="subscript"/>
                    </w:rPr>
                    <w:t>2</w:t>
                  </w:r>
                  <w:r w:rsidRPr="00B50702">
                    <w:rPr>
                      <w:color w:val="000000"/>
                      <w:sz w:val="21"/>
                      <w:szCs w:val="21"/>
                    </w:rPr>
                    <w:t>NH</w:t>
                  </w:r>
                  <w:r w:rsidRPr="00264F0C">
                    <w:rPr>
                      <w:color w:val="000000"/>
                      <w:sz w:val="21"/>
                      <w:szCs w:val="21"/>
                    </w:rPr>
                    <w:t>)</w:t>
                  </w:r>
                </w:p>
              </w:tc>
              <w:tc>
                <w:tcPr>
                  <w:tcW w:w="1445" w:type="pct"/>
                  <w:tcBorders>
                    <w:top w:val="nil"/>
                    <w:left w:val="nil"/>
                    <w:bottom w:val="nil"/>
                    <w:right w:val="nil"/>
                  </w:tcBorders>
                  <w:shd w:val="clear" w:color="auto" w:fill="FFFFFF"/>
                  <w:vAlign w:val="center"/>
                </w:tcPr>
                <w:p w14:paraId="01F1F50A"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-1283.76</w:t>
                  </w:r>
                </w:p>
              </w:tc>
              <w:tc>
                <w:tcPr>
                  <w:tcW w:w="1426" w:type="pct"/>
                  <w:tcBorders>
                    <w:top w:val="nil"/>
                    <w:left w:val="nil"/>
                    <w:bottom w:val="nil"/>
                    <w:right w:val="nil"/>
                  </w:tcBorders>
                  <w:shd w:val="clear" w:color="auto" w:fill="FFFFFF"/>
                  <w:vAlign w:val="center"/>
                </w:tcPr>
                <w:p w14:paraId="3A522593"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-22.78</w:t>
                  </w:r>
                </w:p>
              </w:tc>
            </w:tr>
            <w:tr w:rsidR="007E3433" w:rsidRPr="00B50702" w14:paraId="34551142" w14:textId="77777777" w:rsidTr="00383F6C">
              <w:trPr>
                <w:jc w:val="center"/>
              </w:trPr>
              <w:tc>
                <w:tcPr>
                  <w:tcW w:w="2129" w:type="pct"/>
                  <w:tcBorders>
                    <w:top w:val="nil"/>
                    <w:left w:val="nil"/>
                    <w:bottom w:val="nil"/>
                    <w:right w:val="nil"/>
                  </w:tcBorders>
                  <w:shd w:val="clear" w:color="auto" w:fill="FFFFFF"/>
                  <w:vAlign w:val="center"/>
                </w:tcPr>
                <w:p w14:paraId="2C5FFB13" w14:textId="77777777" w:rsidR="007E3433" w:rsidRPr="00B50702" w:rsidRDefault="007E3433" w:rsidP="003534D2">
                  <w:pPr>
                    <w:tabs>
                      <w:tab w:val="left" w:pos="426"/>
                    </w:tabs>
                    <w:ind w:firstLineChars="251" w:firstLine="527"/>
                    <w:jc w:val="left"/>
                    <w:rPr>
                      <w:color w:val="000000"/>
                      <w:sz w:val="21"/>
                      <w:szCs w:val="21"/>
                    </w:rPr>
                  </w:pPr>
                  <w:r w:rsidRPr="00B50702">
                    <w:rPr>
                      <w:i/>
                      <w:iCs/>
                      <w:color w:val="000000"/>
                      <w:sz w:val="21"/>
                      <w:szCs w:val="21"/>
                    </w:rPr>
                    <w:t>E</w:t>
                  </w:r>
                  <w:r w:rsidRPr="00B50702">
                    <w:rPr>
                      <w:color w:val="000000"/>
                      <w:sz w:val="21"/>
                      <w:szCs w:val="21"/>
                      <w:vertAlign w:val="subscript"/>
                    </w:rPr>
                    <w:t>t</w:t>
                  </w:r>
                  <w:r w:rsidRPr="00264F0C">
                    <w:rPr>
                      <w:color w:val="000000"/>
                      <w:sz w:val="21"/>
                      <w:szCs w:val="21"/>
                    </w:rPr>
                    <w:t>(</w:t>
                  </w:r>
                  <w:r w:rsidRPr="00B50702">
                    <w:rPr>
                      <w:color w:val="000000"/>
                      <w:sz w:val="21"/>
                      <w:szCs w:val="21"/>
                    </w:rPr>
                    <w:t>R</w:t>
                  </w:r>
                  <w:r w:rsidRPr="00B50702">
                    <w:rPr>
                      <w:color w:val="000000"/>
                      <w:sz w:val="21"/>
                      <w:szCs w:val="21"/>
                      <w:vertAlign w:val="subscript"/>
                    </w:rPr>
                    <w:t>3</w:t>
                  </w:r>
                  <w:r w:rsidRPr="00B50702">
                    <w:rPr>
                      <w:color w:val="000000"/>
                      <w:sz w:val="21"/>
                      <w:szCs w:val="21"/>
                    </w:rPr>
                    <w:t>N</w:t>
                  </w:r>
                  <w:r w:rsidRPr="00264F0C">
                    <w:rPr>
                      <w:color w:val="000000"/>
                      <w:sz w:val="21"/>
                      <w:szCs w:val="21"/>
                    </w:rPr>
                    <w:t>)</w:t>
                  </w:r>
                </w:p>
              </w:tc>
              <w:tc>
                <w:tcPr>
                  <w:tcW w:w="1445" w:type="pct"/>
                  <w:tcBorders>
                    <w:top w:val="nil"/>
                    <w:left w:val="nil"/>
                    <w:bottom w:val="nil"/>
                    <w:right w:val="nil"/>
                  </w:tcBorders>
                  <w:shd w:val="clear" w:color="auto" w:fill="FFFFFF"/>
                  <w:vAlign w:val="center"/>
                </w:tcPr>
                <w:p w14:paraId="792FD141"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-1283.76</w:t>
                  </w:r>
                </w:p>
              </w:tc>
              <w:tc>
                <w:tcPr>
                  <w:tcW w:w="1426" w:type="pct"/>
                  <w:tcBorders>
                    <w:top w:val="nil"/>
                    <w:left w:val="nil"/>
                    <w:bottom w:val="nil"/>
                    <w:right w:val="nil"/>
                  </w:tcBorders>
                  <w:shd w:val="clear" w:color="auto" w:fill="FFFFFF"/>
                  <w:vAlign w:val="center"/>
                </w:tcPr>
                <w:p w14:paraId="3A7BA426"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-20.61</w:t>
                  </w:r>
                </w:p>
              </w:tc>
            </w:tr>
            <w:tr w:rsidR="007E3433" w:rsidRPr="00B50702" w14:paraId="600D008E" w14:textId="77777777" w:rsidTr="00383F6C">
              <w:trPr>
                <w:jc w:val="center"/>
              </w:trPr>
              <w:tc>
                <w:tcPr>
                  <w:tcW w:w="2129" w:type="pct"/>
                  <w:tcBorders>
                    <w:top w:val="nil"/>
                    <w:left w:val="nil"/>
                    <w:bottom w:val="single" w:sz="12" w:space="0" w:color="000000"/>
                    <w:right w:val="nil"/>
                  </w:tcBorders>
                  <w:shd w:val="clear" w:color="auto" w:fill="FFFFFF"/>
                  <w:vAlign w:val="center"/>
                </w:tcPr>
                <w:p w14:paraId="3E83E772" w14:textId="77777777" w:rsidR="007E3433" w:rsidRPr="00B50702" w:rsidRDefault="007E3433" w:rsidP="003534D2">
                  <w:pPr>
                    <w:tabs>
                      <w:tab w:val="left" w:pos="426"/>
                    </w:tabs>
                    <w:ind w:firstLineChars="251" w:firstLine="527"/>
                    <w:jc w:val="left"/>
                    <w:rPr>
                      <w:color w:val="000000"/>
                      <w:sz w:val="21"/>
                      <w:szCs w:val="21"/>
                    </w:rPr>
                  </w:pPr>
                  <w:proofErr w:type="gramStart"/>
                  <w:r w:rsidRPr="00B50702">
                    <w:rPr>
                      <w:i/>
                      <w:iCs/>
                      <w:color w:val="000000"/>
                      <w:sz w:val="21"/>
                      <w:szCs w:val="21"/>
                    </w:rPr>
                    <w:t>E</w:t>
                  </w:r>
                  <w:r w:rsidRPr="00B50702">
                    <w:rPr>
                      <w:color w:val="000000"/>
                      <w:sz w:val="21"/>
                      <w:szCs w:val="21"/>
                      <w:vertAlign w:val="subscript"/>
                    </w:rPr>
                    <w:t>t</w:t>
                  </w:r>
                  <w:r w:rsidRPr="00264F0C">
                    <w:rPr>
                      <w:color w:val="000000"/>
                      <w:sz w:val="21"/>
                      <w:szCs w:val="21"/>
                    </w:rPr>
                    <w:t>(</w:t>
                  </w:r>
                  <w:proofErr w:type="gramEnd"/>
                  <w:r w:rsidRPr="00B50702">
                    <w:rPr>
                      <w:color w:val="000000"/>
                      <w:sz w:val="21"/>
                      <w:szCs w:val="21"/>
                    </w:rPr>
                    <w:t>RCONH</w:t>
                  </w:r>
                  <w:r w:rsidRPr="00B50702">
                    <w:rPr>
                      <w:color w:val="000000"/>
                      <w:sz w:val="21"/>
                      <w:szCs w:val="21"/>
                      <w:vertAlign w:val="subscript"/>
                    </w:rPr>
                    <w:t>2</w:t>
                  </w:r>
                  <w:r w:rsidRPr="00264F0C">
                    <w:rPr>
                      <w:color w:val="000000"/>
                      <w:sz w:val="21"/>
                      <w:szCs w:val="21"/>
                    </w:rPr>
                    <w:t>)</w:t>
                  </w:r>
                </w:p>
              </w:tc>
              <w:tc>
                <w:tcPr>
                  <w:tcW w:w="1445" w:type="pct"/>
                  <w:tcBorders>
                    <w:top w:val="nil"/>
                    <w:left w:val="nil"/>
                    <w:bottom w:val="single" w:sz="12" w:space="0" w:color="000000"/>
                    <w:right w:val="nil"/>
                  </w:tcBorders>
                  <w:shd w:val="clear" w:color="auto" w:fill="FFFFFF"/>
                  <w:vAlign w:val="center"/>
                </w:tcPr>
                <w:p w14:paraId="6552CB6A"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-1283.75</w:t>
                  </w:r>
                </w:p>
              </w:tc>
              <w:tc>
                <w:tcPr>
                  <w:tcW w:w="1426" w:type="pct"/>
                  <w:tcBorders>
                    <w:top w:val="nil"/>
                    <w:left w:val="nil"/>
                    <w:bottom w:val="single" w:sz="12" w:space="0" w:color="000000"/>
                    <w:right w:val="nil"/>
                  </w:tcBorders>
                  <w:shd w:val="clear" w:color="auto" w:fill="FFFFFF"/>
                  <w:vAlign w:val="center"/>
                </w:tcPr>
                <w:p w14:paraId="34529AE5" w14:textId="77777777" w:rsidR="007E3433" w:rsidRPr="00B50702" w:rsidRDefault="007E3433" w:rsidP="003534D2">
                  <w:pPr>
                    <w:tabs>
                      <w:tab w:val="left" w:pos="426"/>
                    </w:tabs>
                    <w:ind w:firstLineChars="251" w:firstLine="527"/>
                    <w:jc w:val="left"/>
                    <w:rPr>
                      <w:color w:val="000000"/>
                      <w:sz w:val="21"/>
                      <w:szCs w:val="21"/>
                    </w:rPr>
                  </w:pPr>
                  <w:r w:rsidRPr="00B50702">
                    <w:rPr>
                      <w:color w:val="000000"/>
                      <w:sz w:val="21"/>
                      <w:szCs w:val="21"/>
                    </w:rPr>
                    <w:t>-18.74</w:t>
                  </w:r>
                </w:p>
              </w:tc>
            </w:tr>
          </w:tbl>
          <w:p w14:paraId="6DDB3EB8" w14:textId="77777777" w:rsidR="007E3433" w:rsidRPr="00B50702" w:rsidRDefault="007E3433" w:rsidP="003534D2">
            <w:pPr>
              <w:tabs>
                <w:tab w:val="left" w:pos="426"/>
              </w:tabs>
              <w:ind w:firstLine="240"/>
            </w:pPr>
          </w:p>
        </w:tc>
      </w:tr>
    </w:tbl>
    <w:p w14:paraId="5D6DFFC7" w14:textId="77777777" w:rsidR="007E3433" w:rsidRPr="00B50702" w:rsidRDefault="007E3433" w:rsidP="007E3433">
      <w:pPr>
        <w:ind w:firstLine="240"/>
        <w:jc w:val="both"/>
        <w:rPr>
          <w:rFonts w:cs="Times New Roman"/>
        </w:rPr>
      </w:pPr>
      <w:r w:rsidRPr="00B50702">
        <w:rPr>
          <w:rFonts w:cs="Times New Roman"/>
        </w:rPr>
        <w:br w:type="page"/>
      </w:r>
    </w:p>
    <w:p w14:paraId="5FFA69E1" w14:textId="50983970" w:rsidR="007E3433" w:rsidRPr="00B50702" w:rsidRDefault="007E3433" w:rsidP="007E3433">
      <w:pPr>
        <w:pStyle w:val="a8"/>
        <w:ind w:firstLineChars="0" w:firstLine="0"/>
        <w:jc w:val="center"/>
        <w:rPr>
          <w:noProof/>
        </w:rPr>
      </w:pPr>
      <w:r w:rsidRPr="000065D5">
        <w:lastRenderedPageBreak/>
        <w:t>Table S</w:t>
      </w:r>
      <w:r w:rsidR="00E81E1A">
        <w:t>8</w:t>
      </w:r>
      <w:r w:rsidRPr="00B50702">
        <w:rPr>
          <w:noProof/>
        </w:rPr>
        <w:t xml:space="preserve"> </w:t>
      </w:r>
      <w:r w:rsidRPr="005A08DF">
        <w:rPr>
          <w:b w:val="0"/>
          <w:bCs/>
          <w:noProof/>
        </w:rPr>
        <w:t>Pseudo-first-order and pseudo-second-order kinetic fitting parameters</w:t>
      </w:r>
    </w:p>
    <w:tbl>
      <w:tblPr>
        <w:tblStyle w:val="41"/>
        <w:tblW w:w="5000" w:type="pct"/>
        <w:jc w:val="center"/>
        <w:tblLook w:val="04A0" w:firstRow="1" w:lastRow="0" w:firstColumn="1" w:lastColumn="0" w:noHBand="0" w:noVBand="1"/>
      </w:tblPr>
      <w:tblGrid>
        <w:gridCol w:w="2244"/>
        <w:gridCol w:w="877"/>
        <w:gridCol w:w="1033"/>
        <w:gridCol w:w="666"/>
        <w:gridCol w:w="1562"/>
        <w:gridCol w:w="233"/>
        <w:gridCol w:w="1027"/>
        <w:gridCol w:w="664"/>
      </w:tblGrid>
      <w:tr w:rsidR="007E3433" w:rsidRPr="00B50702" w14:paraId="1511EE44" w14:textId="77777777" w:rsidTr="003534D2">
        <w:trPr>
          <w:trHeight w:val="252"/>
          <w:jc w:val="center"/>
        </w:trPr>
        <w:tc>
          <w:tcPr>
            <w:tcW w:w="1351" w:type="pct"/>
            <w:vMerge w:val="restart"/>
            <w:tcBorders>
              <w:top w:val="single" w:sz="12" w:space="0" w:color="auto"/>
              <w:right w:val="single" w:sz="4" w:space="0" w:color="auto"/>
            </w:tcBorders>
          </w:tcPr>
          <w:p w14:paraId="24BCCEDB" w14:textId="77777777" w:rsidR="007E3433" w:rsidRPr="00B50702" w:rsidRDefault="007E3433" w:rsidP="003534D2">
            <w:pPr>
              <w:tabs>
                <w:tab w:val="left" w:pos="426"/>
              </w:tabs>
              <w:ind w:firstLineChars="0" w:firstLine="0"/>
              <w:jc w:val="both"/>
              <w:rPr>
                <w:b/>
                <w:bCs/>
                <w:szCs w:val="24"/>
              </w:rPr>
            </w:pPr>
            <w:r w:rsidRPr="00B50702">
              <w:rPr>
                <w:b/>
                <w:bCs/>
                <w:szCs w:val="24"/>
              </w:rPr>
              <w:t xml:space="preserve">Measured </w:t>
            </w:r>
            <w:proofErr w:type="spellStart"/>
            <w:r w:rsidRPr="00B50702">
              <w:rPr>
                <w:b/>
                <w:bCs/>
                <w:i/>
                <w:iCs/>
                <w:szCs w:val="24"/>
              </w:rPr>
              <w:t>q</w:t>
            </w:r>
            <w:r w:rsidRPr="00B50702">
              <w:rPr>
                <w:b/>
                <w:bCs/>
                <w:szCs w:val="24"/>
                <w:vertAlign w:val="subscript"/>
              </w:rPr>
              <w:t>e</w:t>
            </w:r>
            <w:proofErr w:type="spellEnd"/>
            <w:r w:rsidRPr="00B50702">
              <w:rPr>
                <w:b/>
                <w:bCs/>
                <w:szCs w:val="24"/>
                <w:vertAlign w:val="subscript"/>
              </w:rPr>
              <w:t xml:space="preserve"> </w:t>
            </w:r>
            <w:r w:rsidRPr="00B50702">
              <w:rPr>
                <w:b/>
                <w:bCs/>
                <w:szCs w:val="24"/>
              </w:rPr>
              <w:t>(</w:t>
            </w:r>
            <w:r w:rsidRPr="00103A6F">
              <w:rPr>
                <w:b/>
                <w:bCs/>
                <w:szCs w:val="24"/>
              </w:rPr>
              <w:t>g·g</w:t>
            </w:r>
            <w:r w:rsidRPr="00B50702">
              <w:rPr>
                <w:b/>
                <w:bCs/>
                <w:szCs w:val="24"/>
                <w:vertAlign w:val="superscript"/>
              </w:rPr>
              <w:t>-1</w:t>
            </w:r>
            <w:r w:rsidRPr="00B50702">
              <w:rPr>
                <w:b/>
                <w:bCs/>
                <w:szCs w:val="24"/>
              </w:rPr>
              <w:t>)</w:t>
            </w:r>
          </w:p>
        </w:tc>
        <w:tc>
          <w:tcPr>
            <w:tcW w:w="1550" w:type="pct"/>
            <w:gridSpan w:val="3"/>
            <w:tcBorders>
              <w:top w:val="single" w:sz="12" w:space="0" w:color="auto"/>
              <w:left w:val="single" w:sz="4" w:space="0" w:color="auto"/>
              <w:bottom w:val="single" w:sz="4" w:space="0" w:color="auto"/>
              <w:right w:val="single" w:sz="4" w:space="0" w:color="auto"/>
            </w:tcBorders>
          </w:tcPr>
          <w:p w14:paraId="7A587388" w14:textId="77777777" w:rsidR="007E3433" w:rsidRPr="00B50702" w:rsidRDefault="007E3433" w:rsidP="003534D2">
            <w:pPr>
              <w:tabs>
                <w:tab w:val="left" w:pos="426"/>
              </w:tabs>
              <w:ind w:firstLineChars="0" w:firstLine="0"/>
              <w:jc w:val="both"/>
              <w:rPr>
                <w:b/>
                <w:bCs/>
                <w:szCs w:val="24"/>
              </w:rPr>
            </w:pPr>
            <w:r w:rsidRPr="00B50702">
              <w:rPr>
                <w:b/>
                <w:bCs/>
                <w:szCs w:val="24"/>
              </w:rPr>
              <w:t>Pseudo-first-Order</w:t>
            </w:r>
          </w:p>
        </w:tc>
        <w:tc>
          <w:tcPr>
            <w:tcW w:w="2099" w:type="pct"/>
            <w:gridSpan w:val="4"/>
            <w:tcBorders>
              <w:top w:val="single" w:sz="12" w:space="0" w:color="auto"/>
              <w:left w:val="single" w:sz="4" w:space="0" w:color="auto"/>
              <w:bottom w:val="single" w:sz="4" w:space="0" w:color="auto"/>
            </w:tcBorders>
          </w:tcPr>
          <w:p w14:paraId="2E552FA7" w14:textId="77777777" w:rsidR="007E3433" w:rsidRPr="00B50702" w:rsidRDefault="007E3433" w:rsidP="003534D2">
            <w:pPr>
              <w:tabs>
                <w:tab w:val="left" w:pos="426"/>
              </w:tabs>
              <w:ind w:firstLineChars="0" w:firstLine="0"/>
              <w:jc w:val="both"/>
              <w:rPr>
                <w:b/>
                <w:bCs/>
                <w:szCs w:val="24"/>
              </w:rPr>
            </w:pPr>
            <w:r w:rsidRPr="00B50702">
              <w:rPr>
                <w:b/>
                <w:bCs/>
                <w:szCs w:val="24"/>
              </w:rPr>
              <w:t>Pseudo-second-Order</w:t>
            </w:r>
          </w:p>
        </w:tc>
      </w:tr>
      <w:tr w:rsidR="007E3433" w:rsidRPr="00B50702" w14:paraId="57884207" w14:textId="77777777" w:rsidTr="003534D2">
        <w:trPr>
          <w:trHeight w:val="252"/>
          <w:jc w:val="center"/>
        </w:trPr>
        <w:tc>
          <w:tcPr>
            <w:tcW w:w="1351" w:type="pct"/>
            <w:vMerge/>
            <w:tcBorders>
              <w:bottom w:val="single" w:sz="4" w:space="0" w:color="auto"/>
              <w:right w:val="single" w:sz="4" w:space="0" w:color="auto"/>
            </w:tcBorders>
          </w:tcPr>
          <w:p w14:paraId="6BEE5CF3" w14:textId="77777777" w:rsidR="007E3433" w:rsidRPr="00B50702" w:rsidRDefault="007E3433" w:rsidP="003534D2">
            <w:pPr>
              <w:tabs>
                <w:tab w:val="left" w:pos="426"/>
              </w:tabs>
              <w:ind w:firstLineChars="0" w:firstLine="0"/>
              <w:jc w:val="both"/>
              <w:rPr>
                <w:b/>
                <w:bCs/>
                <w:szCs w:val="24"/>
              </w:rPr>
            </w:pPr>
          </w:p>
        </w:tc>
        <w:tc>
          <w:tcPr>
            <w:tcW w:w="528" w:type="pct"/>
            <w:tcBorders>
              <w:top w:val="single" w:sz="4" w:space="0" w:color="auto"/>
              <w:left w:val="single" w:sz="4" w:space="0" w:color="auto"/>
              <w:bottom w:val="single" w:sz="4" w:space="0" w:color="auto"/>
            </w:tcBorders>
          </w:tcPr>
          <w:p w14:paraId="3270C399" w14:textId="77777777" w:rsidR="007E3433" w:rsidRPr="00B50702" w:rsidRDefault="007E3433" w:rsidP="003534D2">
            <w:pPr>
              <w:tabs>
                <w:tab w:val="left" w:pos="426"/>
              </w:tabs>
              <w:ind w:firstLineChars="0" w:firstLine="0"/>
              <w:jc w:val="both"/>
              <w:rPr>
                <w:b/>
                <w:bCs/>
                <w:i/>
                <w:iCs/>
                <w:sz w:val="22"/>
              </w:rPr>
            </w:pPr>
            <w:r w:rsidRPr="00B50702">
              <w:rPr>
                <w:b/>
                <w:bCs/>
                <w:i/>
                <w:iCs/>
                <w:sz w:val="22"/>
              </w:rPr>
              <w:t>k</w:t>
            </w:r>
            <w:r w:rsidRPr="00B50702">
              <w:rPr>
                <w:b/>
                <w:bCs/>
                <w:sz w:val="22"/>
                <w:vertAlign w:val="subscript"/>
              </w:rPr>
              <w:t>1</w:t>
            </w:r>
            <w:r w:rsidRPr="00B50702">
              <w:rPr>
                <w:b/>
                <w:bCs/>
                <w:sz w:val="22"/>
              </w:rPr>
              <w:t>(h</w:t>
            </w:r>
            <w:r w:rsidRPr="00B50702">
              <w:rPr>
                <w:b/>
                <w:bCs/>
                <w:sz w:val="22"/>
                <w:vertAlign w:val="superscript"/>
              </w:rPr>
              <w:t>-1</w:t>
            </w:r>
            <w:r w:rsidRPr="00B50702">
              <w:rPr>
                <w:b/>
                <w:bCs/>
                <w:sz w:val="22"/>
              </w:rPr>
              <w:t>),</w:t>
            </w:r>
          </w:p>
        </w:tc>
        <w:tc>
          <w:tcPr>
            <w:tcW w:w="622" w:type="pct"/>
            <w:tcBorders>
              <w:top w:val="single" w:sz="4" w:space="0" w:color="auto"/>
              <w:bottom w:val="single" w:sz="4" w:space="0" w:color="auto"/>
            </w:tcBorders>
          </w:tcPr>
          <w:p w14:paraId="2B0C9F06" w14:textId="77777777" w:rsidR="007E3433" w:rsidRPr="00B50702" w:rsidRDefault="007E3433" w:rsidP="003534D2">
            <w:pPr>
              <w:tabs>
                <w:tab w:val="left" w:pos="426"/>
              </w:tabs>
              <w:ind w:firstLineChars="3" w:firstLine="7"/>
              <w:jc w:val="both"/>
              <w:rPr>
                <w:b/>
                <w:bCs/>
                <w:i/>
                <w:iCs/>
                <w:sz w:val="22"/>
              </w:rPr>
            </w:pPr>
            <w:proofErr w:type="spellStart"/>
            <w:r w:rsidRPr="00B50702">
              <w:rPr>
                <w:b/>
                <w:bCs/>
                <w:i/>
                <w:iCs/>
                <w:sz w:val="22"/>
              </w:rPr>
              <w:t>q</w:t>
            </w:r>
            <w:r w:rsidRPr="00B50702">
              <w:rPr>
                <w:b/>
                <w:bCs/>
                <w:sz w:val="22"/>
                <w:vertAlign w:val="subscript"/>
              </w:rPr>
              <w:t>e</w:t>
            </w:r>
            <w:proofErr w:type="spellEnd"/>
            <w:r w:rsidRPr="00B50702">
              <w:rPr>
                <w:b/>
                <w:bCs/>
                <w:sz w:val="22"/>
                <w:vertAlign w:val="subscript"/>
              </w:rPr>
              <w:t xml:space="preserve"> </w:t>
            </w:r>
            <w:r w:rsidRPr="00B50702">
              <w:rPr>
                <w:b/>
                <w:bCs/>
                <w:sz w:val="22"/>
              </w:rPr>
              <w:t>(</w:t>
            </w:r>
            <w:r w:rsidRPr="00103A6F">
              <w:rPr>
                <w:b/>
                <w:bCs/>
                <w:sz w:val="22"/>
              </w:rPr>
              <w:t>g·g</w:t>
            </w:r>
            <w:r w:rsidRPr="00B50702">
              <w:rPr>
                <w:b/>
                <w:bCs/>
                <w:sz w:val="22"/>
                <w:vertAlign w:val="superscript"/>
              </w:rPr>
              <w:t>-1</w:t>
            </w:r>
            <w:r w:rsidRPr="00B50702">
              <w:rPr>
                <w:b/>
                <w:bCs/>
                <w:sz w:val="22"/>
              </w:rPr>
              <w:t>)</w:t>
            </w:r>
          </w:p>
        </w:tc>
        <w:tc>
          <w:tcPr>
            <w:tcW w:w="401" w:type="pct"/>
            <w:tcBorders>
              <w:top w:val="single" w:sz="4" w:space="0" w:color="auto"/>
              <w:bottom w:val="single" w:sz="4" w:space="0" w:color="auto"/>
              <w:right w:val="single" w:sz="4" w:space="0" w:color="auto"/>
            </w:tcBorders>
          </w:tcPr>
          <w:p w14:paraId="1E3D65E0" w14:textId="77777777" w:rsidR="007E3433" w:rsidRPr="00B50702" w:rsidRDefault="007E3433" w:rsidP="003534D2">
            <w:pPr>
              <w:tabs>
                <w:tab w:val="left" w:pos="426"/>
              </w:tabs>
              <w:ind w:firstLineChars="0" w:firstLine="0"/>
              <w:jc w:val="both"/>
              <w:rPr>
                <w:rFonts w:eastAsiaTheme="minorEastAsia"/>
                <w:b/>
                <w:bCs/>
                <w:color w:val="000000"/>
                <w:sz w:val="22"/>
              </w:rPr>
            </w:pPr>
            <w:r w:rsidRPr="000065D5">
              <w:rPr>
                <w:rFonts w:eastAsiaTheme="minorEastAsia"/>
                <w:b/>
                <w:bCs/>
                <w:i/>
                <w:iCs/>
                <w:color w:val="000000"/>
                <w:sz w:val="22"/>
              </w:rPr>
              <w:t>R</w:t>
            </w:r>
            <w:r w:rsidRPr="00B50702">
              <w:rPr>
                <w:rFonts w:eastAsiaTheme="minorEastAsia"/>
                <w:b/>
                <w:bCs/>
                <w:color w:val="000000"/>
                <w:sz w:val="22"/>
                <w:vertAlign w:val="superscript"/>
              </w:rPr>
              <w:t>2</w:t>
            </w:r>
          </w:p>
        </w:tc>
        <w:tc>
          <w:tcPr>
            <w:tcW w:w="940" w:type="pct"/>
            <w:tcBorders>
              <w:top w:val="single" w:sz="4" w:space="0" w:color="auto"/>
              <w:left w:val="single" w:sz="4" w:space="0" w:color="auto"/>
              <w:bottom w:val="single" w:sz="4" w:space="0" w:color="auto"/>
            </w:tcBorders>
          </w:tcPr>
          <w:p w14:paraId="3479FACC" w14:textId="77777777" w:rsidR="007E3433" w:rsidRPr="00B50702" w:rsidRDefault="007E3433" w:rsidP="003534D2">
            <w:pPr>
              <w:tabs>
                <w:tab w:val="left" w:pos="426"/>
              </w:tabs>
              <w:ind w:firstLineChars="0" w:firstLine="0"/>
              <w:jc w:val="both"/>
              <w:rPr>
                <w:rFonts w:eastAsiaTheme="minorEastAsia"/>
                <w:b/>
                <w:bCs/>
                <w:color w:val="000000"/>
                <w:sz w:val="22"/>
              </w:rPr>
            </w:pPr>
            <w:r w:rsidRPr="00B50702">
              <w:rPr>
                <w:b/>
                <w:bCs/>
                <w:i/>
                <w:iCs/>
                <w:sz w:val="22"/>
              </w:rPr>
              <w:t>k</w:t>
            </w:r>
            <w:r w:rsidRPr="00B50702">
              <w:rPr>
                <w:b/>
                <w:bCs/>
                <w:sz w:val="22"/>
                <w:vertAlign w:val="subscript"/>
              </w:rPr>
              <w:t xml:space="preserve">2 </w:t>
            </w:r>
            <w:r w:rsidRPr="00B50702">
              <w:rPr>
                <w:b/>
                <w:bCs/>
                <w:sz w:val="22"/>
              </w:rPr>
              <w:t>[g</w:t>
            </w:r>
            <w:r w:rsidRPr="00B50702">
              <w:rPr>
                <w:b/>
                <w:bCs/>
                <w:sz w:val="22"/>
                <w:vertAlign w:val="subscript"/>
              </w:rPr>
              <w:t xml:space="preserve"> </w:t>
            </w:r>
            <w:r w:rsidRPr="00B50702">
              <w:rPr>
                <w:b/>
                <w:bCs/>
                <w:sz w:val="22"/>
              </w:rPr>
              <w:t>(mg h)</w:t>
            </w:r>
            <w:r w:rsidRPr="00B50702">
              <w:rPr>
                <w:b/>
                <w:bCs/>
                <w:sz w:val="22"/>
                <w:vertAlign w:val="superscript"/>
              </w:rPr>
              <w:t xml:space="preserve"> -1</w:t>
            </w:r>
            <w:r w:rsidRPr="00B50702">
              <w:rPr>
                <w:b/>
                <w:bCs/>
                <w:sz w:val="22"/>
              </w:rPr>
              <w:t>]</w:t>
            </w:r>
          </w:p>
        </w:tc>
        <w:tc>
          <w:tcPr>
            <w:tcW w:w="140" w:type="pct"/>
            <w:tcBorders>
              <w:top w:val="single" w:sz="4" w:space="0" w:color="auto"/>
              <w:bottom w:val="single" w:sz="4" w:space="0" w:color="auto"/>
            </w:tcBorders>
          </w:tcPr>
          <w:p w14:paraId="46973555" w14:textId="77777777" w:rsidR="007E3433" w:rsidRPr="00B50702" w:rsidRDefault="007E3433" w:rsidP="003534D2">
            <w:pPr>
              <w:tabs>
                <w:tab w:val="left" w:pos="426"/>
              </w:tabs>
              <w:ind w:firstLine="220"/>
              <w:jc w:val="both"/>
              <w:rPr>
                <w:rFonts w:eastAsiaTheme="minorEastAsia"/>
                <w:b/>
                <w:bCs/>
                <w:color w:val="000000"/>
                <w:sz w:val="22"/>
              </w:rPr>
            </w:pPr>
          </w:p>
        </w:tc>
        <w:tc>
          <w:tcPr>
            <w:tcW w:w="618" w:type="pct"/>
            <w:tcBorders>
              <w:top w:val="single" w:sz="4" w:space="0" w:color="auto"/>
              <w:bottom w:val="single" w:sz="4" w:space="0" w:color="auto"/>
            </w:tcBorders>
          </w:tcPr>
          <w:p w14:paraId="31E5D3D3" w14:textId="77777777" w:rsidR="007E3433" w:rsidRPr="00B50702" w:rsidRDefault="007E3433" w:rsidP="003534D2">
            <w:pPr>
              <w:tabs>
                <w:tab w:val="left" w:pos="426"/>
              </w:tabs>
              <w:ind w:firstLineChars="0" w:firstLine="0"/>
              <w:jc w:val="both"/>
              <w:rPr>
                <w:rFonts w:eastAsiaTheme="minorEastAsia"/>
                <w:b/>
                <w:bCs/>
                <w:color w:val="000000"/>
                <w:sz w:val="22"/>
              </w:rPr>
            </w:pPr>
            <w:proofErr w:type="spellStart"/>
            <w:r w:rsidRPr="00B50702">
              <w:rPr>
                <w:b/>
                <w:bCs/>
                <w:i/>
                <w:iCs/>
                <w:sz w:val="22"/>
              </w:rPr>
              <w:t>q</w:t>
            </w:r>
            <w:r w:rsidRPr="00B50702">
              <w:rPr>
                <w:b/>
                <w:bCs/>
                <w:sz w:val="22"/>
                <w:vertAlign w:val="subscript"/>
              </w:rPr>
              <w:t>e</w:t>
            </w:r>
            <w:proofErr w:type="spellEnd"/>
            <w:r w:rsidRPr="00B50702">
              <w:rPr>
                <w:b/>
                <w:bCs/>
                <w:sz w:val="22"/>
                <w:vertAlign w:val="subscript"/>
              </w:rPr>
              <w:t xml:space="preserve"> </w:t>
            </w:r>
            <w:r w:rsidRPr="00B50702">
              <w:rPr>
                <w:b/>
                <w:bCs/>
                <w:sz w:val="22"/>
              </w:rPr>
              <w:t>(</w:t>
            </w:r>
            <w:r w:rsidRPr="00103A6F">
              <w:rPr>
                <w:b/>
                <w:bCs/>
                <w:sz w:val="22"/>
              </w:rPr>
              <w:t>g·g</w:t>
            </w:r>
            <w:r w:rsidRPr="00B50702">
              <w:rPr>
                <w:b/>
                <w:bCs/>
                <w:sz w:val="22"/>
                <w:vertAlign w:val="superscript"/>
              </w:rPr>
              <w:t>-1</w:t>
            </w:r>
            <w:r w:rsidRPr="00B50702">
              <w:rPr>
                <w:b/>
                <w:bCs/>
                <w:sz w:val="22"/>
              </w:rPr>
              <w:t>)</w:t>
            </w:r>
          </w:p>
        </w:tc>
        <w:tc>
          <w:tcPr>
            <w:tcW w:w="401" w:type="pct"/>
            <w:tcBorders>
              <w:top w:val="single" w:sz="4" w:space="0" w:color="auto"/>
              <w:bottom w:val="single" w:sz="4" w:space="0" w:color="auto"/>
            </w:tcBorders>
          </w:tcPr>
          <w:p w14:paraId="58FC063D" w14:textId="77777777" w:rsidR="007E3433" w:rsidRPr="00B50702" w:rsidRDefault="007E3433" w:rsidP="003534D2">
            <w:pPr>
              <w:tabs>
                <w:tab w:val="left" w:pos="426"/>
              </w:tabs>
              <w:ind w:firstLineChars="0" w:firstLine="0"/>
              <w:jc w:val="both"/>
              <w:rPr>
                <w:b/>
                <w:bCs/>
                <w:i/>
                <w:iCs/>
                <w:sz w:val="22"/>
              </w:rPr>
            </w:pPr>
            <w:r w:rsidRPr="000065D5">
              <w:rPr>
                <w:rFonts w:eastAsiaTheme="minorEastAsia"/>
                <w:b/>
                <w:bCs/>
                <w:i/>
                <w:iCs/>
                <w:color w:val="000000"/>
                <w:sz w:val="22"/>
              </w:rPr>
              <w:t>R</w:t>
            </w:r>
            <w:r w:rsidRPr="00B50702">
              <w:rPr>
                <w:rFonts w:eastAsiaTheme="minorEastAsia"/>
                <w:b/>
                <w:bCs/>
                <w:color w:val="000000"/>
                <w:sz w:val="22"/>
                <w:vertAlign w:val="superscript"/>
              </w:rPr>
              <w:t>2</w:t>
            </w:r>
          </w:p>
        </w:tc>
      </w:tr>
      <w:tr w:rsidR="007E3433" w:rsidRPr="00B50702" w14:paraId="1813F2F4" w14:textId="77777777" w:rsidTr="003534D2">
        <w:trPr>
          <w:trHeight w:val="988"/>
          <w:jc w:val="center"/>
        </w:trPr>
        <w:tc>
          <w:tcPr>
            <w:tcW w:w="1351" w:type="pct"/>
            <w:tcBorders>
              <w:top w:val="single" w:sz="4" w:space="0" w:color="auto"/>
              <w:bottom w:val="single" w:sz="12" w:space="0" w:color="auto"/>
              <w:right w:val="single" w:sz="4" w:space="0" w:color="auto"/>
            </w:tcBorders>
          </w:tcPr>
          <w:p w14:paraId="2159E7A7" w14:textId="77777777" w:rsidR="007E3433" w:rsidRPr="00B50702" w:rsidRDefault="007E3433" w:rsidP="003534D2">
            <w:pPr>
              <w:tabs>
                <w:tab w:val="left" w:pos="426"/>
              </w:tabs>
              <w:ind w:firstLineChars="0" w:firstLine="0"/>
              <w:jc w:val="both"/>
              <w:rPr>
                <w:szCs w:val="24"/>
              </w:rPr>
            </w:pPr>
            <w:r w:rsidRPr="00B50702">
              <w:rPr>
                <w:szCs w:val="24"/>
              </w:rPr>
              <w:t>6.01</w:t>
            </w:r>
          </w:p>
        </w:tc>
        <w:tc>
          <w:tcPr>
            <w:tcW w:w="528" w:type="pct"/>
            <w:tcBorders>
              <w:top w:val="single" w:sz="4" w:space="0" w:color="auto"/>
              <w:left w:val="single" w:sz="4" w:space="0" w:color="auto"/>
            </w:tcBorders>
          </w:tcPr>
          <w:p w14:paraId="1118B4BB" w14:textId="77777777" w:rsidR="007E3433" w:rsidRPr="00B50702" w:rsidRDefault="007E3433" w:rsidP="003534D2">
            <w:pPr>
              <w:tabs>
                <w:tab w:val="left" w:pos="426"/>
              </w:tabs>
              <w:ind w:firstLineChars="0" w:firstLine="0"/>
              <w:jc w:val="both"/>
              <w:rPr>
                <w:szCs w:val="24"/>
              </w:rPr>
            </w:pPr>
            <w:r w:rsidRPr="00B50702">
              <w:rPr>
                <w:szCs w:val="24"/>
              </w:rPr>
              <w:t>0.218</w:t>
            </w:r>
          </w:p>
        </w:tc>
        <w:tc>
          <w:tcPr>
            <w:tcW w:w="622" w:type="pct"/>
            <w:tcBorders>
              <w:top w:val="single" w:sz="4" w:space="0" w:color="auto"/>
              <w:bottom w:val="single" w:sz="12" w:space="0" w:color="auto"/>
            </w:tcBorders>
          </w:tcPr>
          <w:p w14:paraId="7BDA3336" w14:textId="77777777" w:rsidR="007E3433" w:rsidRPr="00B50702" w:rsidRDefault="007E3433" w:rsidP="003534D2">
            <w:pPr>
              <w:tabs>
                <w:tab w:val="left" w:pos="426"/>
              </w:tabs>
              <w:ind w:firstLineChars="0" w:firstLine="0"/>
              <w:jc w:val="both"/>
              <w:rPr>
                <w:szCs w:val="24"/>
              </w:rPr>
            </w:pPr>
            <w:r>
              <w:rPr>
                <w:rFonts w:hint="eastAsia"/>
                <w:szCs w:val="24"/>
              </w:rPr>
              <w:t>8</w:t>
            </w:r>
            <w:r>
              <w:rPr>
                <w:szCs w:val="24"/>
              </w:rPr>
              <w:t>.04</w:t>
            </w:r>
          </w:p>
        </w:tc>
        <w:tc>
          <w:tcPr>
            <w:tcW w:w="401" w:type="pct"/>
            <w:tcBorders>
              <w:top w:val="single" w:sz="4" w:space="0" w:color="auto"/>
              <w:bottom w:val="single" w:sz="12" w:space="0" w:color="auto"/>
              <w:right w:val="single" w:sz="4" w:space="0" w:color="auto"/>
            </w:tcBorders>
          </w:tcPr>
          <w:p w14:paraId="7CEB912E" w14:textId="77777777" w:rsidR="007E3433" w:rsidRPr="00B8701C" w:rsidRDefault="007E3433" w:rsidP="003534D2">
            <w:pPr>
              <w:tabs>
                <w:tab w:val="left" w:pos="426"/>
              </w:tabs>
              <w:ind w:firstLineChars="0" w:firstLine="0"/>
              <w:jc w:val="both"/>
              <w:rPr>
                <w:szCs w:val="24"/>
              </w:rPr>
            </w:pPr>
            <w:r w:rsidRPr="00B8701C">
              <w:rPr>
                <w:szCs w:val="24"/>
              </w:rPr>
              <w:t>0.91</w:t>
            </w:r>
          </w:p>
        </w:tc>
        <w:tc>
          <w:tcPr>
            <w:tcW w:w="940" w:type="pct"/>
            <w:tcBorders>
              <w:top w:val="single" w:sz="4" w:space="0" w:color="auto"/>
              <w:left w:val="single" w:sz="4" w:space="0" w:color="auto"/>
            </w:tcBorders>
          </w:tcPr>
          <w:p w14:paraId="742D8792" w14:textId="77777777" w:rsidR="007E3433" w:rsidRPr="00B50702" w:rsidRDefault="007E3433" w:rsidP="003534D2">
            <w:pPr>
              <w:tabs>
                <w:tab w:val="left" w:pos="426"/>
              </w:tabs>
              <w:ind w:firstLineChars="0" w:firstLine="0"/>
              <w:jc w:val="both"/>
              <w:rPr>
                <w:b/>
                <w:bCs/>
                <w:szCs w:val="24"/>
              </w:rPr>
            </w:pPr>
            <w:r w:rsidRPr="00B50702">
              <w:rPr>
                <w:szCs w:val="24"/>
              </w:rPr>
              <w:t>0.016</w:t>
            </w:r>
          </w:p>
        </w:tc>
        <w:tc>
          <w:tcPr>
            <w:tcW w:w="758" w:type="pct"/>
            <w:gridSpan w:val="2"/>
            <w:tcBorders>
              <w:top w:val="single" w:sz="4" w:space="0" w:color="auto"/>
            </w:tcBorders>
          </w:tcPr>
          <w:p w14:paraId="11B6E19B" w14:textId="77777777" w:rsidR="007E3433" w:rsidRPr="00B50702" w:rsidRDefault="007E3433" w:rsidP="003534D2">
            <w:pPr>
              <w:tabs>
                <w:tab w:val="left" w:pos="426"/>
              </w:tabs>
              <w:ind w:leftChars="70" w:left="168" w:firstLineChars="0" w:firstLine="2"/>
              <w:jc w:val="both"/>
              <w:rPr>
                <w:b/>
                <w:bCs/>
                <w:szCs w:val="24"/>
              </w:rPr>
            </w:pPr>
            <w:r>
              <w:rPr>
                <w:rFonts w:eastAsiaTheme="minorEastAsia"/>
                <w:color w:val="000000"/>
                <w:szCs w:val="24"/>
              </w:rPr>
              <w:t>7.02</w:t>
            </w:r>
          </w:p>
        </w:tc>
        <w:tc>
          <w:tcPr>
            <w:tcW w:w="401" w:type="pct"/>
            <w:tcBorders>
              <w:top w:val="single" w:sz="4" w:space="0" w:color="auto"/>
            </w:tcBorders>
          </w:tcPr>
          <w:p w14:paraId="2FF9AAA3" w14:textId="77777777" w:rsidR="007E3433" w:rsidRPr="00B8701C" w:rsidRDefault="007E3433" w:rsidP="003534D2">
            <w:pPr>
              <w:tabs>
                <w:tab w:val="left" w:pos="426"/>
              </w:tabs>
              <w:ind w:firstLineChars="0" w:firstLine="0"/>
              <w:jc w:val="both"/>
              <w:rPr>
                <w:b/>
                <w:bCs/>
                <w:szCs w:val="24"/>
              </w:rPr>
            </w:pPr>
            <w:r w:rsidRPr="00B8701C">
              <w:rPr>
                <w:b/>
                <w:bCs/>
                <w:szCs w:val="24"/>
              </w:rPr>
              <w:t>0.95</w:t>
            </w:r>
          </w:p>
        </w:tc>
      </w:tr>
    </w:tbl>
    <w:p w14:paraId="505C35E9" w14:textId="01DCC9E7" w:rsidR="007E3433" w:rsidRPr="00B50702" w:rsidRDefault="007E3433" w:rsidP="007E3433">
      <w:pPr>
        <w:pStyle w:val="a8"/>
        <w:spacing w:beforeLines="100" w:before="326"/>
        <w:ind w:firstLineChars="0" w:firstLine="0"/>
        <w:jc w:val="center"/>
      </w:pPr>
      <w:r w:rsidRPr="000065D5">
        <w:t>Table S</w:t>
      </w:r>
      <w:r w:rsidR="00E81E1A">
        <w:t>9</w:t>
      </w:r>
      <w:r w:rsidRPr="00B50702">
        <w:t xml:space="preserve"> </w:t>
      </w:r>
      <w:r w:rsidRPr="005A08DF">
        <w:rPr>
          <w:b w:val="0"/>
          <w:bCs/>
        </w:rPr>
        <w:t>Kinetic parameters of the Webber-Morris intraparticle diffusion mode</w:t>
      </w:r>
    </w:p>
    <w:tbl>
      <w:tblPr>
        <w:tblStyle w:val="41"/>
        <w:tblW w:w="5000" w:type="pct"/>
        <w:jc w:val="center"/>
        <w:tblLook w:val="04A0" w:firstRow="1" w:lastRow="0" w:firstColumn="1" w:lastColumn="0" w:noHBand="0" w:noVBand="1"/>
      </w:tblPr>
      <w:tblGrid>
        <w:gridCol w:w="1892"/>
        <w:gridCol w:w="2503"/>
        <w:gridCol w:w="1992"/>
        <w:gridCol w:w="130"/>
        <w:gridCol w:w="1497"/>
        <w:gridCol w:w="292"/>
      </w:tblGrid>
      <w:tr w:rsidR="007E3433" w:rsidRPr="00B50702" w14:paraId="45BA4F3D" w14:textId="77777777" w:rsidTr="003534D2">
        <w:trPr>
          <w:trHeight w:val="252"/>
          <w:jc w:val="center"/>
        </w:trPr>
        <w:tc>
          <w:tcPr>
            <w:tcW w:w="1139" w:type="pct"/>
            <w:tcBorders>
              <w:top w:val="single" w:sz="12" w:space="0" w:color="auto"/>
              <w:bottom w:val="single" w:sz="4" w:space="0" w:color="auto"/>
            </w:tcBorders>
          </w:tcPr>
          <w:p w14:paraId="7C8CF91E" w14:textId="77777777" w:rsidR="007E3433" w:rsidRPr="00B50702" w:rsidRDefault="007E3433" w:rsidP="003534D2">
            <w:pPr>
              <w:tabs>
                <w:tab w:val="left" w:pos="426"/>
              </w:tabs>
              <w:ind w:firstLineChars="12" w:firstLine="29"/>
              <w:jc w:val="both"/>
              <w:rPr>
                <w:b/>
                <w:bCs/>
                <w:szCs w:val="24"/>
              </w:rPr>
            </w:pPr>
          </w:p>
        </w:tc>
        <w:tc>
          <w:tcPr>
            <w:tcW w:w="1507" w:type="pct"/>
            <w:tcBorders>
              <w:top w:val="single" w:sz="12" w:space="0" w:color="auto"/>
              <w:bottom w:val="single" w:sz="4" w:space="0" w:color="auto"/>
            </w:tcBorders>
          </w:tcPr>
          <w:p w14:paraId="473DED0F" w14:textId="77777777" w:rsidR="007E3433" w:rsidRPr="00B50702" w:rsidRDefault="007E3433" w:rsidP="003534D2">
            <w:pPr>
              <w:tabs>
                <w:tab w:val="left" w:pos="426"/>
              </w:tabs>
              <w:ind w:firstLineChars="12" w:firstLine="29"/>
              <w:jc w:val="both"/>
              <w:rPr>
                <w:b/>
                <w:bCs/>
                <w:szCs w:val="24"/>
                <w:vertAlign w:val="subscript"/>
              </w:rPr>
            </w:pPr>
            <w:proofErr w:type="spellStart"/>
            <w:r w:rsidRPr="00B50702">
              <w:rPr>
                <w:b/>
                <w:bCs/>
                <w:i/>
                <w:iCs/>
                <w:szCs w:val="24"/>
              </w:rPr>
              <w:t>k</w:t>
            </w:r>
            <w:r w:rsidRPr="00B50702">
              <w:rPr>
                <w:b/>
                <w:bCs/>
                <w:szCs w:val="24"/>
                <w:vertAlign w:val="subscript"/>
              </w:rPr>
              <w:t>p</w:t>
            </w:r>
            <w:proofErr w:type="spellEnd"/>
          </w:p>
          <w:p w14:paraId="2DBC275A" w14:textId="77777777" w:rsidR="007E3433" w:rsidRPr="00B50702" w:rsidRDefault="007E3433" w:rsidP="003534D2">
            <w:pPr>
              <w:tabs>
                <w:tab w:val="left" w:pos="426"/>
              </w:tabs>
              <w:ind w:firstLineChars="12" w:firstLine="29"/>
              <w:jc w:val="both"/>
              <w:rPr>
                <w:b/>
                <w:bCs/>
                <w:szCs w:val="24"/>
              </w:rPr>
            </w:pPr>
            <w:r w:rsidRPr="00B50702">
              <w:rPr>
                <w:b/>
                <w:bCs/>
                <w:szCs w:val="24"/>
              </w:rPr>
              <w:t>(</w:t>
            </w:r>
            <w:r w:rsidRPr="00103A6F">
              <w:rPr>
                <w:b/>
              </w:rPr>
              <w:t>g·g</w:t>
            </w:r>
            <w:r w:rsidRPr="00B50702">
              <w:rPr>
                <w:b/>
                <w:vertAlign w:val="superscript"/>
              </w:rPr>
              <w:t>-1</w:t>
            </w:r>
            <w:r w:rsidRPr="00B50702">
              <w:rPr>
                <w:b/>
              </w:rPr>
              <w:t>·h</w:t>
            </w:r>
            <w:r w:rsidRPr="00B50702">
              <w:rPr>
                <w:b/>
                <w:vertAlign w:val="superscript"/>
              </w:rPr>
              <w:t>-0.5</w:t>
            </w:r>
            <w:r w:rsidRPr="00B50702">
              <w:rPr>
                <w:b/>
                <w:bCs/>
                <w:szCs w:val="24"/>
              </w:rPr>
              <w:t>)</w:t>
            </w:r>
          </w:p>
        </w:tc>
        <w:tc>
          <w:tcPr>
            <w:tcW w:w="1277" w:type="pct"/>
            <w:gridSpan w:val="2"/>
            <w:tcBorders>
              <w:top w:val="single" w:sz="12" w:space="0" w:color="auto"/>
              <w:bottom w:val="single" w:sz="4" w:space="0" w:color="auto"/>
            </w:tcBorders>
          </w:tcPr>
          <w:p w14:paraId="263E6570" w14:textId="77777777" w:rsidR="007E3433" w:rsidRPr="00B50702" w:rsidRDefault="007E3433" w:rsidP="003534D2">
            <w:pPr>
              <w:tabs>
                <w:tab w:val="left" w:pos="426"/>
              </w:tabs>
              <w:ind w:firstLineChars="12" w:firstLine="29"/>
              <w:jc w:val="both"/>
              <w:rPr>
                <w:rFonts w:eastAsiaTheme="minorEastAsia"/>
                <w:b/>
                <w:bCs/>
                <w:color w:val="000000"/>
                <w:szCs w:val="24"/>
              </w:rPr>
            </w:pPr>
            <w:r w:rsidRPr="00B50702">
              <w:rPr>
                <w:rFonts w:eastAsiaTheme="minorEastAsia"/>
                <w:b/>
                <w:bCs/>
                <w:color w:val="000000"/>
                <w:szCs w:val="24"/>
              </w:rPr>
              <w:t>C</w:t>
            </w:r>
          </w:p>
          <w:p w14:paraId="42C646F0" w14:textId="77777777" w:rsidR="007E3433" w:rsidRPr="00B50702" w:rsidRDefault="007E3433" w:rsidP="003534D2">
            <w:pPr>
              <w:tabs>
                <w:tab w:val="left" w:pos="426"/>
              </w:tabs>
              <w:ind w:firstLineChars="12" w:firstLine="29"/>
              <w:jc w:val="both"/>
              <w:rPr>
                <w:rFonts w:eastAsiaTheme="minorEastAsia"/>
                <w:b/>
                <w:bCs/>
                <w:color w:val="000000"/>
                <w:szCs w:val="24"/>
              </w:rPr>
            </w:pPr>
            <w:r w:rsidRPr="00B50702">
              <w:rPr>
                <w:b/>
              </w:rPr>
              <w:t>(</w:t>
            </w:r>
            <w:bookmarkStart w:id="9" w:name="_Hlk205470572"/>
            <w:r w:rsidRPr="00103A6F">
              <w:rPr>
                <w:b/>
              </w:rPr>
              <w:t>g·g</w:t>
            </w:r>
            <w:r w:rsidRPr="00B50702">
              <w:rPr>
                <w:b/>
                <w:vertAlign w:val="superscript"/>
              </w:rPr>
              <w:t>-1</w:t>
            </w:r>
            <w:bookmarkEnd w:id="9"/>
            <w:r w:rsidRPr="00B50702">
              <w:rPr>
                <w:b/>
              </w:rPr>
              <w:t>)</w:t>
            </w:r>
          </w:p>
        </w:tc>
        <w:tc>
          <w:tcPr>
            <w:tcW w:w="1077" w:type="pct"/>
            <w:gridSpan w:val="2"/>
            <w:tcBorders>
              <w:top w:val="single" w:sz="12" w:space="0" w:color="auto"/>
              <w:bottom w:val="single" w:sz="4" w:space="0" w:color="auto"/>
            </w:tcBorders>
          </w:tcPr>
          <w:p w14:paraId="4B9C4971" w14:textId="77777777" w:rsidR="007E3433" w:rsidRPr="00B50702" w:rsidRDefault="007E3433" w:rsidP="003534D2">
            <w:pPr>
              <w:tabs>
                <w:tab w:val="left" w:pos="426"/>
              </w:tabs>
              <w:ind w:firstLineChars="12" w:firstLine="29"/>
              <w:jc w:val="both"/>
              <w:rPr>
                <w:b/>
                <w:bCs/>
                <w:szCs w:val="24"/>
              </w:rPr>
            </w:pPr>
            <w:r w:rsidRPr="000065D5">
              <w:rPr>
                <w:rFonts w:eastAsiaTheme="minorEastAsia"/>
                <w:b/>
                <w:bCs/>
                <w:i/>
                <w:iCs/>
                <w:color w:val="000000"/>
                <w:szCs w:val="24"/>
              </w:rPr>
              <w:t>R</w:t>
            </w:r>
            <w:r w:rsidRPr="00B50702">
              <w:rPr>
                <w:rFonts w:eastAsiaTheme="minorEastAsia"/>
                <w:b/>
                <w:bCs/>
                <w:color w:val="000000"/>
                <w:szCs w:val="24"/>
                <w:vertAlign w:val="superscript"/>
              </w:rPr>
              <w:t>2</w:t>
            </w:r>
          </w:p>
        </w:tc>
      </w:tr>
      <w:tr w:rsidR="007E3433" w:rsidRPr="00B50702" w14:paraId="2837F524" w14:textId="77777777" w:rsidTr="003534D2">
        <w:trPr>
          <w:jc w:val="center"/>
        </w:trPr>
        <w:tc>
          <w:tcPr>
            <w:tcW w:w="1139" w:type="pct"/>
            <w:tcBorders>
              <w:top w:val="single" w:sz="4" w:space="0" w:color="auto"/>
            </w:tcBorders>
          </w:tcPr>
          <w:p w14:paraId="177EB32D" w14:textId="77777777" w:rsidR="007E3433" w:rsidRPr="00B50702" w:rsidRDefault="007E3433" w:rsidP="003534D2">
            <w:pPr>
              <w:tabs>
                <w:tab w:val="left" w:pos="426"/>
              </w:tabs>
              <w:ind w:firstLineChars="12" w:firstLine="29"/>
              <w:jc w:val="both"/>
              <w:rPr>
                <w:b/>
                <w:bCs/>
                <w:szCs w:val="24"/>
              </w:rPr>
            </w:pPr>
            <w:r w:rsidRPr="00B50702">
              <w:rPr>
                <w:b/>
                <w:bCs/>
                <w:szCs w:val="24"/>
              </w:rPr>
              <w:t>Stage 1</w:t>
            </w:r>
          </w:p>
        </w:tc>
        <w:tc>
          <w:tcPr>
            <w:tcW w:w="1507" w:type="pct"/>
            <w:tcBorders>
              <w:top w:val="single" w:sz="4" w:space="0" w:color="auto"/>
            </w:tcBorders>
          </w:tcPr>
          <w:p w14:paraId="72AC7AEB" w14:textId="77777777" w:rsidR="007E3433" w:rsidRPr="00B50702" w:rsidRDefault="007E3433" w:rsidP="003534D2">
            <w:pPr>
              <w:tabs>
                <w:tab w:val="left" w:pos="426"/>
              </w:tabs>
              <w:ind w:firstLineChars="12" w:firstLine="29"/>
              <w:jc w:val="both"/>
              <w:rPr>
                <w:szCs w:val="24"/>
              </w:rPr>
            </w:pPr>
            <w:r w:rsidRPr="00B50702">
              <w:rPr>
                <w:szCs w:val="24"/>
              </w:rPr>
              <w:t>4.352</w:t>
            </w:r>
          </w:p>
        </w:tc>
        <w:tc>
          <w:tcPr>
            <w:tcW w:w="1199" w:type="pct"/>
            <w:tcBorders>
              <w:top w:val="single" w:sz="4" w:space="0" w:color="auto"/>
            </w:tcBorders>
          </w:tcPr>
          <w:p w14:paraId="5DF484B4" w14:textId="77777777" w:rsidR="007E3433" w:rsidRPr="00B50702" w:rsidRDefault="007E3433" w:rsidP="003534D2">
            <w:pPr>
              <w:tabs>
                <w:tab w:val="left" w:pos="426"/>
              </w:tabs>
              <w:ind w:firstLineChars="12" w:firstLine="29"/>
              <w:jc w:val="both"/>
              <w:rPr>
                <w:szCs w:val="24"/>
              </w:rPr>
            </w:pPr>
            <w:r w:rsidRPr="00B50702">
              <w:rPr>
                <w:szCs w:val="24"/>
              </w:rPr>
              <w:t>3.125</w:t>
            </w:r>
          </w:p>
        </w:tc>
        <w:tc>
          <w:tcPr>
            <w:tcW w:w="1155" w:type="pct"/>
            <w:gridSpan w:val="3"/>
            <w:tcBorders>
              <w:top w:val="single" w:sz="4" w:space="0" w:color="auto"/>
            </w:tcBorders>
          </w:tcPr>
          <w:p w14:paraId="0893C6A2" w14:textId="77777777" w:rsidR="007E3433" w:rsidRPr="00B50702" w:rsidRDefault="007E3433" w:rsidP="003534D2">
            <w:pPr>
              <w:tabs>
                <w:tab w:val="left" w:pos="426"/>
              </w:tabs>
              <w:ind w:firstLineChars="12" w:firstLine="29"/>
              <w:jc w:val="both"/>
              <w:rPr>
                <w:szCs w:val="24"/>
              </w:rPr>
            </w:pPr>
            <w:r w:rsidRPr="00B50702">
              <w:rPr>
                <w:szCs w:val="24"/>
              </w:rPr>
              <w:t>0.99</w:t>
            </w:r>
          </w:p>
        </w:tc>
      </w:tr>
      <w:tr w:rsidR="007E3433" w:rsidRPr="00B50702" w14:paraId="41226BEC" w14:textId="77777777" w:rsidTr="003534D2">
        <w:trPr>
          <w:jc w:val="center"/>
        </w:trPr>
        <w:tc>
          <w:tcPr>
            <w:tcW w:w="1139" w:type="pct"/>
          </w:tcPr>
          <w:p w14:paraId="05C43A14" w14:textId="77777777" w:rsidR="007E3433" w:rsidRPr="00B50702" w:rsidRDefault="007E3433" w:rsidP="003534D2">
            <w:pPr>
              <w:tabs>
                <w:tab w:val="left" w:pos="426"/>
              </w:tabs>
              <w:ind w:firstLineChars="12" w:firstLine="29"/>
              <w:jc w:val="both"/>
              <w:rPr>
                <w:b/>
                <w:bCs/>
                <w:szCs w:val="24"/>
              </w:rPr>
            </w:pPr>
            <w:r w:rsidRPr="00B50702">
              <w:rPr>
                <w:b/>
                <w:bCs/>
                <w:szCs w:val="24"/>
              </w:rPr>
              <w:t>Stage 2</w:t>
            </w:r>
          </w:p>
        </w:tc>
        <w:tc>
          <w:tcPr>
            <w:tcW w:w="1507" w:type="pct"/>
          </w:tcPr>
          <w:p w14:paraId="53F4B621" w14:textId="77777777" w:rsidR="007E3433" w:rsidRPr="00B50702" w:rsidRDefault="007E3433" w:rsidP="003534D2">
            <w:pPr>
              <w:tabs>
                <w:tab w:val="left" w:pos="426"/>
              </w:tabs>
              <w:ind w:firstLineChars="12" w:firstLine="29"/>
              <w:jc w:val="both"/>
              <w:rPr>
                <w:szCs w:val="24"/>
              </w:rPr>
            </w:pPr>
            <w:r w:rsidRPr="00B50702">
              <w:rPr>
                <w:szCs w:val="24"/>
              </w:rPr>
              <w:t>0.493</w:t>
            </w:r>
          </w:p>
        </w:tc>
        <w:tc>
          <w:tcPr>
            <w:tcW w:w="1199" w:type="pct"/>
          </w:tcPr>
          <w:p w14:paraId="6DFBF7E9" w14:textId="77777777" w:rsidR="007E3433" w:rsidRPr="00B50702" w:rsidRDefault="007E3433" w:rsidP="003534D2">
            <w:pPr>
              <w:tabs>
                <w:tab w:val="left" w:pos="426"/>
              </w:tabs>
              <w:ind w:firstLineChars="12" w:firstLine="29"/>
              <w:jc w:val="both"/>
              <w:rPr>
                <w:szCs w:val="24"/>
              </w:rPr>
            </w:pPr>
            <w:r w:rsidRPr="00B50702">
              <w:rPr>
                <w:szCs w:val="24"/>
              </w:rPr>
              <w:t>4.488</w:t>
            </w:r>
          </w:p>
        </w:tc>
        <w:tc>
          <w:tcPr>
            <w:tcW w:w="1155" w:type="pct"/>
            <w:gridSpan w:val="3"/>
          </w:tcPr>
          <w:p w14:paraId="7662A35F" w14:textId="77777777" w:rsidR="007E3433" w:rsidRPr="00B50702" w:rsidRDefault="007E3433" w:rsidP="003534D2">
            <w:pPr>
              <w:tabs>
                <w:tab w:val="left" w:pos="426"/>
              </w:tabs>
              <w:ind w:firstLineChars="12" w:firstLine="29"/>
              <w:jc w:val="both"/>
              <w:rPr>
                <w:szCs w:val="24"/>
              </w:rPr>
            </w:pPr>
            <w:r w:rsidRPr="00B50702">
              <w:rPr>
                <w:szCs w:val="24"/>
              </w:rPr>
              <w:t>0.99</w:t>
            </w:r>
          </w:p>
        </w:tc>
      </w:tr>
      <w:tr w:rsidR="007E3433" w:rsidRPr="00B50702" w14:paraId="40403809" w14:textId="77777777" w:rsidTr="003534D2">
        <w:trPr>
          <w:jc w:val="center"/>
        </w:trPr>
        <w:tc>
          <w:tcPr>
            <w:tcW w:w="1139" w:type="pct"/>
          </w:tcPr>
          <w:p w14:paraId="609312AD" w14:textId="77777777" w:rsidR="007E3433" w:rsidRPr="00B50702" w:rsidRDefault="007E3433" w:rsidP="003534D2">
            <w:pPr>
              <w:tabs>
                <w:tab w:val="left" w:pos="426"/>
              </w:tabs>
              <w:ind w:firstLineChars="12" w:firstLine="29"/>
              <w:jc w:val="both"/>
              <w:rPr>
                <w:b/>
                <w:bCs/>
                <w:szCs w:val="24"/>
              </w:rPr>
            </w:pPr>
            <w:r w:rsidRPr="00B50702">
              <w:rPr>
                <w:b/>
                <w:bCs/>
                <w:szCs w:val="24"/>
              </w:rPr>
              <w:t>Stage 3</w:t>
            </w:r>
          </w:p>
        </w:tc>
        <w:tc>
          <w:tcPr>
            <w:tcW w:w="1507" w:type="pct"/>
          </w:tcPr>
          <w:p w14:paraId="05405DCE" w14:textId="77777777" w:rsidR="007E3433" w:rsidRPr="00B50702" w:rsidRDefault="007E3433" w:rsidP="003534D2">
            <w:pPr>
              <w:tabs>
                <w:tab w:val="left" w:pos="426"/>
              </w:tabs>
              <w:ind w:firstLineChars="12" w:firstLine="29"/>
              <w:jc w:val="both"/>
              <w:rPr>
                <w:szCs w:val="24"/>
              </w:rPr>
            </w:pPr>
            <w:r w:rsidRPr="00B50702">
              <w:rPr>
                <w:szCs w:val="24"/>
              </w:rPr>
              <w:t>0.154</w:t>
            </w:r>
          </w:p>
        </w:tc>
        <w:tc>
          <w:tcPr>
            <w:tcW w:w="1199" w:type="pct"/>
          </w:tcPr>
          <w:p w14:paraId="115B4AFB" w14:textId="77777777" w:rsidR="007E3433" w:rsidRPr="00B50702" w:rsidRDefault="007E3433" w:rsidP="003534D2">
            <w:pPr>
              <w:tabs>
                <w:tab w:val="left" w:pos="426"/>
              </w:tabs>
              <w:ind w:rightChars="-72" w:right="-173" w:firstLineChars="12" w:firstLine="29"/>
              <w:jc w:val="both"/>
              <w:rPr>
                <w:rFonts w:eastAsiaTheme="minorEastAsia"/>
                <w:color w:val="000000"/>
                <w:szCs w:val="24"/>
              </w:rPr>
            </w:pPr>
            <w:r w:rsidRPr="00B50702">
              <w:rPr>
                <w:rFonts w:eastAsiaTheme="minorEastAsia"/>
                <w:color w:val="000000"/>
                <w:szCs w:val="24"/>
              </w:rPr>
              <w:t>5.458</w:t>
            </w:r>
          </w:p>
        </w:tc>
        <w:tc>
          <w:tcPr>
            <w:tcW w:w="979" w:type="pct"/>
            <w:gridSpan w:val="2"/>
          </w:tcPr>
          <w:p w14:paraId="765839ED" w14:textId="77777777" w:rsidR="007E3433" w:rsidRPr="00B50702" w:rsidRDefault="007E3433" w:rsidP="003534D2">
            <w:pPr>
              <w:tabs>
                <w:tab w:val="left" w:pos="426"/>
              </w:tabs>
              <w:ind w:rightChars="-130" w:right="-312" w:firstLineChars="12" w:firstLine="29"/>
              <w:jc w:val="both"/>
              <w:rPr>
                <w:rFonts w:eastAsiaTheme="minorEastAsia"/>
                <w:color w:val="000000"/>
                <w:szCs w:val="24"/>
              </w:rPr>
            </w:pPr>
            <w:r w:rsidRPr="00B50702">
              <w:rPr>
                <w:rFonts w:eastAsiaTheme="minorEastAsia"/>
                <w:color w:val="000000"/>
                <w:szCs w:val="24"/>
              </w:rPr>
              <w:t>0.99</w:t>
            </w:r>
          </w:p>
        </w:tc>
        <w:tc>
          <w:tcPr>
            <w:tcW w:w="176" w:type="pct"/>
          </w:tcPr>
          <w:p w14:paraId="31B32286" w14:textId="77777777" w:rsidR="007E3433" w:rsidRPr="00B50702" w:rsidRDefault="007E3433" w:rsidP="003534D2">
            <w:pPr>
              <w:tabs>
                <w:tab w:val="left" w:pos="426"/>
              </w:tabs>
              <w:ind w:firstLineChars="12" w:firstLine="29"/>
              <w:jc w:val="both"/>
              <w:rPr>
                <w:szCs w:val="24"/>
              </w:rPr>
            </w:pPr>
          </w:p>
        </w:tc>
      </w:tr>
    </w:tbl>
    <w:p w14:paraId="7AB28470" w14:textId="77777777" w:rsidR="007E3433" w:rsidRPr="00B50702" w:rsidRDefault="007E3433" w:rsidP="007E3433">
      <w:pPr>
        <w:pStyle w:val="a8"/>
        <w:ind w:firstLine="181"/>
        <w:jc w:val="both"/>
      </w:pPr>
      <w:r w:rsidRPr="00B50702">
        <w:br w:type="page"/>
      </w:r>
    </w:p>
    <w:p w14:paraId="2D8FAE5B" w14:textId="10EF6B6E" w:rsidR="007E3433" w:rsidRPr="00B50702" w:rsidRDefault="007E3433" w:rsidP="007E3433">
      <w:pPr>
        <w:pStyle w:val="a8"/>
        <w:spacing w:beforeLines="100" w:before="326"/>
        <w:ind w:firstLineChars="0" w:firstLine="0"/>
        <w:jc w:val="center"/>
      </w:pPr>
      <w:r w:rsidRPr="000065D5">
        <w:lastRenderedPageBreak/>
        <w:t>Table S</w:t>
      </w:r>
      <w:r w:rsidRPr="00B50702">
        <w:t>1</w:t>
      </w:r>
      <w:r w:rsidR="00E81E1A">
        <w:t>0</w:t>
      </w:r>
      <w:r w:rsidRPr="00B50702">
        <w:rPr>
          <w:noProof/>
        </w:rPr>
        <w:t xml:space="preserve"> </w:t>
      </w:r>
      <w:r w:rsidRPr="005A08DF">
        <w:rPr>
          <w:b w:val="0"/>
          <w:bCs/>
          <w:noProof/>
        </w:rPr>
        <w:t>Langmuir fitting parameters at different temperatures</w:t>
      </w:r>
    </w:p>
    <w:tbl>
      <w:tblPr>
        <w:tblStyle w:val="41"/>
        <w:tblW w:w="4998" w:type="pct"/>
        <w:jc w:val="center"/>
        <w:tblLook w:val="04A0" w:firstRow="1" w:lastRow="0" w:firstColumn="1" w:lastColumn="0" w:noHBand="0" w:noVBand="1"/>
      </w:tblPr>
      <w:tblGrid>
        <w:gridCol w:w="2075"/>
        <w:gridCol w:w="2076"/>
        <w:gridCol w:w="2076"/>
        <w:gridCol w:w="2076"/>
      </w:tblGrid>
      <w:tr w:rsidR="007E3433" w:rsidRPr="00B50702" w14:paraId="0A3F679B" w14:textId="77777777" w:rsidTr="003534D2">
        <w:trPr>
          <w:trHeight w:val="252"/>
          <w:jc w:val="center"/>
        </w:trPr>
        <w:tc>
          <w:tcPr>
            <w:tcW w:w="1249" w:type="pct"/>
            <w:tcBorders>
              <w:top w:val="single" w:sz="12" w:space="0" w:color="auto"/>
              <w:bottom w:val="single" w:sz="4" w:space="0" w:color="auto"/>
            </w:tcBorders>
          </w:tcPr>
          <w:p w14:paraId="7C20A1A9" w14:textId="77777777" w:rsidR="007E3433" w:rsidRPr="00B50702" w:rsidRDefault="007E3433" w:rsidP="003534D2">
            <w:pPr>
              <w:tabs>
                <w:tab w:val="left" w:pos="426"/>
              </w:tabs>
              <w:ind w:firstLineChars="12" w:firstLine="29"/>
              <w:jc w:val="both"/>
              <w:rPr>
                <w:b/>
                <w:bCs/>
                <w:szCs w:val="24"/>
              </w:rPr>
            </w:pPr>
            <w:r w:rsidRPr="00B50702">
              <w:rPr>
                <w:b/>
                <w:bCs/>
                <w:szCs w:val="24"/>
              </w:rPr>
              <w:t>T (</w:t>
            </w:r>
            <w:r w:rsidRPr="003C242E">
              <w:rPr>
                <w:b/>
                <w:bCs/>
                <w:szCs w:val="24"/>
              </w:rPr>
              <w:t>℃</w:t>
            </w:r>
            <w:r w:rsidRPr="00B50702">
              <w:rPr>
                <w:b/>
                <w:bCs/>
                <w:szCs w:val="24"/>
              </w:rPr>
              <w:t>)</w:t>
            </w:r>
          </w:p>
        </w:tc>
        <w:tc>
          <w:tcPr>
            <w:tcW w:w="1250" w:type="pct"/>
            <w:tcBorders>
              <w:top w:val="single" w:sz="12" w:space="0" w:color="auto"/>
              <w:bottom w:val="single" w:sz="4" w:space="0" w:color="auto"/>
            </w:tcBorders>
          </w:tcPr>
          <w:p w14:paraId="0AE6D0FA" w14:textId="77777777" w:rsidR="007E3433" w:rsidRPr="00B50702" w:rsidRDefault="007E3433" w:rsidP="003534D2">
            <w:pPr>
              <w:tabs>
                <w:tab w:val="left" w:pos="426"/>
              </w:tabs>
              <w:ind w:firstLineChars="0" w:firstLine="0"/>
              <w:jc w:val="both"/>
              <w:rPr>
                <w:b/>
                <w:bCs/>
                <w:szCs w:val="24"/>
              </w:rPr>
            </w:pPr>
            <w:proofErr w:type="spellStart"/>
            <w:r w:rsidRPr="00B50702">
              <w:rPr>
                <w:b/>
                <w:bCs/>
                <w:i/>
                <w:iCs/>
                <w:szCs w:val="24"/>
              </w:rPr>
              <w:t>k</w:t>
            </w:r>
            <w:r w:rsidRPr="00B50702">
              <w:rPr>
                <w:b/>
                <w:bCs/>
                <w:szCs w:val="24"/>
                <w:vertAlign w:val="subscript"/>
              </w:rPr>
              <w:t>L</w:t>
            </w:r>
            <w:proofErr w:type="spellEnd"/>
            <w:r w:rsidRPr="00B50702">
              <w:rPr>
                <w:b/>
                <w:bCs/>
                <w:szCs w:val="24"/>
                <w:vertAlign w:val="subscript"/>
              </w:rPr>
              <w:t xml:space="preserve"> </w:t>
            </w:r>
            <w:r w:rsidRPr="00B50702">
              <w:rPr>
                <w:b/>
                <w:bCs/>
                <w:szCs w:val="24"/>
              </w:rPr>
              <w:t>(L g</w:t>
            </w:r>
            <w:r w:rsidRPr="00B50702">
              <w:rPr>
                <w:b/>
                <w:bCs/>
                <w:szCs w:val="24"/>
                <w:vertAlign w:val="superscript"/>
              </w:rPr>
              <w:t>-1</w:t>
            </w:r>
            <w:r w:rsidRPr="00B50702">
              <w:rPr>
                <w:b/>
                <w:bCs/>
                <w:szCs w:val="24"/>
              </w:rPr>
              <w:t>)</w:t>
            </w:r>
          </w:p>
        </w:tc>
        <w:tc>
          <w:tcPr>
            <w:tcW w:w="1250" w:type="pct"/>
            <w:tcBorders>
              <w:top w:val="single" w:sz="12" w:space="0" w:color="auto"/>
              <w:bottom w:val="single" w:sz="4" w:space="0" w:color="auto"/>
            </w:tcBorders>
          </w:tcPr>
          <w:p w14:paraId="53EBAE9B" w14:textId="77777777" w:rsidR="007E3433" w:rsidRPr="00B50702" w:rsidRDefault="007E3433" w:rsidP="003534D2">
            <w:pPr>
              <w:tabs>
                <w:tab w:val="left" w:pos="426"/>
              </w:tabs>
              <w:ind w:firstLineChars="0" w:firstLine="0"/>
              <w:jc w:val="both"/>
              <w:rPr>
                <w:b/>
                <w:bCs/>
                <w:szCs w:val="24"/>
              </w:rPr>
            </w:pPr>
            <w:proofErr w:type="spellStart"/>
            <w:r w:rsidRPr="00B50702">
              <w:rPr>
                <w:b/>
                <w:bCs/>
                <w:i/>
                <w:iCs/>
                <w:szCs w:val="24"/>
              </w:rPr>
              <w:t>q</w:t>
            </w:r>
            <w:r w:rsidRPr="00B50702">
              <w:rPr>
                <w:b/>
                <w:bCs/>
                <w:szCs w:val="24"/>
                <w:vertAlign w:val="subscript"/>
              </w:rPr>
              <w:t>m</w:t>
            </w:r>
            <w:proofErr w:type="spellEnd"/>
            <w:r w:rsidRPr="00B50702">
              <w:rPr>
                <w:b/>
                <w:bCs/>
                <w:szCs w:val="24"/>
                <w:vertAlign w:val="subscript"/>
              </w:rPr>
              <w:t xml:space="preserve"> </w:t>
            </w:r>
            <w:r w:rsidRPr="00B50702">
              <w:rPr>
                <w:b/>
                <w:bCs/>
                <w:szCs w:val="24"/>
              </w:rPr>
              <w:t>(</w:t>
            </w:r>
            <w:r w:rsidRPr="00103A6F">
              <w:rPr>
                <w:b/>
                <w:bCs/>
                <w:szCs w:val="24"/>
              </w:rPr>
              <w:t>g·g</w:t>
            </w:r>
            <w:r w:rsidRPr="00B50702">
              <w:rPr>
                <w:b/>
                <w:bCs/>
                <w:szCs w:val="24"/>
                <w:vertAlign w:val="superscript"/>
              </w:rPr>
              <w:t>-1</w:t>
            </w:r>
            <w:r w:rsidRPr="00B50702">
              <w:rPr>
                <w:b/>
                <w:bCs/>
                <w:szCs w:val="24"/>
              </w:rPr>
              <w:t>)</w:t>
            </w:r>
          </w:p>
        </w:tc>
        <w:tc>
          <w:tcPr>
            <w:tcW w:w="1250" w:type="pct"/>
            <w:tcBorders>
              <w:top w:val="single" w:sz="12" w:space="0" w:color="auto"/>
              <w:bottom w:val="single" w:sz="4" w:space="0" w:color="auto"/>
            </w:tcBorders>
          </w:tcPr>
          <w:p w14:paraId="13965B76" w14:textId="77777777" w:rsidR="007E3433" w:rsidRPr="00B50702" w:rsidRDefault="007E3433" w:rsidP="003534D2">
            <w:pPr>
              <w:tabs>
                <w:tab w:val="left" w:pos="426"/>
              </w:tabs>
              <w:ind w:firstLineChars="17" w:firstLine="41"/>
              <w:jc w:val="both"/>
              <w:rPr>
                <w:b/>
                <w:bCs/>
                <w:szCs w:val="24"/>
              </w:rPr>
            </w:pPr>
            <w:r w:rsidRPr="000065D5">
              <w:rPr>
                <w:rFonts w:eastAsiaTheme="minorEastAsia"/>
                <w:b/>
                <w:bCs/>
                <w:i/>
                <w:iCs/>
                <w:color w:val="000000"/>
                <w:szCs w:val="24"/>
              </w:rPr>
              <w:t>R</w:t>
            </w:r>
            <w:r w:rsidRPr="00B50702">
              <w:rPr>
                <w:rFonts w:eastAsiaTheme="minorEastAsia"/>
                <w:b/>
                <w:bCs/>
                <w:color w:val="000000"/>
                <w:szCs w:val="24"/>
                <w:vertAlign w:val="superscript"/>
              </w:rPr>
              <w:t>2</w:t>
            </w:r>
          </w:p>
        </w:tc>
      </w:tr>
      <w:tr w:rsidR="007E3433" w:rsidRPr="00B50702" w14:paraId="0F369541" w14:textId="77777777" w:rsidTr="003534D2">
        <w:trPr>
          <w:jc w:val="center"/>
        </w:trPr>
        <w:tc>
          <w:tcPr>
            <w:tcW w:w="1249" w:type="pct"/>
            <w:tcBorders>
              <w:top w:val="single" w:sz="4" w:space="0" w:color="auto"/>
            </w:tcBorders>
          </w:tcPr>
          <w:p w14:paraId="3D765F74" w14:textId="77777777" w:rsidR="007E3433" w:rsidRPr="00B50702" w:rsidRDefault="007E3433" w:rsidP="003534D2">
            <w:pPr>
              <w:tabs>
                <w:tab w:val="left" w:pos="426"/>
              </w:tabs>
              <w:ind w:firstLineChars="12" w:firstLine="29"/>
              <w:jc w:val="both"/>
              <w:rPr>
                <w:szCs w:val="24"/>
              </w:rPr>
            </w:pPr>
            <w:r w:rsidRPr="00B50702">
              <w:rPr>
                <w:szCs w:val="24"/>
              </w:rPr>
              <w:t>80</w:t>
            </w:r>
          </w:p>
        </w:tc>
        <w:tc>
          <w:tcPr>
            <w:tcW w:w="1250" w:type="pct"/>
            <w:tcBorders>
              <w:top w:val="single" w:sz="4" w:space="0" w:color="auto"/>
            </w:tcBorders>
          </w:tcPr>
          <w:p w14:paraId="0138BD2F" w14:textId="77777777" w:rsidR="007E3433" w:rsidRPr="00B50702" w:rsidRDefault="007E3433" w:rsidP="003534D2">
            <w:pPr>
              <w:tabs>
                <w:tab w:val="left" w:pos="426"/>
              </w:tabs>
              <w:ind w:firstLineChars="0" w:firstLine="0"/>
              <w:jc w:val="both"/>
              <w:rPr>
                <w:szCs w:val="24"/>
              </w:rPr>
            </w:pPr>
            <w:r w:rsidRPr="00B50702">
              <w:rPr>
                <w:szCs w:val="24"/>
              </w:rPr>
              <w:t>0.317</w:t>
            </w:r>
          </w:p>
        </w:tc>
        <w:tc>
          <w:tcPr>
            <w:tcW w:w="1250" w:type="pct"/>
            <w:tcBorders>
              <w:top w:val="single" w:sz="4" w:space="0" w:color="auto"/>
            </w:tcBorders>
          </w:tcPr>
          <w:p w14:paraId="78BE77F5" w14:textId="77777777" w:rsidR="007E3433" w:rsidRPr="00B50702" w:rsidRDefault="007E3433" w:rsidP="003534D2">
            <w:pPr>
              <w:tabs>
                <w:tab w:val="left" w:pos="426"/>
              </w:tabs>
              <w:ind w:firstLineChars="0" w:firstLine="0"/>
              <w:jc w:val="both"/>
              <w:rPr>
                <w:szCs w:val="24"/>
              </w:rPr>
            </w:pPr>
            <w:r w:rsidRPr="00B50702">
              <w:rPr>
                <w:szCs w:val="24"/>
              </w:rPr>
              <w:t>4.31</w:t>
            </w:r>
          </w:p>
        </w:tc>
        <w:tc>
          <w:tcPr>
            <w:tcW w:w="1250" w:type="pct"/>
            <w:tcBorders>
              <w:top w:val="single" w:sz="4" w:space="0" w:color="auto"/>
            </w:tcBorders>
          </w:tcPr>
          <w:p w14:paraId="3E0CE193" w14:textId="77777777" w:rsidR="007E3433" w:rsidRPr="00B50702" w:rsidRDefault="007E3433" w:rsidP="003534D2">
            <w:pPr>
              <w:tabs>
                <w:tab w:val="left" w:pos="426"/>
              </w:tabs>
              <w:ind w:firstLineChars="0" w:firstLine="0"/>
              <w:jc w:val="both"/>
              <w:rPr>
                <w:szCs w:val="24"/>
              </w:rPr>
            </w:pPr>
            <w:r w:rsidRPr="00B50702">
              <w:rPr>
                <w:szCs w:val="24"/>
              </w:rPr>
              <w:t>0.87</w:t>
            </w:r>
          </w:p>
        </w:tc>
      </w:tr>
      <w:tr w:rsidR="007E3433" w:rsidRPr="00B50702" w14:paraId="6B569FA1" w14:textId="77777777" w:rsidTr="003534D2">
        <w:trPr>
          <w:jc w:val="center"/>
        </w:trPr>
        <w:tc>
          <w:tcPr>
            <w:tcW w:w="1249" w:type="pct"/>
          </w:tcPr>
          <w:p w14:paraId="3C0891B7" w14:textId="77777777" w:rsidR="007E3433" w:rsidRPr="00B50702" w:rsidRDefault="007E3433" w:rsidP="003534D2">
            <w:pPr>
              <w:tabs>
                <w:tab w:val="left" w:pos="426"/>
              </w:tabs>
              <w:ind w:firstLineChars="12" w:firstLine="29"/>
              <w:jc w:val="both"/>
              <w:rPr>
                <w:szCs w:val="24"/>
              </w:rPr>
            </w:pPr>
            <w:r w:rsidRPr="00B50702">
              <w:rPr>
                <w:szCs w:val="24"/>
              </w:rPr>
              <w:t>100</w:t>
            </w:r>
          </w:p>
        </w:tc>
        <w:tc>
          <w:tcPr>
            <w:tcW w:w="1250" w:type="pct"/>
          </w:tcPr>
          <w:p w14:paraId="2FCAEEAD" w14:textId="77777777" w:rsidR="007E3433" w:rsidRPr="00B50702" w:rsidRDefault="007E3433" w:rsidP="003534D2">
            <w:pPr>
              <w:tabs>
                <w:tab w:val="left" w:pos="426"/>
              </w:tabs>
              <w:ind w:firstLineChars="0" w:firstLine="0"/>
              <w:jc w:val="both"/>
              <w:rPr>
                <w:szCs w:val="24"/>
              </w:rPr>
            </w:pPr>
            <w:r w:rsidRPr="00B50702">
              <w:rPr>
                <w:szCs w:val="24"/>
              </w:rPr>
              <w:t>0.650</w:t>
            </w:r>
          </w:p>
        </w:tc>
        <w:tc>
          <w:tcPr>
            <w:tcW w:w="1250" w:type="pct"/>
          </w:tcPr>
          <w:p w14:paraId="17332A7B" w14:textId="77777777" w:rsidR="007E3433" w:rsidRPr="00B50702" w:rsidRDefault="007E3433" w:rsidP="003534D2">
            <w:pPr>
              <w:tabs>
                <w:tab w:val="left" w:pos="426"/>
              </w:tabs>
              <w:ind w:firstLineChars="0" w:firstLine="0"/>
              <w:jc w:val="both"/>
              <w:rPr>
                <w:rFonts w:eastAsiaTheme="minorEastAsia"/>
                <w:color w:val="000000"/>
                <w:szCs w:val="24"/>
              </w:rPr>
            </w:pPr>
            <w:r w:rsidRPr="00B50702">
              <w:rPr>
                <w:rFonts w:eastAsiaTheme="minorEastAsia"/>
                <w:color w:val="000000"/>
                <w:szCs w:val="24"/>
              </w:rPr>
              <w:t>3.98</w:t>
            </w:r>
          </w:p>
        </w:tc>
        <w:tc>
          <w:tcPr>
            <w:tcW w:w="1250" w:type="pct"/>
          </w:tcPr>
          <w:p w14:paraId="20F17D0A" w14:textId="77777777" w:rsidR="007E3433" w:rsidRPr="00B50702" w:rsidRDefault="007E3433" w:rsidP="003534D2">
            <w:pPr>
              <w:tabs>
                <w:tab w:val="left" w:pos="426"/>
              </w:tabs>
              <w:ind w:firstLineChars="0" w:firstLine="0"/>
              <w:jc w:val="both"/>
              <w:rPr>
                <w:szCs w:val="24"/>
              </w:rPr>
            </w:pPr>
            <w:r w:rsidRPr="00B50702">
              <w:rPr>
                <w:szCs w:val="24"/>
              </w:rPr>
              <w:t>0.79</w:t>
            </w:r>
          </w:p>
        </w:tc>
      </w:tr>
      <w:tr w:rsidR="007E3433" w:rsidRPr="00B50702" w14:paraId="4A900D9F" w14:textId="77777777" w:rsidTr="003534D2">
        <w:trPr>
          <w:jc w:val="center"/>
        </w:trPr>
        <w:tc>
          <w:tcPr>
            <w:tcW w:w="1249" w:type="pct"/>
          </w:tcPr>
          <w:p w14:paraId="7536C9C3" w14:textId="77777777" w:rsidR="007E3433" w:rsidRPr="00B50702" w:rsidRDefault="007E3433" w:rsidP="003534D2">
            <w:pPr>
              <w:tabs>
                <w:tab w:val="left" w:pos="426"/>
              </w:tabs>
              <w:ind w:firstLineChars="12" w:firstLine="29"/>
              <w:jc w:val="both"/>
              <w:rPr>
                <w:szCs w:val="24"/>
              </w:rPr>
            </w:pPr>
            <w:r w:rsidRPr="00B50702">
              <w:rPr>
                <w:szCs w:val="24"/>
              </w:rPr>
              <w:t>120</w:t>
            </w:r>
          </w:p>
        </w:tc>
        <w:tc>
          <w:tcPr>
            <w:tcW w:w="1250" w:type="pct"/>
          </w:tcPr>
          <w:p w14:paraId="51E73BCB" w14:textId="77777777" w:rsidR="007E3433" w:rsidRPr="00B50702" w:rsidRDefault="007E3433" w:rsidP="003534D2">
            <w:pPr>
              <w:tabs>
                <w:tab w:val="left" w:pos="426"/>
              </w:tabs>
              <w:ind w:firstLineChars="0" w:firstLine="0"/>
              <w:jc w:val="both"/>
              <w:rPr>
                <w:szCs w:val="24"/>
              </w:rPr>
            </w:pPr>
            <w:r w:rsidRPr="00B50702">
              <w:rPr>
                <w:szCs w:val="24"/>
              </w:rPr>
              <w:t>0.023</w:t>
            </w:r>
          </w:p>
        </w:tc>
        <w:tc>
          <w:tcPr>
            <w:tcW w:w="1250" w:type="pct"/>
          </w:tcPr>
          <w:p w14:paraId="2EEDC1A0" w14:textId="77777777" w:rsidR="007E3433" w:rsidRPr="00B50702" w:rsidRDefault="007E3433" w:rsidP="003534D2">
            <w:pPr>
              <w:tabs>
                <w:tab w:val="left" w:pos="426"/>
              </w:tabs>
              <w:ind w:firstLineChars="0" w:firstLine="0"/>
              <w:jc w:val="both"/>
              <w:rPr>
                <w:rFonts w:eastAsiaTheme="minorEastAsia"/>
                <w:color w:val="000000"/>
                <w:szCs w:val="24"/>
              </w:rPr>
            </w:pPr>
            <w:r w:rsidRPr="00B50702">
              <w:rPr>
                <w:rFonts w:eastAsiaTheme="minorEastAsia"/>
                <w:color w:val="000000"/>
                <w:szCs w:val="24"/>
              </w:rPr>
              <w:t>4.16</w:t>
            </w:r>
          </w:p>
        </w:tc>
        <w:tc>
          <w:tcPr>
            <w:tcW w:w="1250" w:type="pct"/>
          </w:tcPr>
          <w:p w14:paraId="7229D9A9" w14:textId="77777777" w:rsidR="007E3433" w:rsidRPr="00B50702" w:rsidRDefault="007E3433" w:rsidP="003534D2">
            <w:pPr>
              <w:tabs>
                <w:tab w:val="left" w:pos="426"/>
              </w:tabs>
              <w:ind w:firstLineChars="0" w:firstLine="0"/>
              <w:jc w:val="both"/>
              <w:rPr>
                <w:szCs w:val="24"/>
              </w:rPr>
            </w:pPr>
            <w:r w:rsidRPr="00B50702">
              <w:rPr>
                <w:szCs w:val="24"/>
              </w:rPr>
              <w:t>0.86</w:t>
            </w:r>
          </w:p>
        </w:tc>
      </w:tr>
    </w:tbl>
    <w:p w14:paraId="136775E4" w14:textId="77777777" w:rsidR="007E3433" w:rsidRPr="00B50702" w:rsidRDefault="007E3433" w:rsidP="007E3433">
      <w:pPr>
        <w:pStyle w:val="a8"/>
        <w:spacing w:beforeLines="100" w:before="326"/>
        <w:ind w:firstLineChars="0" w:firstLine="0"/>
        <w:jc w:val="center"/>
      </w:pPr>
      <w:r w:rsidRPr="000065D5">
        <w:t>Table S</w:t>
      </w:r>
      <w:r w:rsidRPr="00B50702">
        <w:t xml:space="preserve">11 </w:t>
      </w:r>
      <w:r w:rsidRPr="005A08DF">
        <w:rPr>
          <w:b w:val="0"/>
          <w:bCs/>
          <w:noProof/>
        </w:rPr>
        <w:t>Freundlich fitting parameters at different temperatures</w:t>
      </w:r>
    </w:p>
    <w:tbl>
      <w:tblPr>
        <w:tblStyle w:val="41"/>
        <w:tblW w:w="4998" w:type="pct"/>
        <w:jc w:val="center"/>
        <w:tblLook w:val="04A0" w:firstRow="1" w:lastRow="0" w:firstColumn="1" w:lastColumn="0" w:noHBand="0" w:noVBand="1"/>
      </w:tblPr>
      <w:tblGrid>
        <w:gridCol w:w="2075"/>
        <w:gridCol w:w="2076"/>
        <w:gridCol w:w="2076"/>
        <w:gridCol w:w="2076"/>
      </w:tblGrid>
      <w:tr w:rsidR="007E3433" w:rsidRPr="00B50702" w14:paraId="6D45493A" w14:textId="77777777" w:rsidTr="003534D2">
        <w:trPr>
          <w:trHeight w:val="252"/>
          <w:jc w:val="center"/>
        </w:trPr>
        <w:tc>
          <w:tcPr>
            <w:tcW w:w="1250" w:type="pct"/>
            <w:tcBorders>
              <w:top w:val="single" w:sz="12" w:space="0" w:color="auto"/>
              <w:bottom w:val="single" w:sz="4" w:space="0" w:color="auto"/>
            </w:tcBorders>
          </w:tcPr>
          <w:p w14:paraId="0322593D" w14:textId="77777777" w:rsidR="007E3433" w:rsidRPr="00B50702" w:rsidRDefault="007E3433" w:rsidP="003534D2">
            <w:pPr>
              <w:tabs>
                <w:tab w:val="left" w:pos="31"/>
              </w:tabs>
              <w:ind w:firstLineChars="12" w:firstLine="29"/>
              <w:jc w:val="both"/>
              <w:rPr>
                <w:b/>
                <w:bCs/>
                <w:szCs w:val="24"/>
              </w:rPr>
            </w:pPr>
            <w:r w:rsidRPr="00B50702">
              <w:rPr>
                <w:b/>
                <w:bCs/>
                <w:szCs w:val="24"/>
              </w:rPr>
              <w:t>T (</w:t>
            </w:r>
            <w:r w:rsidRPr="003C242E">
              <w:rPr>
                <w:b/>
                <w:bCs/>
                <w:szCs w:val="24"/>
              </w:rPr>
              <w:t>℃</w:t>
            </w:r>
            <w:r w:rsidRPr="00B50702">
              <w:rPr>
                <w:b/>
                <w:bCs/>
                <w:szCs w:val="24"/>
              </w:rPr>
              <w:t>)</w:t>
            </w:r>
          </w:p>
        </w:tc>
        <w:tc>
          <w:tcPr>
            <w:tcW w:w="1250" w:type="pct"/>
            <w:tcBorders>
              <w:top w:val="single" w:sz="12" w:space="0" w:color="auto"/>
              <w:bottom w:val="single" w:sz="4" w:space="0" w:color="auto"/>
            </w:tcBorders>
          </w:tcPr>
          <w:p w14:paraId="57C62F7B" w14:textId="77777777" w:rsidR="007E3433" w:rsidRPr="00B50702" w:rsidRDefault="007E3433" w:rsidP="003534D2">
            <w:pPr>
              <w:tabs>
                <w:tab w:val="left" w:pos="31"/>
              </w:tabs>
              <w:ind w:firstLineChars="12" w:firstLine="29"/>
              <w:jc w:val="both"/>
              <w:rPr>
                <w:b/>
                <w:bCs/>
                <w:szCs w:val="24"/>
                <w:vertAlign w:val="subscript"/>
              </w:rPr>
            </w:pPr>
            <w:proofErr w:type="spellStart"/>
            <w:r w:rsidRPr="00B50702">
              <w:rPr>
                <w:b/>
                <w:bCs/>
                <w:i/>
                <w:iCs/>
                <w:szCs w:val="24"/>
              </w:rPr>
              <w:t>k</w:t>
            </w:r>
            <w:r w:rsidRPr="00B50702">
              <w:rPr>
                <w:b/>
                <w:bCs/>
                <w:szCs w:val="24"/>
                <w:vertAlign w:val="subscript"/>
              </w:rPr>
              <w:t>F</w:t>
            </w:r>
            <w:proofErr w:type="spellEnd"/>
          </w:p>
          <w:p w14:paraId="691875F9" w14:textId="77777777" w:rsidR="007E3433" w:rsidRPr="00B50702" w:rsidRDefault="007E3433" w:rsidP="003534D2">
            <w:pPr>
              <w:tabs>
                <w:tab w:val="left" w:pos="31"/>
              </w:tabs>
              <w:ind w:firstLineChars="12" w:firstLine="29"/>
              <w:jc w:val="both"/>
              <w:rPr>
                <w:b/>
                <w:bCs/>
                <w:szCs w:val="24"/>
              </w:rPr>
            </w:pPr>
            <w:r w:rsidRPr="00B50702">
              <w:rPr>
                <w:b/>
                <w:bCs/>
                <w:szCs w:val="24"/>
              </w:rPr>
              <w:t>((</w:t>
            </w:r>
            <w:r w:rsidRPr="00103A6F">
              <w:rPr>
                <w:b/>
                <w:bCs/>
                <w:szCs w:val="24"/>
              </w:rPr>
              <w:t>g·g</w:t>
            </w:r>
            <w:r w:rsidRPr="00B50702">
              <w:rPr>
                <w:b/>
                <w:bCs/>
                <w:szCs w:val="24"/>
                <w:vertAlign w:val="superscript"/>
              </w:rPr>
              <w:t>-1</w:t>
            </w:r>
            <w:r w:rsidRPr="00B50702">
              <w:rPr>
                <w:b/>
                <w:bCs/>
                <w:szCs w:val="24"/>
              </w:rPr>
              <w:t>) (L</w:t>
            </w:r>
            <w:r w:rsidRPr="00103A6F">
              <w:rPr>
                <w:b/>
                <w:bCs/>
                <w:color w:val="000000"/>
                <w:szCs w:val="28"/>
              </w:rPr>
              <w:t>·</w:t>
            </w:r>
            <w:r w:rsidRPr="00B50702">
              <w:rPr>
                <w:b/>
                <w:bCs/>
                <w:szCs w:val="24"/>
              </w:rPr>
              <w:t>g</w:t>
            </w:r>
            <w:r w:rsidRPr="00B50702">
              <w:rPr>
                <w:b/>
                <w:bCs/>
                <w:szCs w:val="24"/>
                <w:vertAlign w:val="superscript"/>
              </w:rPr>
              <w:t>-1</w:t>
            </w:r>
            <w:r w:rsidRPr="00B50702">
              <w:rPr>
                <w:b/>
                <w:bCs/>
                <w:szCs w:val="24"/>
              </w:rPr>
              <w:t>)</w:t>
            </w:r>
            <w:r w:rsidRPr="00B50702">
              <w:rPr>
                <w:b/>
                <w:bCs/>
                <w:szCs w:val="24"/>
                <w:vertAlign w:val="superscript"/>
              </w:rPr>
              <w:t>1/n</w:t>
            </w:r>
            <w:r w:rsidRPr="00B50702">
              <w:rPr>
                <w:b/>
                <w:bCs/>
                <w:szCs w:val="24"/>
              </w:rPr>
              <w:t>)</w:t>
            </w:r>
          </w:p>
        </w:tc>
        <w:tc>
          <w:tcPr>
            <w:tcW w:w="1250" w:type="pct"/>
            <w:tcBorders>
              <w:top w:val="single" w:sz="12" w:space="0" w:color="auto"/>
              <w:bottom w:val="single" w:sz="4" w:space="0" w:color="auto"/>
            </w:tcBorders>
          </w:tcPr>
          <w:p w14:paraId="6A72BEB3" w14:textId="77777777" w:rsidR="007E3433" w:rsidRPr="00B50702" w:rsidRDefault="007E3433" w:rsidP="003534D2">
            <w:pPr>
              <w:tabs>
                <w:tab w:val="left" w:pos="31"/>
              </w:tabs>
              <w:ind w:firstLineChars="12" w:firstLine="29"/>
              <w:jc w:val="both"/>
              <w:rPr>
                <w:b/>
                <w:bCs/>
                <w:i/>
                <w:iCs/>
                <w:szCs w:val="24"/>
              </w:rPr>
            </w:pPr>
            <w:r w:rsidRPr="00B50702">
              <w:rPr>
                <w:b/>
                <w:bCs/>
                <w:i/>
                <w:iCs/>
                <w:szCs w:val="24"/>
              </w:rPr>
              <w:t>n</w:t>
            </w:r>
          </w:p>
        </w:tc>
        <w:tc>
          <w:tcPr>
            <w:tcW w:w="1250" w:type="pct"/>
            <w:tcBorders>
              <w:top w:val="single" w:sz="12" w:space="0" w:color="auto"/>
              <w:bottom w:val="single" w:sz="4" w:space="0" w:color="auto"/>
            </w:tcBorders>
          </w:tcPr>
          <w:p w14:paraId="4F0AD2C9" w14:textId="77777777" w:rsidR="007E3433" w:rsidRPr="00B50702" w:rsidRDefault="007E3433" w:rsidP="003534D2">
            <w:pPr>
              <w:tabs>
                <w:tab w:val="left" w:pos="31"/>
              </w:tabs>
              <w:ind w:firstLineChars="12" w:firstLine="29"/>
              <w:jc w:val="both"/>
              <w:rPr>
                <w:b/>
                <w:bCs/>
                <w:szCs w:val="24"/>
              </w:rPr>
            </w:pPr>
            <w:r w:rsidRPr="000065D5">
              <w:rPr>
                <w:rFonts w:eastAsiaTheme="minorEastAsia"/>
                <w:b/>
                <w:bCs/>
                <w:i/>
                <w:iCs/>
                <w:color w:val="000000"/>
                <w:szCs w:val="24"/>
              </w:rPr>
              <w:t>R</w:t>
            </w:r>
            <w:r w:rsidRPr="00B50702">
              <w:rPr>
                <w:b/>
                <w:bCs/>
                <w:szCs w:val="24"/>
                <w:vertAlign w:val="superscript"/>
              </w:rPr>
              <w:t>2</w:t>
            </w:r>
          </w:p>
        </w:tc>
      </w:tr>
      <w:tr w:rsidR="007E3433" w:rsidRPr="00B50702" w14:paraId="3E5CF1ED" w14:textId="77777777" w:rsidTr="003534D2">
        <w:trPr>
          <w:jc w:val="center"/>
        </w:trPr>
        <w:tc>
          <w:tcPr>
            <w:tcW w:w="1250" w:type="pct"/>
            <w:tcBorders>
              <w:top w:val="single" w:sz="4" w:space="0" w:color="auto"/>
            </w:tcBorders>
          </w:tcPr>
          <w:p w14:paraId="1617189B" w14:textId="77777777" w:rsidR="007E3433" w:rsidRPr="00B50702" w:rsidRDefault="007E3433" w:rsidP="003534D2">
            <w:pPr>
              <w:tabs>
                <w:tab w:val="left" w:pos="31"/>
              </w:tabs>
              <w:ind w:firstLineChars="12" w:firstLine="29"/>
              <w:jc w:val="both"/>
              <w:rPr>
                <w:szCs w:val="24"/>
              </w:rPr>
            </w:pPr>
            <w:r w:rsidRPr="00B50702">
              <w:rPr>
                <w:szCs w:val="24"/>
              </w:rPr>
              <w:t>80</w:t>
            </w:r>
          </w:p>
        </w:tc>
        <w:tc>
          <w:tcPr>
            <w:tcW w:w="1250" w:type="pct"/>
            <w:tcBorders>
              <w:top w:val="single" w:sz="4" w:space="0" w:color="auto"/>
            </w:tcBorders>
          </w:tcPr>
          <w:p w14:paraId="0F17A065" w14:textId="77777777" w:rsidR="007E3433" w:rsidRPr="00B50702" w:rsidRDefault="007E3433" w:rsidP="003534D2">
            <w:pPr>
              <w:tabs>
                <w:tab w:val="left" w:pos="31"/>
              </w:tabs>
              <w:ind w:firstLineChars="12" w:firstLine="29"/>
              <w:jc w:val="both"/>
              <w:rPr>
                <w:szCs w:val="24"/>
              </w:rPr>
            </w:pPr>
            <w:r w:rsidRPr="00B50702">
              <w:rPr>
                <w:szCs w:val="24"/>
              </w:rPr>
              <w:t>0.395</w:t>
            </w:r>
          </w:p>
        </w:tc>
        <w:tc>
          <w:tcPr>
            <w:tcW w:w="1250" w:type="pct"/>
            <w:tcBorders>
              <w:top w:val="single" w:sz="4" w:space="0" w:color="auto"/>
            </w:tcBorders>
          </w:tcPr>
          <w:p w14:paraId="1870EB01" w14:textId="77777777" w:rsidR="007E3433" w:rsidRPr="00B50702" w:rsidRDefault="007E3433" w:rsidP="003534D2">
            <w:pPr>
              <w:tabs>
                <w:tab w:val="left" w:pos="31"/>
              </w:tabs>
              <w:ind w:firstLineChars="12" w:firstLine="29"/>
              <w:jc w:val="both"/>
              <w:rPr>
                <w:szCs w:val="24"/>
              </w:rPr>
            </w:pPr>
            <w:r w:rsidRPr="00B50702">
              <w:rPr>
                <w:szCs w:val="24"/>
              </w:rPr>
              <w:t>3.95</w:t>
            </w:r>
          </w:p>
        </w:tc>
        <w:tc>
          <w:tcPr>
            <w:tcW w:w="1250" w:type="pct"/>
            <w:tcBorders>
              <w:top w:val="single" w:sz="4" w:space="0" w:color="auto"/>
            </w:tcBorders>
          </w:tcPr>
          <w:p w14:paraId="3EF45490" w14:textId="77777777" w:rsidR="007E3433" w:rsidRPr="00B50702" w:rsidRDefault="007E3433" w:rsidP="003534D2">
            <w:pPr>
              <w:tabs>
                <w:tab w:val="left" w:pos="31"/>
              </w:tabs>
              <w:ind w:firstLineChars="12" w:firstLine="29"/>
              <w:jc w:val="both"/>
              <w:rPr>
                <w:b/>
                <w:bCs/>
                <w:color w:val="FF0000"/>
                <w:szCs w:val="24"/>
              </w:rPr>
            </w:pPr>
            <w:r w:rsidRPr="00B50702">
              <w:rPr>
                <w:b/>
                <w:bCs/>
                <w:szCs w:val="24"/>
              </w:rPr>
              <w:t>0.95</w:t>
            </w:r>
          </w:p>
        </w:tc>
      </w:tr>
      <w:tr w:rsidR="007E3433" w:rsidRPr="00B50702" w14:paraId="7F8BFE63" w14:textId="77777777" w:rsidTr="003534D2">
        <w:trPr>
          <w:jc w:val="center"/>
        </w:trPr>
        <w:tc>
          <w:tcPr>
            <w:tcW w:w="1250" w:type="pct"/>
          </w:tcPr>
          <w:p w14:paraId="0EB9F43B" w14:textId="77777777" w:rsidR="007E3433" w:rsidRPr="00B50702" w:rsidRDefault="007E3433" w:rsidP="003534D2">
            <w:pPr>
              <w:tabs>
                <w:tab w:val="left" w:pos="31"/>
              </w:tabs>
              <w:ind w:firstLineChars="12" w:firstLine="29"/>
              <w:jc w:val="both"/>
              <w:rPr>
                <w:szCs w:val="24"/>
              </w:rPr>
            </w:pPr>
            <w:r w:rsidRPr="00B50702">
              <w:rPr>
                <w:szCs w:val="24"/>
              </w:rPr>
              <w:t>100</w:t>
            </w:r>
          </w:p>
        </w:tc>
        <w:tc>
          <w:tcPr>
            <w:tcW w:w="1250" w:type="pct"/>
          </w:tcPr>
          <w:p w14:paraId="0EDB3AD4" w14:textId="77777777" w:rsidR="007E3433" w:rsidRPr="00B50702" w:rsidRDefault="007E3433" w:rsidP="003534D2">
            <w:pPr>
              <w:tabs>
                <w:tab w:val="left" w:pos="31"/>
              </w:tabs>
              <w:ind w:firstLineChars="12" w:firstLine="29"/>
              <w:jc w:val="both"/>
              <w:rPr>
                <w:szCs w:val="24"/>
              </w:rPr>
            </w:pPr>
            <w:r w:rsidRPr="00B50702">
              <w:rPr>
                <w:szCs w:val="24"/>
              </w:rPr>
              <w:t>1.244</w:t>
            </w:r>
          </w:p>
        </w:tc>
        <w:tc>
          <w:tcPr>
            <w:tcW w:w="1250" w:type="pct"/>
          </w:tcPr>
          <w:p w14:paraId="0B6C7DC2" w14:textId="77777777" w:rsidR="007E3433" w:rsidRPr="00B50702" w:rsidRDefault="007E3433" w:rsidP="003534D2">
            <w:pPr>
              <w:tabs>
                <w:tab w:val="left" w:pos="31"/>
              </w:tabs>
              <w:ind w:firstLineChars="12" w:firstLine="29"/>
              <w:jc w:val="both"/>
              <w:rPr>
                <w:szCs w:val="24"/>
              </w:rPr>
            </w:pPr>
            <w:r w:rsidRPr="00B50702">
              <w:rPr>
                <w:szCs w:val="24"/>
              </w:rPr>
              <w:t>4.48</w:t>
            </w:r>
          </w:p>
        </w:tc>
        <w:tc>
          <w:tcPr>
            <w:tcW w:w="1250" w:type="pct"/>
          </w:tcPr>
          <w:p w14:paraId="5C212B6E" w14:textId="77777777" w:rsidR="007E3433" w:rsidRPr="00B50702" w:rsidRDefault="007E3433" w:rsidP="003534D2">
            <w:pPr>
              <w:tabs>
                <w:tab w:val="left" w:pos="31"/>
              </w:tabs>
              <w:ind w:firstLineChars="12" w:firstLine="29"/>
              <w:jc w:val="both"/>
              <w:rPr>
                <w:b/>
                <w:bCs/>
                <w:szCs w:val="24"/>
              </w:rPr>
            </w:pPr>
            <w:r w:rsidRPr="00B50702">
              <w:rPr>
                <w:b/>
                <w:bCs/>
                <w:szCs w:val="24"/>
              </w:rPr>
              <w:t>0.91</w:t>
            </w:r>
          </w:p>
        </w:tc>
      </w:tr>
      <w:tr w:rsidR="007E3433" w:rsidRPr="00B50702" w14:paraId="63C43738" w14:textId="77777777" w:rsidTr="003534D2">
        <w:trPr>
          <w:jc w:val="center"/>
        </w:trPr>
        <w:tc>
          <w:tcPr>
            <w:tcW w:w="1250" w:type="pct"/>
          </w:tcPr>
          <w:p w14:paraId="38AB1D97" w14:textId="77777777" w:rsidR="007E3433" w:rsidRPr="00B50702" w:rsidRDefault="007E3433" w:rsidP="003534D2">
            <w:pPr>
              <w:tabs>
                <w:tab w:val="left" w:pos="31"/>
              </w:tabs>
              <w:ind w:firstLineChars="12" w:firstLine="29"/>
              <w:jc w:val="both"/>
              <w:rPr>
                <w:szCs w:val="24"/>
              </w:rPr>
            </w:pPr>
            <w:r w:rsidRPr="00B50702">
              <w:rPr>
                <w:szCs w:val="24"/>
              </w:rPr>
              <w:t>120</w:t>
            </w:r>
          </w:p>
        </w:tc>
        <w:tc>
          <w:tcPr>
            <w:tcW w:w="1250" w:type="pct"/>
          </w:tcPr>
          <w:p w14:paraId="179B0CFD" w14:textId="77777777" w:rsidR="007E3433" w:rsidRPr="00B50702" w:rsidRDefault="007E3433" w:rsidP="003534D2">
            <w:pPr>
              <w:tabs>
                <w:tab w:val="left" w:pos="31"/>
              </w:tabs>
              <w:ind w:firstLineChars="12" w:firstLine="29"/>
              <w:jc w:val="both"/>
              <w:rPr>
                <w:szCs w:val="24"/>
              </w:rPr>
            </w:pPr>
            <w:r w:rsidRPr="00B50702">
              <w:rPr>
                <w:szCs w:val="24"/>
              </w:rPr>
              <w:t>0.385</w:t>
            </w:r>
          </w:p>
        </w:tc>
        <w:tc>
          <w:tcPr>
            <w:tcW w:w="1250" w:type="pct"/>
          </w:tcPr>
          <w:p w14:paraId="324E054D" w14:textId="77777777" w:rsidR="007E3433" w:rsidRPr="00B50702" w:rsidRDefault="007E3433" w:rsidP="003534D2">
            <w:pPr>
              <w:tabs>
                <w:tab w:val="left" w:pos="31"/>
              </w:tabs>
              <w:ind w:firstLineChars="12" w:firstLine="29"/>
              <w:jc w:val="both"/>
              <w:rPr>
                <w:szCs w:val="24"/>
              </w:rPr>
            </w:pPr>
            <w:r w:rsidRPr="00B50702">
              <w:rPr>
                <w:szCs w:val="24"/>
              </w:rPr>
              <w:t>2.59</w:t>
            </w:r>
          </w:p>
        </w:tc>
        <w:tc>
          <w:tcPr>
            <w:tcW w:w="1250" w:type="pct"/>
          </w:tcPr>
          <w:p w14:paraId="762E2812" w14:textId="77777777" w:rsidR="007E3433" w:rsidRPr="00B50702" w:rsidRDefault="007E3433" w:rsidP="003534D2">
            <w:pPr>
              <w:tabs>
                <w:tab w:val="left" w:pos="31"/>
              </w:tabs>
              <w:ind w:firstLineChars="12" w:firstLine="29"/>
              <w:jc w:val="both"/>
              <w:rPr>
                <w:b/>
                <w:bCs/>
                <w:szCs w:val="24"/>
              </w:rPr>
            </w:pPr>
            <w:r w:rsidRPr="00B50702">
              <w:rPr>
                <w:b/>
                <w:bCs/>
                <w:szCs w:val="24"/>
              </w:rPr>
              <w:t>0.94</w:t>
            </w:r>
          </w:p>
        </w:tc>
      </w:tr>
    </w:tbl>
    <w:p w14:paraId="798742C5" w14:textId="77777777" w:rsidR="007E3433" w:rsidRPr="00B50702" w:rsidRDefault="007E3433" w:rsidP="007E3433">
      <w:pPr>
        <w:pStyle w:val="a8"/>
        <w:spacing w:beforeLines="100" w:before="326"/>
        <w:ind w:firstLineChars="0" w:firstLine="0"/>
        <w:jc w:val="center"/>
      </w:pPr>
      <w:r w:rsidRPr="000065D5">
        <w:t>Table S</w:t>
      </w:r>
      <w:r w:rsidRPr="00B50702">
        <w:t xml:space="preserve">12 </w:t>
      </w:r>
      <w:r w:rsidRPr="005A08DF">
        <w:rPr>
          <w:b w:val="0"/>
          <w:bCs/>
          <w:noProof/>
        </w:rPr>
        <w:t>Temkin fitting parameters at different temperatures</w:t>
      </w:r>
    </w:p>
    <w:tbl>
      <w:tblPr>
        <w:tblStyle w:val="41"/>
        <w:tblW w:w="4998" w:type="pct"/>
        <w:jc w:val="center"/>
        <w:tblLook w:val="04A0" w:firstRow="1" w:lastRow="0" w:firstColumn="1" w:lastColumn="0" w:noHBand="0" w:noVBand="1"/>
      </w:tblPr>
      <w:tblGrid>
        <w:gridCol w:w="2075"/>
        <w:gridCol w:w="2076"/>
        <w:gridCol w:w="2076"/>
        <w:gridCol w:w="2076"/>
      </w:tblGrid>
      <w:tr w:rsidR="007E3433" w:rsidRPr="00B50702" w14:paraId="34367DF3" w14:textId="77777777" w:rsidTr="003534D2">
        <w:trPr>
          <w:trHeight w:val="252"/>
          <w:jc w:val="center"/>
        </w:trPr>
        <w:tc>
          <w:tcPr>
            <w:tcW w:w="1250" w:type="pct"/>
            <w:tcBorders>
              <w:top w:val="single" w:sz="12" w:space="0" w:color="auto"/>
              <w:bottom w:val="single" w:sz="4" w:space="0" w:color="auto"/>
            </w:tcBorders>
          </w:tcPr>
          <w:p w14:paraId="55198131" w14:textId="77777777" w:rsidR="007E3433" w:rsidRPr="00B50702" w:rsidRDefault="007E3433" w:rsidP="003534D2">
            <w:pPr>
              <w:tabs>
                <w:tab w:val="left" w:pos="426"/>
              </w:tabs>
              <w:ind w:firstLineChars="0" w:firstLine="0"/>
              <w:jc w:val="both"/>
              <w:rPr>
                <w:b/>
                <w:bCs/>
                <w:szCs w:val="24"/>
              </w:rPr>
            </w:pPr>
            <w:r w:rsidRPr="00B50702">
              <w:rPr>
                <w:b/>
                <w:bCs/>
                <w:szCs w:val="24"/>
              </w:rPr>
              <w:t>T (</w:t>
            </w:r>
            <w:r w:rsidRPr="003C242E">
              <w:rPr>
                <w:b/>
                <w:bCs/>
                <w:szCs w:val="24"/>
              </w:rPr>
              <w:t>℃</w:t>
            </w:r>
            <w:r w:rsidRPr="00B50702">
              <w:rPr>
                <w:b/>
                <w:bCs/>
                <w:szCs w:val="24"/>
              </w:rPr>
              <w:t>)</w:t>
            </w:r>
          </w:p>
        </w:tc>
        <w:tc>
          <w:tcPr>
            <w:tcW w:w="1250" w:type="pct"/>
            <w:tcBorders>
              <w:top w:val="single" w:sz="12" w:space="0" w:color="auto"/>
              <w:bottom w:val="single" w:sz="4" w:space="0" w:color="auto"/>
            </w:tcBorders>
          </w:tcPr>
          <w:p w14:paraId="4E7E17EE" w14:textId="77777777" w:rsidR="007E3433" w:rsidRPr="00B50702" w:rsidRDefault="007E3433" w:rsidP="003534D2">
            <w:pPr>
              <w:tabs>
                <w:tab w:val="left" w:pos="426"/>
              </w:tabs>
              <w:ind w:firstLineChars="0" w:firstLine="0"/>
              <w:jc w:val="both"/>
              <w:rPr>
                <w:b/>
                <w:bCs/>
                <w:i/>
                <w:iCs/>
                <w:szCs w:val="24"/>
              </w:rPr>
            </w:pPr>
            <w:r w:rsidRPr="00B50702">
              <w:rPr>
                <w:b/>
                <w:bCs/>
                <w:i/>
                <w:iCs/>
                <w:szCs w:val="24"/>
              </w:rPr>
              <w:t xml:space="preserve">B </w:t>
            </w:r>
            <w:r w:rsidRPr="00B50702">
              <w:rPr>
                <w:b/>
                <w:bCs/>
                <w:szCs w:val="24"/>
              </w:rPr>
              <w:t>(J</w:t>
            </w:r>
            <w:r w:rsidRPr="00103A6F">
              <w:rPr>
                <w:b/>
                <w:bCs/>
                <w:color w:val="000000"/>
                <w:szCs w:val="28"/>
              </w:rPr>
              <w:t>·</w:t>
            </w:r>
            <w:r w:rsidRPr="00B50702">
              <w:rPr>
                <w:b/>
                <w:bCs/>
                <w:szCs w:val="24"/>
              </w:rPr>
              <w:t>mol</w:t>
            </w:r>
            <w:r w:rsidRPr="00B50702">
              <w:rPr>
                <w:b/>
                <w:bCs/>
                <w:szCs w:val="24"/>
                <w:vertAlign w:val="superscript"/>
              </w:rPr>
              <w:t>-1</w:t>
            </w:r>
            <w:r w:rsidRPr="00B50702">
              <w:rPr>
                <w:b/>
                <w:bCs/>
                <w:szCs w:val="24"/>
              </w:rPr>
              <w:t>)</w:t>
            </w:r>
          </w:p>
        </w:tc>
        <w:tc>
          <w:tcPr>
            <w:tcW w:w="1250" w:type="pct"/>
            <w:tcBorders>
              <w:top w:val="single" w:sz="12" w:space="0" w:color="auto"/>
              <w:bottom w:val="single" w:sz="4" w:space="0" w:color="auto"/>
            </w:tcBorders>
          </w:tcPr>
          <w:p w14:paraId="5668EB36" w14:textId="77777777" w:rsidR="007E3433" w:rsidRPr="00B50702" w:rsidRDefault="007E3433" w:rsidP="003534D2">
            <w:pPr>
              <w:tabs>
                <w:tab w:val="left" w:pos="426"/>
              </w:tabs>
              <w:ind w:firstLineChars="0" w:firstLine="0"/>
              <w:jc w:val="both"/>
              <w:rPr>
                <w:b/>
                <w:bCs/>
                <w:i/>
                <w:iCs/>
                <w:szCs w:val="24"/>
              </w:rPr>
            </w:pPr>
            <w:r w:rsidRPr="00B50702">
              <w:rPr>
                <w:b/>
                <w:bCs/>
                <w:i/>
                <w:iCs/>
                <w:szCs w:val="24"/>
              </w:rPr>
              <w:t xml:space="preserve">A </w:t>
            </w:r>
            <w:r w:rsidRPr="00B50702">
              <w:rPr>
                <w:b/>
                <w:bCs/>
                <w:szCs w:val="24"/>
              </w:rPr>
              <w:t>(L</w:t>
            </w:r>
            <w:r w:rsidRPr="00103A6F">
              <w:rPr>
                <w:b/>
                <w:bCs/>
                <w:color w:val="000000"/>
                <w:szCs w:val="28"/>
              </w:rPr>
              <w:t>·</w:t>
            </w:r>
            <w:r w:rsidRPr="00B50702">
              <w:rPr>
                <w:b/>
                <w:bCs/>
                <w:szCs w:val="24"/>
              </w:rPr>
              <w:t>g</w:t>
            </w:r>
            <w:r w:rsidRPr="00B50702">
              <w:rPr>
                <w:b/>
                <w:bCs/>
                <w:szCs w:val="24"/>
                <w:vertAlign w:val="superscript"/>
              </w:rPr>
              <w:t>-1</w:t>
            </w:r>
            <w:r w:rsidRPr="00B50702">
              <w:rPr>
                <w:b/>
                <w:bCs/>
                <w:szCs w:val="24"/>
              </w:rPr>
              <w:t>)</w:t>
            </w:r>
          </w:p>
        </w:tc>
        <w:tc>
          <w:tcPr>
            <w:tcW w:w="1250" w:type="pct"/>
            <w:tcBorders>
              <w:top w:val="single" w:sz="12" w:space="0" w:color="auto"/>
              <w:bottom w:val="single" w:sz="4" w:space="0" w:color="auto"/>
            </w:tcBorders>
          </w:tcPr>
          <w:p w14:paraId="12146A16" w14:textId="77777777" w:rsidR="007E3433" w:rsidRPr="00B50702" w:rsidRDefault="007E3433" w:rsidP="003534D2">
            <w:pPr>
              <w:tabs>
                <w:tab w:val="left" w:pos="426"/>
              </w:tabs>
              <w:ind w:firstLineChars="0" w:firstLine="0"/>
              <w:jc w:val="both"/>
              <w:rPr>
                <w:b/>
                <w:bCs/>
                <w:szCs w:val="24"/>
              </w:rPr>
            </w:pPr>
            <w:r w:rsidRPr="000065D5">
              <w:rPr>
                <w:rFonts w:eastAsiaTheme="minorEastAsia"/>
                <w:b/>
                <w:bCs/>
                <w:i/>
                <w:iCs/>
                <w:color w:val="000000"/>
                <w:szCs w:val="24"/>
              </w:rPr>
              <w:t>R</w:t>
            </w:r>
            <w:r w:rsidRPr="00B50702">
              <w:rPr>
                <w:b/>
                <w:bCs/>
                <w:szCs w:val="24"/>
                <w:vertAlign w:val="superscript"/>
              </w:rPr>
              <w:t xml:space="preserve"> 2</w:t>
            </w:r>
          </w:p>
        </w:tc>
      </w:tr>
      <w:tr w:rsidR="007E3433" w:rsidRPr="00B50702" w14:paraId="67AFA87E" w14:textId="77777777" w:rsidTr="003534D2">
        <w:trPr>
          <w:jc w:val="center"/>
        </w:trPr>
        <w:tc>
          <w:tcPr>
            <w:tcW w:w="1250" w:type="pct"/>
            <w:tcBorders>
              <w:top w:val="single" w:sz="4" w:space="0" w:color="auto"/>
            </w:tcBorders>
          </w:tcPr>
          <w:p w14:paraId="298A9058" w14:textId="77777777" w:rsidR="007E3433" w:rsidRPr="00B50702" w:rsidRDefault="007E3433" w:rsidP="003534D2">
            <w:pPr>
              <w:tabs>
                <w:tab w:val="left" w:pos="426"/>
              </w:tabs>
              <w:ind w:firstLineChars="0" w:firstLine="0"/>
              <w:jc w:val="both"/>
              <w:rPr>
                <w:szCs w:val="24"/>
              </w:rPr>
            </w:pPr>
            <w:r w:rsidRPr="00B50702">
              <w:rPr>
                <w:szCs w:val="24"/>
              </w:rPr>
              <w:t>80</w:t>
            </w:r>
          </w:p>
        </w:tc>
        <w:tc>
          <w:tcPr>
            <w:tcW w:w="1250" w:type="pct"/>
            <w:tcBorders>
              <w:top w:val="single" w:sz="4" w:space="0" w:color="auto"/>
            </w:tcBorders>
          </w:tcPr>
          <w:p w14:paraId="43D05B3B" w14:textId="77777777" w:rsidR="007E3433" w:rsidRPr="00B50702" w:rsidRDefault="007E3433" w:rsidP="003534D2">
            <w:pPr>
              <w:tabs>
                <w:tab w:val="left" w:pos="426"/>
              </w:tabs>
              <w:ind w:firstLineChars="0" w:firstLine="0"/>
              <w:jc w:val="both"/>
              <w:rPr>
                <w:szCs w:val="24"/>
              </w:rPr>
            </w:pPr>
            <w:r w:rsidRPr="00B50702">
              <w:rPr>
                <w:szCs w:val="24"/>
              </w:rPr>
              <w:t>0.664</w:t>
            </w:r>
          </w:p>
        </w:tc>
        <w:tc>
          <w:tcPr>
            <w:tcW w:w="1250" w:type="pct"/>
            <w:tcBorders>
              <w:top w:val="single" w:sz="4" w:space="0" w:color="auto"/>
            </w:tcBorders>
          </w:tcPr>
          <w:p w14:paraId="2B48C96A" w14:textId="77777777" w:rsidR="007E3433" w:rsidRPr="00B50702" w:rsidRDefault="007E3433" w:rsidP="003534D2">
            <w:pPr>
              <w:tabs>
                <w:tab w:val="left" w:pos="426"/>
              </w:tabs>
              <w:ind w:firstLineChars="0" w:firstLine="0"/>
              <w:jc w:val="both"/>
              <w:rPr>
                <w:szCs w:val="24"/>
              </w:rPr>
            </w:pPr>
            <w:r w:rsidRPr="00B50702">
              <w:rPr>
                <w:szCs w:val="24"/>
              </w:rPr>
              <w:t>5.01</w:t>
            </w:r>
          </w:p>
        </w:tc>
        <w:tc>
          <w:tcPr>
            <w:tcW w:w="1250" w:type="pct"/>
            <w:tcBorders>
              <w:top w:val="single" w:sz="4" w:space="0" w:color="auto"/>
            </w:tcBorders>
          </w:tcPr>
          <w:p w14:paraId="2263BF53" w14:textId="77777777" w:rsidR="007E3433" w:rsidRPr="00B50702" w:rsidRDefault="007E3433" w:rsidP="003534D2">
            <w:pPr>
              <w:tabs>
                <w:tab w:val="left" w:pos="426"/>
              </w:tabs>
              <w:ind w:firstLineChars="0" w:firstLine="0"/>
              <w:jc w:val="both"/>
              <w:rPr>
                <w:b/>
                <w:bCs/>
                <w:szCs w:val="24"/>
              </w:rPr>
            </w:pPr>
            <w:r w:rsidRPr="00B50702">
              <w:rPr>
                <w:b/>
                <w:bCs/>
                <w:szCs w:val="24"/>
              </w:rPr>
              <w:t>0.95</w:t>
            </w:r>
          </w:p>
        </w:tc>
      </w:tr>
      <w:tr w:rsidR="007E3433" w:rsidRPr="00B50702" w14:paraId="78B5F5C3" w14:textId="77777777" w:rsidTr="003534D2">
        <w:trPr>
          <w:jc w:val="center"/>
        </w:trPr>
        <w:tc>
          <w:tcPr>
            <w:tcW w:w="1250" w:type="pct"/>
          </w:tcPr>
          <w:p w14:paraId="58DFE5B4" w14:textId="77777777" w:rsidR="007E3433" w:rsidRPr="00B50702" w:rsidRDefault="007E3433" w:rsidP="003534D2">
            <w:pPr>
              <w:tabs>
                <w:tab w:val="left" w:pos="426"/>
              </w:tabs>
              <w:ind w:firstLineChars="0" w:firstLine="0"/>
              <w:jc w:val="both"/>
              <w:rPr>
                <w:szCs w:val="24"/>
              </w:rPr>
            </w:pPr>
            <w:r w:rsidRPr="00B50702">
              <w:rPr>
                <w:szCs w:val="24"/>
              </w:rPr>
              <w:t>100</w:t>
            </w:r>
          </w:p>
        </w:tc>
        <w:tc>
          <w:tcPr>
            <w:tcW w:w="1250" w:type="pct"/>
          </w:tcPr>
          <w:p w14:paraId="207C14DE" w14:textId="77777777" w:rsidR="007E3433" w:rsidRPr="00B50702" w:rsidRDefault="007E3433" w:rsidP="003534D2">
            <w:pPr>
              <w:tabs>
                <w:tab w:val="left" w:pos="426"/>
              </w:tabs>
              <w:ind w:firstLineChars="0" w:firstLine="0"/>
              <w:jc w:val="both"/>
              <w:rPr>
                <w:szCs w:val="24"/>
              </w:rPr>
            </w:pPr>
            <w:r w:rsidRPr="00B50702">
              <w:rPr>
                <w:szCs w:val="24"/>
              </w:rPr>
              <w:t>0.513</w:t>
            </w:r>
          </w:p>
        </w:tc>
        <w:tc>
          <w:tcPr>
            <w:tcW w:w="1250" w:type="pct"/>
          </w:tcPr>
          <w:p w14:paraId="53394065" w14:textId="77777777" w:rsidR="007E3433" w:rsidRPr="00B50702" w:rsidRDefault="007E3433" w:rsidP="003534D2">
            <w:pPr>
              <w:tabs>
                <w:tab w:val="left" w:pos="426"/>
              </w:tabs>
              <w:ind w:firstLineChars="0" w:firstLine="0"/>
              <w:jc w:val="both"/>
              <w:rPr>
                <w:szCs w:val="24"/>
              </w:rPr>
            </w:pPr>
            <w:r w:rsidRPr="00B50702">
              <w:rPr>
                <w:szCs w:val="24"/>
              </w:rPr>
              <w:t>15.00</w:t>
            </w:r>
          </w:p>
        </w:tc>
        <w:tc>
          <w:tcPr>
            <w:tcW w:w="1250" w:type="pct"/>
          </w:tcPr>
          <w:p w14:paraId="566841ED" w14:textId="77777777" w:rsidR="007E3433" w:rsidRPr="00B50702" w:rsidRDefault="007E3433" w:rsidP="003534D2">
            <w:pPr>
              <w:tabs>
                <w:tab w:val="left" w:pos="426"/>
              </w:tabs>
              <w:ind w:firstLineChars="0" w:firstLine="0"/>
              <w:jc w:val="both"/>
              <w:rPr>
                <w:szCs w:val="24"/>
              </w:rPr>
            </w:pPr>
            <w:r w:rsidRPr="00B50702">
              <w:rPr>
                <w:szCs w:val="24"/>
              </w:rPr>
              <w:t>0.88</w:t>
            </w:r>
          </w:p>
        </w:tc>
      </w:tr>
      <w:tr w:rsidR="007E3433" w:rsidRPr="00B50702" w14:paraId="2F4036BE" w14:textId="77777777" w:rsidTr="003534D2">
        <w:trPr>
          <w:jc w:val="center"/>
        </w:trPr>
        <w:tc>
          <w:tcPr>
            <w:tcW w:w="1250" w:type="pct"/>
          </w:tcPr>
          <w:p w14:paraId="77A243C8" w14:textId="77777777" w:rsidR="007E3433" w:rsidRPr="00B50702" w:rsidRDefault="007E3433" w:rsidP="003534D2">
            <w:pPr>
              <w:tabs>
                <w:tab w:val="left" w:pos="426"/>
              </w:tabs>
              <w:ind w:firstLineChars="0" w:firstLine="0"/>
              <w:jc w:val="both"/>
              <w:rPr>
                <w:szCs w:val="24"/>
              </w:rPr>
            </w:pPr>
            <w:r w:rsidRPr="00B50702">
              <w:rPr>
                <w:szCs w:val="24"/>
              </w:rPr>
              <w:t>120</w:t>
            </w:r>
          </w:p>
        </w:tc>
        <w:tc>
          <w:tcPr>
            <w:tcW w:w="1250" w:type="pct"/>
          </w:tcPr>
          <w:p w14:paraId="270F38EF" w14:textId="77777777" w:rsidR="007E3433" w:rsidRPr="00B50702" w:rsidRDefault="007E3433" w:rsidP="003534D2">
            <w:pPr>
              <w:tabs>
                <w:tab w:val="left" w:pos="426"/>
              </w:tabs>
              <w:ind w:firstLineChars="0" w:firstLine="0"/>
              <w:jc w:val="both"/>
              <w:rPr>
                <w:szCs w:val="24"/>
              </w:rPr>
            </w:pPr>
            <w:r w:rsidRPr="00B50702">
              <w:rPr>
                <w:szCs w:val="24"/>
              </w:rPr>
              <w:t>0.826</w:t>
            </w:r>
          </w:p>
        </w:tc>
        <w:tc>
          <w:tcPr>
            <w:tcW w:w="1250" w:type="pct"/>
          </w:tcPr>
          <w:p w14:paraId="0E07E43F" w14:textId="77777777" w:rsidR="007E3433" w:rsidRPr="00B50702" w:rsidRDefault="007E3433" w:rsidP="003534D2">
            <w:pPr>
              <w:tabs>
                <w:tab w:val="left" w:pos="426"/>
              </w:tabs>
              <w:ind w:firstLineChars="0" w:firstLine="0"/>
              <w:jc w:val="both"/>
              <w:rPr>
                <w:szCs w:val="24"/>
              </w:rPr>
            </w:pPr>
            <w:r w:rsidRPr="00B50702">
              <w:rPr>
                <w:szCs w:val="24"/>
              </w:rPr>
              <w:t>0.25</w:t>
            </w:r>
          </w:p>
        </w:tc>
        <w:tc>
          <w:tcPr>
            <w:tcW w:w="1250" w:type="pct"/>
          </w:tcPr>
          <w:p w14:paraId="5FCBF9EF" w14:textId="77777777" w:rsidR="007E3433" w:rsidRPr="00B50702" w:rsidRDefault="007E3433" w:rsidP="003534D2">
            <w:pPr>
              <w:tabs>
                <w:tab w:val="left" w:pos="426"/>
              </w:tabs>
              <w:ind w:firstLineChars="0" w:firstLine="0"/>
              <w:jc w:val="both"/>
              <w:rPr>
                <w:szCs w:val="24"/>
              </w:rPr>
            </w:pPr>
            <w:r w:rsidRPr="00B50702">
              <w:rPr>
                <w:szCs w:val="24"/>
              </w:rPr>
              <w:t xml:space="preserve">0.91 </w:t>
            </w:r>
          </w:p>
        </w:tc>
      </w:tr>
    </w:tbl>
    <w:p w14:paraId="4D80E699" w14:textId="77777777" w:rsidR="007E3433" w:rsidRPr="00B50702" w:rsidRDefault="007E3433" w:rsidP="007E3433">
      <w:pPr>
        <w:ind w:firstLineChars="0" w:firstLine="0"/>
        <w:jc w:val="both"/>
        <w:rPr>
          <w:rFonts w:cs="Times New Roman"/>
        </w:rPr>
      </w:pPr>
      <w:r w:rsidRPr="00B50702">
        <w:rPr>
          <w:rFonts w:cs="Times New Roman"/>
        </w:rPr>
        <w:br w:type="page"/>
      </w:r>
    </w:p>
    <w:p w14:paraId="651B51AC" w14:textId="77777777" w:rsidR="007E3433" w:rsidRPr="00B50702" w:rsidRDefault="007E3433" w:rsidP="007E3433">
      <w:pPr>
        <w:pStyle w:val="a8"/>
        <w:ind w:firstLineChars="0" w:firstLine="0"/>
        <w:jc w:val="center"/>
      </w:pPr>
      <w:r w:rsidRPr="000065D5">
        <w:lastRenderedPageBreak/>
        <w:t>Table S</w:t>
      </w:r>
      <w:r w:rsidRPr="00B50702">
        <w:t xml:space="preserve">13 </w:t>
      </w:r>
      <w:r w:rsidRPr="005A08DF">
        <w:rPr>
          <w:b w:val="0"/>
          <w:bCs/>
        </w:rPr>
        <w:t>Comparison of iodine adsorption with different materials</w:t>
      </w:r>
    </w:p>
    <w:tbl>
      <w:tblPr>
        <w:tblStyle w:val="aa"/>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202"/>
        <w:gridCol w:w="2203"/>
        <w:gridCol w:w="982"/>
        <w:gridCol w:w="1012"/>
        <w:gridCol w:w="1138"/>
        <w:gridCol w:w="1769"/>
      </w:tblGrid>
      <w:tr w:rsidR="007E3433" w:rsidRPr="00B50702" w14:paraId="5BC12700" w14:textId="77777777" w:rsidTr="003534D2">
        <w:trPr>
          <w:jc w:val="center"/>
        </w:trPr>
        <w:tc>
          <w:tcPr>
            <w:tcW w:w="724" w:type="pct"/>
            <w:shd w:val="clear" w:color="auto" w:fill="FFFFFF"/>
            <w:vAlign w:val="center"/>
          </w:tcPr>
          <w:p w14:paraId="6419285F"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Series Number</w:t>
            </w:r>
          </w:p>
        </w:tc>
        <w:tc>
          <w:tcPr>
            <w:tcW w:w="1326" w:type="pct"/>
            <w:shd w:val="clear" w:color="auto" w:fill="FFFFFF"/>
            <w:vAlign w:val="center"/>
          </w:tcPr>
          <w:p w14:paraId="342EAC23"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Adsorbents</w:t>
            </w:r>
          </w:p>
        </w:tc>
        <w:tc>
          <w:tcPr>
            <w:tcW w:w="591" w:type="pct"/>
            <w:shd w:val="clear" w:color="auto" w:fill="FFFFFF"/>
            <w:vAlign w:val="center"/>
          </w:tcPr>
          <w:p w14:paraId="7D8E9C91" w14:textId="77777777" w:rsidR="007E3433" w:rsidRPr="00B50702" w:rsidRDefault="007E3433" w:rsidP="003534D2">
            <w:pPr>
              <w:tabs>
                <w:tab w:val="left" w:pos="426"/>
              </w:tabs>
              <w:spacing w:line="440" w:lineRule="exact"/>
              <w:ind w:firstLineChars="0" w:firstLine="0"/>
              <w:rPr>
                <w:b/>
                <w:bCs/>
                <w:color w:val="000000"/>
                <w:sz w:val="21"/>
                <w:szCs w:val="21"/>
              </w:rPr>
            </w:pPr>
            <w:proofErr w:type="gramStart"/>
            <w:r w:rsidRPr="00B50702">
              <w:rPr>
                <w:b/>
                <w:bCs/>
                <w:color w:val="000000"/>
                <w:sz w:val="21"/>
                <w:szCs w:val="21"/>
              </w:rPr>
              <w:t>T</w:t>
            </w:r>
            <w:r w:rsidRPr="00264F0C">
              <w:rPr>
                <w:b/>
                <w:bCs/>
                <w:color w:val="000000"/>
                <w:sz w:val="21"/>
                <w:szCs w:val="21"/>
              </w:rPr>
              <w:t>(</w:t>
            </w:r>
            <w:proofErr w:type="gramEnd"/>
            <w:r w:rsidRPr="003C242E">
              <w:rPr>
                <w:b/>
                <w:bCs/>
                <w:color w:val="000000"/>
                <w:sz w:val="21"/>
                <w:szCs w:val="21"/>
              </w:rPr>
              <w:t>℃</w:t>
            </w:r>
            <w:r w:rsidRPr="00264F0C">
              <w:rPr>
                <w:b/>
                <w:bCs/>
                <w:color w:val="000000"/>
                <w:sz w:val="21"/>
                <w:szCs w:val="21"/>
              </w:rPr>
              <w:t>)</w:t>
            </w:r>
          </w:p>
        </w:tc>
        <w:tc>
          <w:tcPr>
            <w:tcW w:w="609" w:type="pct"/>
            <w:shd w:val="clear" w:color="auto" w:fill="FFFFFF"/>
            <w:vAlign w:val="center"/>
          </w:tcPr>
          <w:p w14:paraId="63196F6B"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90% eq time</w:t>
            </w:r>
            <w:r w:rsidRPr="00264F0C">
              <w:rPr>
                <w:b/>
                <w:bCs/>
                <w:color w:val="000000"/>
                <w:sz w:val="21"/>
                <w:szCs w:val="21"/>
              </w:rPr>
              <w:t>(</w:t>
            </w:r>
            <w:r w:rsidRPr="00B50702">
              <w:rPr>
                <w:b/>
                <w:bCs/>
                <w:color w:val="000000"/>
                <w:sz w:val="21"/>
                <w:szCs w:val="21"/>
              </w:rPr>
              <w:t>h</w:t>
            </w:r>
            <w:r w:rsidRPr="00264F0C">
              <w:rPr>
                <w:b/>
                <w:bCs/>
                <w:color w:val="000000"/>
                <w:sz w:val="21"/>
                <w:szCs w:val="21"/>
              </w:rPr>
              <w:t>)</w:t>
            </w:r>
          </w:p>
        </w:tc>
        <w:tc>
          <w:tcPr>
            <w:tcW w:w="685" w:type="pct"/>
            <w:shd w:val="clear" w:color="auto" w:fill="FFFFFF"/>
            <w:vAlign w:val="center"/>
          </w:tcPr>
          <w:p w14:paraId="61D448BD" w14:textId="77777777" w:rsidR="007E3433" w:rsidRPr="00B50702" w:rsidRDefault="007E3433" w:rsidP="003534D2">
            <w:pPr>
              <w:tabs>
                <w:tab w:val="left" w:pos="426"/>
              </w:tabs>
              <w:spacing w:line="440" w:lineRule="exact"/>
              <w:ind w:firstLineChars="0" w:firstLine="0"/>
              <w:rPr>
                <w:b/>
                <w:bCs/>
                <w:color w:val="000000"/>
                <w:sz w:val="21"/>
                <w:szCs w:val="21"/>
              </w:rPr>
            </w:pPr>
            <w:proofErr w:type="spellStart"/>
            <w:r w:rsidRPr="00B50702">
              <w:rPr>
                <w:b/>
                <w:bCs/>
                <w:color w:val="000000"/>
                <w:sz w:val="21"/>
                <w:szCs w:val="21"/>
              </w:rPr>
              <w:t>q</w:t>
            </w:r>
            <w:r w:rsidRPr="005A08DF">
              <w:rPr>
                <w:b/>
                <w:bCs/>
                <w:color w:val="000000"/>
                <w:sz w:val="21"/>
                <w:szCs w:val="21"/>
                <w:vertAlign w:val="subscript"/>
              </w:rPr>
              <w:t>e</w:t>
            </w:r>
            <w:proofErr w:type="spellEnd"/>
            <w:r w:rsidRPr="00264F0C">
              <w:rPr>
                <w:b/>
                <w:bCs/>
                <w:color w:val="000000"/>
                <w:sz w:val="21"/>
                <w:szCs w:val="21"/>
              </w:rPr>
              <w:t>(</w:t>
            </w:r>
            <w:r w:rsidRPr="00B50702">
              <w:rPr>
                <w:b/>
                <w:bCs/>
                <w:color w:val="000000"/>
                <w:sz w:val="21"/>
                <w:szCs w:val="21"/>
              </w:rPr>
              <w:t>g</w:t>
            </w:r>
            <w:r w:rsidRPr="00103A6F">
              <w:rPr>
                <w:b/>
                <w:bCs/>
                <w:color w:val="000000"/>
                <w:szCs w:val="28"/>
              </w:rPr>
              <w:t>·</w:t>
            </w:r>
            <w:r w:rsidRPr="00B50702">
              <w:rPr>
                <w:b/>
                <w:bCs/>
                <w:color w:val="000000"/>
                <w:sz w:val="21"/>
                <w:szCs w:val="21"/>
              </w:rPr>
              <w:t>g</w:t>
            </w:r>
            <w:r w:rsidRPr="002C4BE6">
              <w:rPr>
                <w:b/>
                <w:bCs/>
                <w:color w:val="000000"/>
                <w:sz w:val="21"/>
                <w:szCs w:val="21"/>
                <w:vertAlign w:val="superscript"/>
              </w:rPr>
              <w:t>-1</w:t>
            </w:r>
            <w:r w:rsidRPr="00264F0C">
              <w:rPr>
                <w:b/>
                <w:bCs/>
                <w:color w:val="000000"/>
                <w:sz w:val="21"/>
                <w:szCs w:val="21"/>
              </w:rPr>
              <w:t>)</w:t>
            </w:r>
          </w:p>
        </w:tc>
        <w:tc>
          <w:tcPr>
            <w:tcW w:w="1065" w:type="pct"/>
            <w:shd w:val="clear" w:color="auto" w:fill="FFFFFF"/>
            <w:vAlign w:val="center"/>
          </w:tcPr>
          <w:p w14:paraId="27F777F1"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Ref</w:t>
            </w:r>
          </w:p>
        </w:tc>
      </w:tr>
      <w:tr w:rsidR="007E3433" w:rsidRPr="00B50702" w14:paraId="24077F4D" w14:textId="77777777" w:rsidTr="003534D2">
        <w:trPr>
          <w:jc w:val="center"/>
        </w:trPr>
        <w:tc>
          <w:tcPr>
            <w:tcW w:w="724" w:type="pct"/>
            <w:shd w:val="clear" w:color="auto" w:fill="FFFFFF"/>
            <w:vAlign w:val="center"/>
          </w:tcPr>
          <w:p w14:paraId="1C020BA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a</w:t>
            </w:r>
          </w:p>
        </w:tc>
        <w:tc>
          <w:tcPr>
            <w:tcW w:w="1326" w:type="pct"/>
            <w:shd w:val="clear" w:color="auto" w:fill="FFFFFF"/>
            <w:vAlign w:val="center"/>
          </w:tcPr>
          <w:p w14:paraId="15861203"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COF-N</w:t>
            </w:r>
            <w:r w:rsidRPr="00B50702">
              <w:rPr>
                <w:color w:val="000000"/>
                <w:sz w:val="21"/>
                <w:szCs w:val="21"/>
                <w:vertAlign w:val="superscript"/>
              </w:rPr>
              <w:t>+</w:t>
            </w:r>
          </w:p>
        </w:tc>
        <w:tc>
          <w:tcPr>
            <w:tcW w:w="591" w:type="pct"/>
            <w:shd w:val="clear" w:color="auto" w:fill="FFFFFF"/>
            <w:vAlign w:val="center"/>
          </w:tcPr>
          <w:p w14:paraId="536DB8B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3354CE4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15</w:t>
            </w:r>
          </w:p>
        </w:tc>
        <w:tc>
          <w:tcPr>
            <w:tcW w:w="685" w:type="pct"/>
            <w:shd w:val="clear" w:color="auto" w:fill="FFFFFF"/>
            <w:vAlign w:val="center"/>
          </w:tcPr>
          <w:p w14:paraId="577951C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5.11</w:t>
            </w:r>
          </w:p>
        </w:tc>
        <w:tc>
          <w:tcPr>
            <w:tcW w:w="1065" w:type="pct"/>
            <w:shd w:val="clear" w:color="auto" w:fill="FFFFFF"/>
            <w:vAlign w:val="center"/>
          </w:tcPr>
          <w:p w14:paraId="64441C8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{"citationID":"GvRUuFdb","properties":{"formattedCitation":"[18]","plainCitation":"[18]","noteIndex":0},"citationItems":[{"id":756,"uris":["http://zotero.org/users/14169885/items/2LL59XNH"],"itemData":{"id":756,"type":"article-journal","abstract":"Efficient capture and monitoring of radioactive iodine are essential for managing nuclear waste and safeguarding human health. In this study, two COFs (COF-A and COF-B) are reported for efficient iodine adsorption with yellow fluorescence. Compared to COF-B, COF-A presents better iodine capture performance (4.05 g</w:instrText>
            </w:r>
            <w:r w:rsidRPr="00B50702">
              <w:rPr>
                <w:rFonts w:ascii="MS Gothic" w:eastAsia="MS Gothic" w:hAnsi="MS Gothic" w:cs="MS Gothic" w:hint="eastAsia"/>
                <w:color w:val="000000"/>
                <w:sz w:val="21"/>
                <w:szCs w:val="21"/>
              </w:rPr>
              <w:instrText>⋅</w:instrText>
            </w:r>
            <w:r w:rsidRPr="00B50702">
              <w:rPr>
                <w:color w:val="000000"/>
                <w:sz w:val="21"/>
                <w:szCs w:val="21"/>
              </w:rPr>
              <w:instrText>g 1) due to larger specific surface area and electron-rich N adsorption sites. Meanwhile, we first report iodine ion modification for COF-A by methyl iodide (CH3I). After iodine ion modification, COF-N+ shows faster adsorption rates and higher adsorption capacity (5.11 g</w:instrText>
            </w:r>
            <w:r w:rsidRPr="00B50702">
              <w:rPr>
                <w:rFonts w:ascii="MS Gothic" w:eastAsia="MS Gothic" w:hAnsi="MS Gothic" w:cs="MS Gothic" w:hint="eastAsia"/>
                <w:color w:val="000000"/>
                <w:sz w:val="21"/>
                <w:szCs w:val="21"/>
              </w:rPr>
              <w:instrText>⋅</w:instrText>
            </w:r>
            <w:r w:rsidRPr="00B50702">
              <w:rPr>
                <w:color w:val="000000"/>
                <w:sz w:val="21"/>
                <w:szCs w:val="21"/>
              </w:rPr>
              <w:instrText xml:space="preserve">g 1) for iodine. Through mechanistic analysis, the interaction between electron-rich N adsorption sites of COFs and electron-deficient iodine by charge transfer is confirmed. Meanwhile, the coulomb interactions of quaternary nitrogen ion for iodine plays crucial roles in adsorption enhancement. Moreover, we construct a fluorescence sensing platform for real-time monitoring of iodine capture based on the PET process and the CT interactions between iodine and COFs, leading to the fluorescence quenching of COFs. To promote the development of personal health protection in the nuclear industry, a mask with dual function is prepared, achieving iodine removal and real-time fluorescence response and high removal efficiency (95.44 %) for iodine. This study presents a new idea to enhance iodine adsorption performance of adsorbents by ionic modification, while providing reference the considerable potential of these COFs for a wide range of applications.","container-title":"Chemical Engineering Journal","DOI":"10.1016/j.cej.2025.161825","ISSN":"13858947","journalAbbreviation":"Chemical Engineering Journal","language":"en","note":"abstractTranslation: </w:instrText>
            </w:r>
            <w:r w:rsidRPr="00B50702">
              <w:rPr>
                <w:color w:val="000000"/>
                <w:sz w:val="21"/>
                <w:szCs w:val="21"/>
              </w:rPr>
              <w:instrText>有效捕获和监测放射性碘对于管理核废料和保障人类健康至关重要。在这项研究中，报道了两种</w:instrText>
            </w:r>
            <w:r w:rsidRPr="00B50702">
              <w:rPr>
                <w:color w:val="000000"/>
                <w:sz w:val="21"/>
                <w:szCs w:val="21"/>
              </w:rPr>
              <w:instrText>COF</w:instrText>
            </w:r>
            <w:r w:rsidRPr="00B50702">
              <w:rPr>
                <w:color w:val="000000"/>
                <w:sz w:val="21"/>
                <w:szCs w:val="21"/>
              </w:rPr>
              <w:instrText>（</w:instrText>
            </w:r>
            <w:r w:rsidRPr="00B50702">
              <w:rPr>
                <w:color w:val="000000"/>
                <w:sz w:val="21"/>
                <w:szCs w:val="21"/>
              </w:rPr>
              <w:instrText>COF-A</w:instrText>
            </w:r>
            <w:r w:rsidRPr="00B50702">
              <w:rPr>
                <w:color w:val="000000"/>
                <w:sz w:val="21"/>
                <w:szCs w:val="21"/>
              </w:rPr>
              <w:instrText>和</w:instrText>
            </w:r>
            <w:r w:rsidRPr="00B50702">
              <w:rPr>
                <w:color w:val="000000"/>
                <w:sz w:val="21"/>
                <w:szCs w:val="21"/>
              </w:rPr>
              <w:instrText>COF-B</w:instrText>
            </w:r>
            <w:r w:rsidRPr="00B50702">
              <w:rPr>
                <w:color w:val="000000"/>
                <w:sz w:val="21"/>
                <w:szCs w:val="21"/>
              </w:rPr>
              <w:instrText>）具有黄色荧光的有效碘吸附作用。与</w:instrText>
            </w:r>
            <w:r w:rsidRPr="00B50702">
              <w:rPr>
                <w:color w:val="000000"/>
                <w:sz w:val="21"/>
                <w:szCs w:val="21"/>
              </w:rPr>
              <w:instrText>COF-B</w:instrText>
            </w:r>
            <w:r w:rsidRPr="00B50702">
              <w:rPr>
                <w:color w:val="000000"/>
                <w:sz w:val="21"/>
                <w:szCs w:val="21"/>
              </w:rPr>
              <w:instrText>相比，</w:instrText>
            </w:r>
            <w:r w:rsidRPr="00B50702">
              <w:rPr>
                <w:color w:val="000000"/>
                <w:sz w:val="21"/>
                <w:szCs w:val="21"/>
              </w:rPr>
              <w:instrText>COF-A</w:instrText>
            </w:r>
            <w:r w:rsidRPr="00B50702">
              <w:rPr>
                <w:color w:val="000000"/>
                <w:sz w:val="21"/>
                <w:szCs w:val="21"/>
              </w:rPr>
              <w:instrText>具有更好的碘捕获性能（</w:instrText>
            </w:r>
            <w:r w:rsidRPr="00B50702">
              <w:rPr>
                <w:color w:val="000000"/>
                <w:sz w:val="21"/>
                <w:szCs w:val="21"/>
              </w:rPr>
              <w:instrText>4.05 g</w:instrText>
            </w:r>
            <w:r w:rsidRPr="00B50702">
              <w:rPr>
                <w:rFonts w:ascii="MS Gothic" w:eastAsia="MS Gothic" w:hAnsi="MS Gothic" w:cs="MS Gothic" w:hint="eastAsia"/>
                <w:color w:val="000000"/>
                <w:sz w:val="21"/>
                <w:szCs w:val="21"/>
              </w:rPr>
              <w:instrText>⋅</w:instrText>
            </w:r>
            <w:r w:rsidRPr="00B50702">
              <w:rPr>
                <w:color w:val="000000"/>
                <w:sz w:val="21"/>
                <w:szCs w:val="21"/>
              </w:rPr>
              <w:instrText>g 1</w:instrText>
            </w:r>
            <w:r w:rsidRPr="00B50702">
              <w:rPr>
                <w:color w:val="000000"/>
                <w:sz w:val="21"/>
                <w:szCs w:val="21"/>
              </w:rPr>
              <w:instrText>），因为它具有更大的比表面积和富含电子的</w:instrText>
            </w:r>
            <w:r w:rsidRPr="00B50702">
              <w:rPr>
                <w:color w:val="000000"/>
                <w:sz w:val="21"/>
                <w:szCs w:val="21"/>
              </w:rPr>
              <w:instrText>N</w:instrText>
            </w:r>
            <w:r w:rsidRPr="00B50702">
              <w:rPr>
                <w:color w:val="000000"/>
                <w:sz w:val="21"/>
                <w:szCs w:val="21"/>
              </w:rPr>
              <w:instrText>吸附位点。同时，我们首次报道了甲基碘（</w:instrText>
            </w:r>
            <w:r w:rsidRPr="00B50702">
              <w:rPr>
                <w:color w:val="000000"/>
                <w:sz w:val="21"/>
                <w:szCs w:val="21"/>
              </w:rPr>
              <w:instrText>CH3I</w:instrText>
            </w:r>
            <w:r w:rsidRPr="00B50702">
              <w:rPr>
                <w:color w:val="000000"/>
                <w:sz w:val="21"/>
                <w:szCs w:val="21"/>
              </w:rPr>
              <w:instrText>）对</w:instrText>
            </w:r>
            <w:r w:rsidRPr="00B50702">
              <w:rPr>
                <w:color w:val="000000"/>
                <w:sz w:val="21"/>
                <w:szCs w:val="21"/>
              </w:rPr>
              <w:instrText>COF-A</w:instrText>
            </w:r>
            <w:r w:rsidRPr="00B50702">
              <w:rPr>
                <w:color w:val="000000"/>
                <w:sz w:val="21"/>
                <w:szCs w:val="21"/>
              </w:rPr>
              <w:instrText>的碘离子修饰。碘离子改性后，</w:instrText>
            </w:r>
            <w:r w:rsidRPr="00B50702">
              <w:rPr>
                <w:color w:val="000000"/>
                <w:sz w:val="21"/>
                <w:szCs w:val="21"/>
              </w:rPr>
              <w:instrText>COF-N+</w:instrText>
            </w:r>
            <w:r w:rsidRPr="00B50702">
              <w:rPr>
                <w:color w:val="000000"/>
                <w:sz w:val="21"/>
                <w:szCs w:val="21"/>
              </w:rPr>
              <w:instrText>对碘的吸附速率更快，吸附容量更高（</w:instrText>
            </w:r>
            <w:r w:rsidRPr="00B50702">
              <w:rPr>
                <w:color w:val="000000"/>
                <w:sz w:val="21"/>
                <w:szCs w:val="21"/>
              </w:rPr>
              <w:instrText>5.11 g</w:instrText>
            </w:r>
            <w:r w:rsidRPr="00B50702">
              <w:rPr>
                <w:rFonts w:ascii="MS Gothic" w:eastAsia="MS Gothic" w:hAnsi="MS Gothic" w:cs="MS Gothic" w:hint="eastAsia"/>
                <w:color w:val="000000"/>
                <w:sz w:val="21"/>
                <w:szCs w:val="21"/>
              </w:rPr>
              <w:instrText>⋅</w:instrText>
            </w:r>
            <w:r w:rsidRPr="00B50702">
              <w:rPr>
                <w:color w:val="000000"/>
                <w:sz w:val="21"/>
                <w:szCs w:val="21"/>
              </w:rPr>
              <w:instrText>g 1</w:instrText>
            </w:r>
            <w:r w:rsidRPr="00B50702">
              <w:rPr>
                <w:color w:val="000000"/>
                <w:sz w:val="21"/>
                <w:szCs w:val="21"/>
              </w:rPr>
              <w:instrText>）。通过机理分析，证实了</w:instrText>
            </w:r>
            <w:r w:rsidRPr="00B50702">
              <w:rPr>
                <w:color w:val="000000"/>
                <w:sz w:val="21"/>
                <w:szCs w:val="21"/>
              </w:rPr>
              <w:instrText>COFs</w:instrText>
            </w:r>
            <w:r w:rsidRPr="00B50702">
              <w:rPr>
                <w:color w:val="000000"/>
                <w:sz w:val="21"/>
                <w:szCs w:val="21"/>
              </w:rPr>
              <w:instrText>的富电子氮吸附位点与缺电子碘之间通过电荷转移的相互作用。同时，季氮离子对碘的库仑相互作用在吸附增强中起着至关重要的作用。此外，我们基于</w:instrText>
            </w:r>
            <w:r w:rsidRPr="00B50702">
              <w:rPr>
                <w:color w:val="000000"/>
                <w:sz w:val="21"/>
                <w:szCs w:val="21"/>
              </w:rPr>
              <w:instrText>PET</w:instrText>
            </w:r>
            <w:r w:rsidRPr="00B50702">
              <w:rPr>
                <w:color w:val="000000"/>
                <w:sz w:val="21"/>
                <w:szCs w:val="21"/>
              </w:rPr>
              <w:instrText>过程和碘与</w:instrText>
            </w:r>
            <w:r w:rsidRPr="00B50702">
              <w:rPr>
                <w:color w:val="000000"/>
                <w:sz w:val="21"/>
                <w:szCs w:val="21"/>
              </w:rPr>
              <w:instrText>COF</w:instrText>
            </w:r>
            <w:r w:rsidRPr="00B50702">
              <w:rPr>
                <w:color w:val="000000"/>
                <w:sz w:val="21"/>
                <w:szCs w:val="21"/>
              </w:rPr>
              <w:instrText>之间的</w:instrText>
            </w:r>
            <w:r w:rsidRPr="00B50702">
              <w:rPr>
                <w:color w:val="000000"/>
                <w:sz w:val="21"/>
                <w:szCs w:val="21"/>
              </w:rPr>
              <w:instrText>CT</w:instrText>
            </w:r>
            <w:r w:rsidRPr="00B50702">
              <w:rPr>
                <w:color w:val="000000"/>
                <w:sz w:val="21"/>
                <w:szCs w:val="21"/>
              </w:rPr>
              <w:instrText>相互作用构建了一个荧光传感平台，用于实时监测碘捕获，从而导致</w:instrText>
            </w:r>
            <w:r w:rsidRPr="00B50702">
              <w:rPr>
                <w:color w:val="000000"/>
                <w:sz w:val="21"/>
                <w:szCs w:val="21"/>
              </w:rPr>
              <w:instrText>COF</w:instrText>
            </w:r>
            <w:r w:rsidRPr="00B50702">
              <w:rPr>
                <w:color w:val="000000"/>
                <w:sz w:val="21"/>
                <w:szCs w:val="21"/>
              </w:rPr>
              <w:instrText>的荧光淬灭。为促进核工业个人健康防护的发展，研制了一种具有双重功能的口罩，实现了碘的去除和实时荧光响应，碘的去除效率高（</w:instrText>
            </w:r>
            <w:r w:rsidRPr="00B50702">
              <w:rPr>
                <w:color w:val="000000"/>
                <w:sz w:val="21"/>
                <w:szCs w:val="21"/>
              </w:rPr>
              <w:instrText>95.44%</w:instrText>
            </w:r>
            <w:r w:rsidRPr="00B50702">
              <w:rPr>
                <w:color w:val="000000"/>
                <w:sz w:val="21"/>
                <w:szCs w:val="21"/>
              </w:rPr>
              <w:instrText>）。本研究提出了一种通过离子改性提高吸附剂碘吸附性能的新思路，同时为这些</w:instrText>
            </w:r>
            <w:r w:rsidRPr="00B50702">
              <w:rPr>
                <w:color w:val="000000"/>
                <w:sz w:val="21"/>
                <w:szCs w:val="21"/>
              </w:rPr>
              <w:instrText>COF</w:instrText>
            </w:r>
            <w:r w:rsidRPr="00B50702">
              <w:rPr>
                <w:color w:val="000000"/>
                <w:sz w:val="21"/>
                <w:szCs w:val="21"/>
              </w:rPr>
              <w:instrText>在广泛应用中的巨大潜力提供了参考。</w:instrText>
            </w:r>
            <w:r w:rsidRPr="00B50702">
              <w:rPr>
                <w:color w:val="000000"/>
                <w:sz w:val="21"/>
                <w:szCs w:val="21"/>
              </w:rPr>
              <w:instrText xml:space="preserve">\ntitleTranslation: </w:instrText>
            </w:r>
            <w:r w:rsidRPr="00B50702">
              <w:rPr>
                <w:color w:val="000000"/>
                <w:sz w:val="21"/>
                <w:szCs w:val="21"/>
              </w:rPr>
              <w:instrText>构建荧光含氮共价有机框架，用于可视化监测和有效吸附碘，并通过合成后离子修饰提高吸附容量</w:instrText>
            </w:r>
            <w:r w:rsidRPr="00B50702">
              <w:rPr>
                <w:color w:val="000000"/>
                <w:sz w:val="21"/>
                <w:szCs w:val="21"/>
              </w:rPr>
              <w:instrText xml:space="preserve">","page":"161825","source":"DOI.org (Crossref)","title":"Constructing fluorescent nitrogen-containing covalent organic frameworks for visual monitoring and efficient adsorbing iodine with increasing adsorption capacity by post-synthesis ionic modification","volume":"510","author":[{"family":"Zhang","given":"Shuaijie"},{"family":"Mei","given":"Douchao"},{"family":"Li","given":"Ke"},{"family":"Yan","given":"Bing"}],"issued":{"date-parts":[["2025",4]]}}}],"schema":"https://github.com/citation-style-language/schema/raw/master/csl-citation.json"} </w:instrText>
            </w:r>
            <w:r w:rsidRPr="00B50702">
              <w:rPr>
                <w:color w:val="000000"/>
                <w:sz w:val="21"/>
                <w:szCs w:val="21"/>
              </w:rPr>
              <w:fldChar w:fldCharType="separate"/>
            </w:r>
            <w:r w:rsidRPr="00B50702">
              <w:rPr>
                <w:sz w:val="21"/>
              </w:rPr>
              <w:t>[18]</w:t>
            </w:r>
            <w:r w:rsidRPr="00B50702">
              <w:rPr>
                <w:color w:val="000000"/>
                <w:sz w:val="21"/>
                <w:szCs w:val="21"/>
              </w:rPr>
              <w:fldChar w:fldCharType="end"/>
            </w:r>
          </w:p>
        </w:tc>
      </w:tr>
      <w:tr w:rsidR="007E3433" w:rsidRPr="00B50702" w14:paraId="7002632F" w14:textId="77777777" w:rsidTr="003534D2">
        <w:trPr>
          <w:jc w:val="center"/>
        </w:trPr>
        <w:tc>
          <w:tcPr>
            <w:tcW w:w="724" w:type="pct"/>
            <w:shd w:val="clear" w:color="auto" w:fill="FFFFFF"/>
            <w:vAlign w:val="center"/>
          </w:tcPr>
          <w:p w14:paraId="4EAB640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b</w:t>
            </w:r>
          </w:p>
        </w:tc>
        <w:tc>
          <w:tcPr>
            <w:tcW w:w="1326" w:type="pct"/>
            <w:shd w:val="clear" w:color="auto" w:fill="FFFFFF"/>
            <w:vAlign w:val="center"/>
          </w:tcPr>
          <w:p w14:paraId="2029E73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PTC-2H</w:t>
            </w:r>
          </w:p>
        </w:tc>
        <w:tc>
          <w:tcPr>
            <w:tcW w:w="591" w:type="pct"/>
            <w:shd w:val="clear" w:color="auto" w:fill="FFFFFF"/>
            <w:vAlign w:val="center"/>
          </w:tcPr>
          <w:p w14:paraId="029908EC"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75</w:t>
            </w:r>
          </w:p>
        </w:tc>
        <w:tc>
          <w:tcPr>
            <w:tcW w:w="609" w:type="pct"/>
            <w:shd w:val="clear" w:color="auto" w:fill="FFFFFF"/>
            <w:vAlign w:val="center"/>
          </w:tcPr>
          <w:p w14:paraId="43F7FF94"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60</w:t>
            </w:r>
          </w:p>
        </w:tc>
        <w:tc>
          <w:tcPr>
            <w:tcW w:w="685" w:type="pct"/>
            <w:shd w:val="clear" w:color="auto" w:fill="FFFFFF"/>
            <w:vAlign w:val="center"/>
          </w:tcPr>
          <w:p w14:paraId="1C14B34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5.46</w:t>
            </w:r>
          </w:p>
        </w:tc>
        <w:tc>
          <w:tcPr>
            <w:tcW w:w="1065" w:type="pct"/>
            <w:shd w:val="clear" w:color="auto" w:fill="FFFFFF"/>
            <w:vAlign w:val="center"/>
          </w:tcPr>
          <w:p w14:paraId="612F55F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{"citationID":"S5J6HMdi","properties":{"formattedCitation":"[20]","plainCitation":"[20]","noteIndex":0},"citationItems":[{"id":755,"uris":["http://zotero.org/users/14169885/items/QTLE55LV"],"itemData":{"id":755,"type":"article-journal","abstract":"A large amount of radioactive iodine, which is harmful to the environment and humans, is produced during the operation of nuclear power plants, and the design of adsorbents for the efficient adsorption of radioactive iodine should be further studied. In this work, porphyrin-based porous organic cage (POC), denoted as PTC-2H, was synthesized using dynamic covalent chemistry, and PTC-Zn was obtained by the post-synthetic modification of PTC-2H with Zn2+. Subsequently, the iodine capture performance was studied. The iodine capture capacity of PTC-2H reached 5.46 g g 1, exceeding the capacities reported for most POCs. Multi-spectral techniques confirmed that iodine adsorption occurs mainly through chemical adsorption, and porphyrin units together with imine bonds are the main active sites for iodine adsorption. Owing to the synergistic effect of the high specific surface area, large conjugated plane, and abundant N heteroatoms, PTC-2H exhibited a higher iodine capacity than other POCs. After the introduction of zinc ions into PTC-2H, PTC-Zn exhibited a lower iodine capacity (4.96 g g 1), which could be attributed to the loss of the –NH bonds in the porphyrin units. Thus, POCs containing porphyrin units were used in this study for iodine adsorption, and the positive effects of –NH bonds in the N4 cavity of the porphyrin plane, together with the higher specific surface area of PTC-2H, on the iodine adsorption capacity are demonstrated proved for the first time. The insights obtained in this study are of great significance for exploring new materials with more functional groups for improving their iodine adsorption performance.","container-title":"Chemical Engineering Journal","DOI":"10.1016/j.cej.2025.161326","ISSN":"13858947","journalAbbreviation":"Chemical Engineering Journal","language":"en","note":"abstractTranslation: </w:instrText>
            </w:r>
            <w:r w:rsidRPr="00B50702">
              <w:rPr>
                <w:color w:val="000000"/>
                <w:sz w:val="21"/>
                <w:szCs w:val="21"/>
              </w:rPr>
              <w:instrText>核电站运行过程中会产生大量对环境和人类有害的放射性碘，应进一步研究有效吸附放射性碘的吸附剂的设计。在这项工作中，使用动态共价化学合成了卟啉基多孔有机笼（</w:instrText>
            </w:r>
            <w:r w:rsidRPr="00B50702">
              <w:rPr>
                <w:color w:val="000000"/>
                <w:sz w:val="21"/>
                <w:szCs w:val="21"/>
              </w:rPr>
              <w:instrText>POC</w:instrText>
            </w:r>
            <w:r w:rsidRPr="00B50702">
              <w:rPr>
                <w:color w:val="000000"/>
                <w:sz w:val="21"/>
                <w:szCs w:val="21"/>
              </w:rPr>
              <w:instrText>），记为</w:instrText>
            </w:r>
            <w:r w:rsidRPr="00B50702">
              <w:rPr>
                <w:color w:val="000000"/>
                <w:sz w:val="21"/>
                <w:szCs w:val="21"/>
              </w:rPr>
              <w:instrText>PTC-2H</w:instrText>
            </w:r>
            <w:r w:rsidRPr="00B50702">
              <w:rPr>
                <w:color w:val="000000"/>
                <w:sz w:val="21"/>
                <w:szCs w:val="21"/>
              </w:rPr>
              <w:instrText>，并通过用</w:instrText>
            </w:r>
            <w:r w:rsidRPr="00B50702">
              <w:rPr>
                <w:color w:val="000000"/>
                <w:sz w:val="21"/>
                <w:szCs w:val="21"/>
              </w:rPr>
              <w:instrText>Zn2+</w:instrText>
            </w:r>
            <w:r w:rsidRPr="00B50702">
              <w:rPr>
                <w:color w:val="000000"/>
                <w:sz w:val="21"/>
                <w:szCs w:val="21"/>
              </w:rPr>
              <w:instrText>对</w:instrText>
            </w:r>
            <w:r w:rsidRPr="00B50702">
              <w:rPr>
                <w:color w:val="000000"/>
                <w:sz w:val="21"/>
                <w:szCs w:val="21"/>
              </w:rPr>
              <w:instrText>PTC-2H</w:instrText>
            </w:r>
            <w:r w:rsidRPr="00B50702">
              <w:rPr>
                <w:color w:val="000000"/>
                <w:sz w:val="21"/>
                <w:szCs w:val="21"/>
              </w:rPr>
              <w:instrText>进行合成后改性获得了</w:instrText>
            </w:r>
            <w:r w:rsidRPr="00B50702">
              <w:rPr>
                <w:color w:val="000000"/>
                <w:sz w:val="21"/>
                <w:szCs w:val="21"/>
              </w:rPr>
              <w:instrText>PTC Zn</w:instrText>
            </w:r>
            <w:r w:rsidRPr="00B50702">
              <w:rPr>
                <w:color w:val="000000"/>
                <w:sz w:val="21"/>
                <w:szCs w:val="21"/>
              </w:rPr>
              <w:instrText>。随后，研究了碘捕获性能。</w:instrText>
            </w:r>
            <w:r w:rsidRPr="00B50702">
              <w:rPr>
                <w:color w:val="000000"/>
                <w:sz w:val="21"/>
                <w:szCs w:val="21"/>
              </w:rPr>
              <w:instrText>PTC-2H</w:instrText>
            </w:r>
            <w:r w:rsidRPr="00B50702">
              <w:rPr>
                <w:color w:val="000000"/>
                <w:sz w:val="21"/>
                <w:szCs w:val="21"/>
              </w:rPr>
              <w:instrText>的碘捕获能力达到</w:instrText>
            </w:r>
            <w:r w:rsidRPr="00B50702">
              <w:rPr>
                <w:color w:val="000000"/>
                <w:sz w:val="21"/>
                <w:szCs w:val="21"/>
              </w:rPr>
              <w:instrText>5.46 g g g 1</w:instrText>
            </w:r>
            <w:r w:rsidRPr="00B50702">
              <w:rPr>
                <w:color w:val="000000"/>
                <w:sz w:val="21"/>
                <w:szCs w:val="21"/>
              </w:rPr>
              <w:instrText>，超过了大多数</w:instrText>
            </w:r>
            <w:r w:rsidRPr="00B50702">
              <w:rPr>
                <w:color w:val="000000"/>
                <w:sz w:val="21"/>
                <w:szCs w:val="21"/>
              </w:rPr>
              <w:instrText>POC</w:instrText>
            </w:r>
            <w:r w:rsidRPr="00B50702">
              <w:rPr>
                <w:color w:val="000000"/>
                <w:sz w:val="21"/>
                <w:szCs w:val="21"/>
              </w:rPr>
              <w:instrText>报告的容量。多光谱技术证实，碘吸附主要通过化学吸附进行，卟啉单元和亚胺键是碘吸附的主要活性位点。由于高比表面积、大共轭平面和丰富的</w:instrText>
            </w:r>
            <w:r w:rsidRPr="00B50702">
              <w:rPr>
                <w:color w:val="000000"/>
                <w:sz w:val="21"/>
                <w:szCs w:val="21"/>
              </w:rPr>
              <w:instrText>N</w:instrText>
            </w:r>
            <w:r w:rsidRPr="00B50702">
              <w:rPr>
                <w:color w:val="000000"/>
                <w:sz w:val="21"/>
                <w:szCs w:val="21"/>
              </w:rPr>
              <w:instrText>杂原子的协同作用，</w:instrText>
            </w:r>
            <w:r w:rsidRPr="00B50702">
              <w:rPr>
                <w:color w:val="000000"/>
                <w:sz w:val="21"/>
                <w:szCs w:val="21"/>
              </w:rPr>
              <w:instrText>PTC-2H</w:instrText>
            </w:r>
            <w:r w:rsidRPr="00B50702">
              <w:rPr>
                <w:color w:val="000000"/>
                <w:sz w:val="21"/>
                <w:szCs w:val="21"/>
              </w:rPr>
              <w:instrText>表现出比其他</w:instrText>
            </w:r>
            <w:r w:rsidRPr="00B50702">
              <w:rPr>
                <w:color w:val="000000"/>
                <w:sz w:val="21"/>
                <w:szCs w:val="21"/>
              </w:rPr>
              <w:instrText>POC</w:instrText>
            </w:r>
            <w:r w:rsidRPr="00B50702">
              <w:rPr>
                <w:color w:val="000000"/>
                <w:sz w:val="21"/>
                <w:szCs w:val="21"/>
              </w:rPr>
              <w:instrText>更高的碘容量。在</w:instrText>
            </w:r>
            <w:r w:rsidRPr="00B50702">
              <w:rPr>
                <w:color w:val="000000"/>
                <w:sz w:val="21"/>
                <w:szCs w:val="21"/>
              </w:rPr>
              <w:instrText>PTC-2H</w:instrText>
            </w:r>
            <w:r w:rsidRPr="00B50702">
              <w:rPr>
                <w:color w:val="000000"/>
                <w:sz w:val="21"/>
                <w:szCs w:val="21"/>
              </w:rPr>
              <w:instrText>中引入锌离子后，</w:instrText>
            </w:r>
            <w:r w:rsidRPr="00B50702">
              <w:rPr>
                <w:color w:val="000000"/>
                <w:sz w:val="21"/>
                <w:szCs w:val="21"/>
              </w:rPr>
              <w:instrText>PTC Zn</w:instrText>
            </w:r>
            <w:r w:rsidRPr="00B50702">
              <w:rPr>
                <w:color w:val="000000"/>
                <w:sz w:val="21"/>
                <w:szCs w:val="21"/>
              </w:rPr>
              <w:instrText>的碘容量较低（</w:instrText>
            </w:r>
            <w:r w:rsidRPr="00B50702">
              <w:rPr>
                <w:color w:val="000000"/>
                <w:sz w:val="21"/>
                <w:szCs w:val="21"/>
              </w:rPr>
              <w:instrText>4.96 g g 1</w:instrText>
            </w:r>
            <w:r w:rsidRPr="00B50702">
              <w:rPr>
                <w:color w:val="000000"/>
                <w:sz w:val="21"/>
                <w:szCs w:val="21"/>
              </w:rPr>
              <w:instrText>），这可能是由于卟啉单元中的</w:instrText>
            </w:r>
            <w:r w:rsidRPr="00B50702">
              <w:rPr>
                <w:color w:val="000000"/>
                <w:sz w:val="21"/>
                <w:szCs w:val="21"/>
              </w:rPr>
              <w:instrText>-NH</w:instrText>
            </w:r>
            <w:r w:rsidRPr="00B50702">
              <w:rPr>
                <w:color w:val="000000"/>
                <w:sz w:val="21"/>
                <w:szCs w:val="21"/>
              </w:rPr>
              <w:instrText>键的损失。因此，本研究使用含有卟啉单元的</w:instrText>
            </w:r>
            <w:r w:rsidRPr="00B50702">
              <w:rPr>
                <w:color w:val="000000"/>
                <w:sz w:val="21"/>
                <w:szCs w:val="21"/>
              </w:rPr>
              <w:instrText>POC</w:instrText>
            </w:r>
            <w:r w:rsidRPr="00B50702">
              <w:rPr>
                <w:color w:val="000000"/>
                <w:sz w:val="21"/>
                <w:szCs w:val="21"/>
              </w:rPr>
              <w:instrText>进行碘吸附，首次证明了卟啉平面</w:instrText>
            </w:r>
            <w:r w:rsidRPr="00B50702">
              <w:rPr>
                <w:color w:val="000000"/>
                <w:sz w:val="21"/>
                <w:szCs w:val="21"/>
              </w:rPr>
              <w:instrText>N4</w:instrText>
            </w:r>
            <w:r w:rsidRPr="00B50702">
              <w:rPr>
                <w:color w:val="000000"/>
                <w:sz w:val="21"/>
                <w:szCs w:val="21"/>
              </w:rPr>
              <w:instrText>腔中的</w:instrText>
            </w:r>
            <w:r w:rsidRPr="00B50702">
              <w:rPr>
                <w:color w:val="000000"/>
                <w:sz w:val="21"/>
                <w:szCs w:val="21"/>
              </w:rPr>
              <w:instrText>-NH</w:instrText>
            </w:r>
            <w:r w:rsidRPr="00B50702">
              <w:rPr>
                <w:color w:val="000000"/>
                <w:sz w:val="21"/>
                <w:szCs w:val="21"/>
              </w:rPr>
              <w:instrText>键以及</w:instrText>
            </w:r>
            <w:r w:rsidRPr="00B50702">
              <w:rPr>
                <w:color w:val="000000"/>
                <w:sz w:val="21"/>
                <w:szCs w:val="21"/>
              </w:rPr>
              <w:instrText>PTC-2H</w:instrText>
            </w:r>
            <w:r w:rsidRPr="00B50702">
              <w:rPr>
                <w:color w:val="000000"/>
                <w:sz w:val="21"/>
                <w:szCs w:val="21"/>
              </w:rPr>
              <w:instrText>的高比表面积对碘吸附容量的积极影响。本研究获得的见解对于探索具有更多官能团的新材料以提高其碘吸附性能具有重要意义。</w:instrText>
            </w:r>
            <w:r w:rsidRPr="00B50702">
              <w:rPr>
                <w:color w:val="000000"/>
                <w:sz w:val="21"/>
                <w:szCs w:val="21"/>
              </w:rPr>
              <w:instrText xml:space="preserve">\ntitleTranslation: </w:instrText>
            </w:r>
            <w:r w:rsidRPr="00B50702">
              <w:rPr>
                <w:color w:val="000000"/>
                <w:sz w:val="21"/>
                <w:szCs w:val="21"/>
              </w:rPr>
              <w:instrText>无金属卟啉多孔有机笼用于高效碘捕获</w:instrText>
            </w:r>
            <w:r w:rsidRPr="00B50702">
              <w:rPr>
                <w:color w:val="000000"/>
                <w:sz w:val="21"/>
                <w:szCs w:val="21"/>
              </w:rPr>
              <w:instrText xml:space="preserve">","page":"161326","source":"DOI.org (Crossref)","title":"Metal-free porphyrin porous organic cage for efficient iodine capture","volume":"509","author":[{"family":"Wang","given":"Zhixuan"},{"family":"Li","given":"Juanjuan"},{"family":"Du","given":"Ziwei"},{"family":"Pang","given":"Lina"},{"family":"Liu","given":"Chao"}],"issued":{"date-parts":[["2025",4]]}}}],"schema":"https://github.com/citation-style-language/schema/raw/master/csl-citation.json"} </w:instrText>
            </w:r>
            <w:r w:rsidRPr="00B50702">
              <w:rPr>
                <w:color w:val="000000"/>
                <w:sz w:val="21"/>
                <w:szCs w:val="21"/>
              </w:rPr>
              <w:fldChar w:fldCharType="separate"/>
            </w:r>
            <w:r w:rsidRPr="00B50702">
              <w:rPr>
                <w:sz w:val="21"/>
              </w:rPr>
              <w:t>[20]</w:t>
            </w:r>
            <w:r w:rsidRPr="00B50702">
              <w:rPr>
                <w:color w:val="000000"/>
                <w:sz w:val="21"/>
                <w:szCs w:val="21"/>
              </w:rPr>
              <w:fldChar w:fldCharType="end"/>
            </w:r>
          </w:p>
        </w:tc>
      </w:tr>
      <w:tr w:rsidR="007E3433" w:rsidRPr="00B50702" w14:paraId="3B69C8C1" w14:textId="77777777" w:rsidTr="003534D2">
        <w:trPr>
          <w:jc w:val="center"/>
        </w:trPr>
        <w:tc>
          <w:tcPr>
            <w:tcW w:w="724" w:type="pct"/>
            <w:shd w:val="clear" w:color="auto" w:fill="FFFFFF"/>
            <w:vAlign w:val="center"/>
          </w:tcPr>
          <w:p w14:paraId="26A3FC9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c</w:t>
            </w:r>
          </w:p>
        </w:tc>
        <w:tc>
          <w:tcPr>
            <w:tcW w:w="1326" w:type="pct"/>
            <w:shd w:val="clear" w:color="auto" w:fill="FFFFFF"/>
            <w:vAlign w:val="center"/>
          </w:tcPr>
          <w:p w14:paraId="7C1DB95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w:t>
            </w:r>
            <w:proofErr w:type="spellStart"/>
            <w:r w:rsidRPr="00B50702">
              <w:rPr>
                <w:color w:val="000000"/>
                <w:sz w:val="21"/>
                <w:szCs w:val="21"/>
              </w:rPr>
              <w:t>Ppy</w:t>
            </w:r>
            <w:proofErr w:type="spellEnd"/>
            <w:r w:rsidRPr="00B50702">
              <w:rPr>
                <w:color w:val="000000"/>
                <w:sz w:val="21"/>
                <w:szCs w:val="21"/>
              </w:rPr>
              <w:t>)-Sb</w:t>
            </w:r>
            <w:r w:rsidRPr="00B50702">
              <w:rPr>
                <w:color w:val="000000"/>
                <w:sz w:val="21"/>
                <w:szCs w:val="21"/>
                <w:vertAlign w:val="subscript"/>
              </w:rPr>
              <w:t>2</w:t>
            </w:r>
            <w:r w:rsidRPr="00B50702">
              <w:rPr>
                <w:color w:val="000000"/>
                <w:sz w:val="21"/>
                <w:szCs w:val="21"/>
              </w:rPr>
              <w:t>S</w:t>
            </w:r>
            <w:r w:rsidRPr="00B50702">
              <w:rPr>
                <w:color w:val="000000"/>
                <w:sz w:val="21"/>
                <w:szCs w:val="21"/>
                <w:vertAlign w:val="subscript"/>
              </w:rPr>
              <w:t>3</w:t>
            </w:r>
          </w:p>
        </w:tc>
        <w:tc>
          <w:tcPr>
            <w:tcW w:w="591" w:type="pct"/>
            <w:shd w:val="clear" w:color="auto" w:fill="FFFFFF"/>
            <w:vAlign w:val="center"/>
          </w:tcPr>
          <w:p w14:paraId="1B5D31C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614C599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10</w:t>
            </w:r>
          </w:p>
        </w:tc>
        <w:tc>
          <w:tcPr>
            <w:tcW w:w="685" w:type="pct"/>
            <w:shd w:val="clear" w:color="auto" w:fill="FFFFFF"/>
            <w:vAlign w:val="center"/>
          </w:tcPr>
          <w:p w14:paraId="4916DB90"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2.77</w:t>
            </w:r>
          </w:p>
        </w:tc>
        <w:tc>
          <w:tcPr>
            <w:tcW w:w="1065" w:type="pct"/>
            <w:shd w:val="clear" w:color="auto" w:fill="FFFFFF"/>
            <w:vAlign w:val="center"/>
          </w:tcPr>
          <w:p w14:paraId="0CF20300"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{"citationID":"shZ3nX5t","properties":{"formattedCitation":"[21]","plainCitation":"[21]","noteIndex":0},"citationItems":[{"id":752,"uris":["http://zotero.org/users/14169885/items/ZR5YN6ZD"],"itemData":{"id":752,"type":"article-journal","abstract":"It is of great significance to develop cost-efficiency iodine sorbents. Herein, via a one-step solvothermal reaction, we fabricate the composites of n-polypyrrole(Ppy)-Sb2S3 (n is dosage of Cl-Ppy precursor), which exhibit highly efficient iodine sorption performance. Growth of Sb2S3 in situ on filamentous Ppy leads to the formation of fanshaped n-Ppy-Sb2S3 assembled by micro/nanometer rods, benefiting to full exposure of adsorption sites. When the Ppy-Sb2S3 contacts with I2, the N atoms and π-electron–rich moieties of the Ppy component may bind to I2 forming a charge-transfer complex of Ppy+I3 . For the Sb2S3 constituent, the S2- ions not only serve as a soft Lewis base to trap the soft Lewis acidic I2 molecules, but also reduce the I2 to I ions, which combine with Sb3+ to form SbI3. Profiting from the integration of oxidation–reduction (REDOX) reaction, complexation and hard and soft acids and bases (HSAB) interactions, the optimized 0.05-Ppy-Sb2S3 achieves fast and stable immobilization of the gaseous I2, giving an extremely large iodine sorption capacity of 2770 mg/g. This work provides a facile method to tailor new organic/inorganic hybrids for synergistic capture of radioactive iodine from nuclear waste.","container-title":"Chemical Engineering Journal","DOI":"10.1016/j.cej.2025.160096","ISSN":"13858947","journalAbbreviation":"Chemical Engineering Journal","language":"en","note":"abstractTranslation: </w:instrText>
            </w:r>
            <w:r w:rsidRPr="00B50702">
              <w:rPr>
                <w:color w:val="000000"/>
                <w:sz w:val="21"/>
                <w:szCs w:val="21"/>
              </w:rPr>
              <w:instrText>开发具有成本效益的碘吸附剂具有重要意义。在此，我们通过一步溶剂热反应制备了</w:instrText>
            </w:r>
            <w:r w:rsidRPr="00B50702">
              <w:rPr>
                <w:color w:val="000000"/>
                <w:sz w:val="21"/>
                <w:szCs w:val="21"/>
              </w:rPr>
              <w:instrText>n-</w:instrText>
            </w:r>
            <w:r w:rsidRPr="00B50702">
              <w:rPr>
                <w:color w:val="000000"/>
                <w:sz w:val="21"/>
                <w:szCs w:val="21"/>
              </w:rPr>
              <w:instrText>聚吡咯（</w:instrText>
            </w:r>
            <w:r w:rsidRPr="00B50702">
              <w:rPr>
                <w:color w:val="000000"/>
                <w:sz w:val="21"/>
                <w:szCs w:val="21"/>
              </w:rPr>
              <w:instrText>Ppy</w:instrText>
            </w:r>
            <w:r w:rsidRPr="00B50702">
              <w:rPr>
                <w:color w:val="000000"/>
                <w:sz w:val="21"/>
                <w:szCs w:val="21"/>
              </w:rPr>
              <w:instrText>）</w:instrText>
            </w:r>
            <w:r w:rsidRPr="00B50702">
              <w:rPr>
                <w:color w:val="000000"/>
                <w:sz w:val="21"/>
                <w:szCs w:val="21"/>
              </w:rPr>
              <w:instrText>-Sb2S3</w:instrText>
            </w:r>
            <w:r w:rsidRPr="00B50702">
              <w:rPr>
                <w:color w:val="000000"/>
                <w:sz w:val="21"/>
                <w:szCs w:val="21"/>
              </w:rPr>
              <w:instrText>复合材料（</w:instrText>
            </w:r>
            <w:r w:rsidRPr="00B50702">
              <w:rPr>
                <w:color w:val="000000"/>
                <w:sz w:val="21"/>
                <w:szCs w:val="21"/>
              </w:rPr>
              <w:instrText>n</w:instrText>
            </w:r>
            <w:r w:rsidRPr="00B50702">
              <w:rPr>
                <w:color w:val="000000"/>
                <w:sz w:val="21"/>
                <w:szCs w:val="21"/>
              </w:rPr>
              <w:instrText>是</w:instrText>
            </w:r>
            <w:r w:rsidRPr="00B50702">
              <w:rPr>
                <w:color w:val="000000"/>
                <w:sz w:val="21"/>
                <w:szCs w:val="21"/>
              </w:rPr>
              <w:instrText>Cl-Ppy</w:instrText>
            </w:r>
            <w:r w:rsidRPr="00B50702">
              <w:rPr>
                <w:color w:val="000000"/>
                <w:sz w:val="21"/>
                <w:szCs w:val="21"/>
              </w:rPr>
              <w:instrText>前体的剂量），该复合材料表现出高效的碘吸附性能。</w:instrText>
            </w:r>
            <w:r w:rsidRPr="00B50702">
              <w:rPr>
                <w:color w:val="000000"/>
                <w:sz w:val="21"/>
                <w:szCs w:val="21"/>
              </w:rPr>
              <w:instrText>Sb2S3</w:instrText>
            </w:r>
            <w:r w:rsidRPr="00B50702">
              <w:rPr>
                <w:color w:val="000000"/>
                <w:sz w:val="21"/>
                <w:szCs w:val="21"/>
              </w:rPr>
              <w:instrText>在丝状</w:instrText>
            </w:r>
            <w:r w:rsidRPr="00B50702">
              <w:rPr>
                <w:color w:val="000000"/>
                <w:sz w:val="21"/>
                <w:szCs w:val="21"/>
              </w:rPr>
              <w:instrText>Ppy</w:instrText>
            </w:r>
            <w:r w:rsidRPr="00B50702">
              <w:rPr>
                <w:color w:val="000000"/>
                <w:sz w:val="21"/>
                <w:szCs w:val="21"/>
              </w:rPr>
              <w:instrText>上原位生长，形成由微</w:instrText>
            </w:r>
            <w:r w:rsidRPr="00B50702">
              <w:rPr>
                <w:color w:val="000000"/>
                <w:sz w:val="21"/>
                <w:szCs w:val="21"/>
              </w:rPr>
              <w:instrText>/</w:instrText>
            </w:r>
            <w:r w:rsidRPr="00B50702">
              <w:rPr>
                <w:color w:val="000000"/>
                <w:sz w:val="21"/>
                <w:szCs w:val="21"/>
              </w:rPr>
              <w:instrText>纳米棒组装的扇形</w:instrText>
            </w:r>
            <w:r w:rsidRPr="00B50702">
              <w:rPr>
                <w:color w:val="000000"/>
                <w:sz w:val="21"/>
                <w:szCs w:val="21"/>
              </w:rPr>
              <w:instrText>n-Ppy-Sb2S3</w:instrText>
            </w:r>
            <w:r w:rsidRPr="00B50702">
              <w:rPr>
                <w:color w:val="000000"/>
                <w:sz w:val="21"/>
                <w:szCs w:val="21"/>
              </w:rPr>
              <w:instrText>，有利于吸附位点的充分暴露。当</w:instrText>
            </w:r>
            <w:r w:rsidRPr="00B50702">
              <w:rPr>
                <w:color w:val="000000"/>
                <w:sz w:val="21"/>
                <w:szCs w:val="21"/>
              </w:rPr>
              <w:instrText>Ppy-Sb2S3</w:instrText>
            </w:r>
            <w:r w:rsidRPr="00B50702">
              <w:rPr>
                <w:color w:val="000000"/>
                <w:sz w:val="21"/>
                <w:szCs w:val="21"/>
              </w:rPr>
              <w:instrText>与</w:instrText>
            </w:r>
            <w:r w:rsidRPr="00B50702">
              <w:rPr>
                <w:color w:val="000000"/>
                <w:sz w:val="21"/>
                <w:szCs w:val="21"/>
              </w:rPr>
              <w:instrText>I2</w:instrText>
            </w:r>
            <w:r w:rsidRPr="00B50702">
              <w:rPr>
                <w:color w:val="000000"/>
                <w:sz w:val="21"/>
                <w:szCs w:val="21"/>
              </w:rPr>
              <w:instrText>接触时，</w:instrText>
            </w:r>
            <w:r w:rsidRPr="00B50702">
              <w:rPr>
                <w:color w:val="000000"/>
                <w:sz w:val="21"/>
                <w:szCs w:val="21"/>
              </w:rPr>
              <w:instrText>Ppy</w:instrText>
            </w:r>
            <w:r w:rsidRPr="00B50702">
              <w:rPr>
                <w:color w:val="000000"/>
                <w:sz w:val="21"/>
                <w:szCs w:val="21"/>
              </w:rPr>
              <w:instrText>组分的</w:instrText>
            </w:r>
            <w:r w:rsidRPr="00B50702">
              <w:rPr>
                <w:color w:val="000000"/>
                <w:sz w:val="21"/>
                <w:szCs w:val="21"/>
              </w:rPr>
              <w:instrText>N</w:instrText>
            </w:r>
            <w:r w:rsidRPr="00B50702">
              <w:rPr>
                <w:color w:val="000000"/>
                <w:sz w:val="21"/>
                <w:szCs w:val="21"/>
              </w:rPr>
              <w:instrText>原子和富含</w:instrText>
            </w:r>
            <w:r w:rsidRPr="00B50702">
              <w:rPr>
                <w:color w:val="000000"/>
                <w:sz w:val="21"/>
                <w:szCs w:val="21"/>
              </w:rPr>
              <w:instrText>π</w:instrText>
            </w:r>
            <w:r w:rsidRPr="00B50702">
              <w:rPr>
                <w:color w:val="000000"/>
                <w:sz w:val="21"/>
                <w:szCs w:val="21"/>
              </w:rPr>
              <w:instrText>电子的部分可能会与</w:instrText>
            </w:r>
            <w:r w:rsidRPr="00B50702">
              <w:rPr>
                <w:color w:val="000000"/>
                <w:sz w:val="21"/>
                <w:szCs w:val="21"/>
              </w:rPr>
              <w:instrText>I2</w:instrText>
            </w:r>
            <w:r w:rsidRPr="00B50702">
              <w:rPr>
                <w:color w:val="000000"/>
                <w:sz w:val="21"/>
                <w:szCs w:val="21"/>
              </w:rPr>
              <w:instrText>结合，形成</w:instrText>
            </w:r>
            <w:r w:rsidRPr="00B50702">
              <w:rPr>
                <w:color w:val="000000"/>
                <w:sz w:val="21"/>
                <w:szCs w:val="21"/>
              </w:rPr>
              <w:instrText>Ppy+I3</w:instrText>
            </w:r>
            <w:r w:rsidRPr="00B50702">
              <w:rPr>
                <w:color w:val="000000"/>
                <w:sz w:val="21"/>
                <w:szCs w:val="21"/>
              </w:rPr>
              <w:instrText>的电荷转移络合物。对于</w:instrText>
            </w:r>
            <w:r w:rsidRPr="00B50702">
              <w:rPr>
                <w:color w:val="000000"/>
                <w:sz w:val="21"/>
                <w:szCs w:val="21"/>
              </w:rPr>
              <w:instrText>Sb2S3</w:instrText>
            </w:r>
            <w:r w:rsidRPr="00B50702">
              <w:rPr>
                <w:color w:val="000000"/>
                <w:sz w:val="21"/>
                <w:szCs w:val="21"/>
              </w:rPr>
              <w:instrText>成分，</w:instrText>
            </w:r>
            <w:r w:rsidRPr="00B50702">
              <w:rPr>
                <w:color w:val="000000"/>
                <w:sz w:val="21"/>
                <w:szCs w:val="21"/>
              </w:rPr>
              <w:instrText>S2-</w:instrText>
            </w:r>
            <w:r w:rsidRPr="00B50702">
              <w:rPr>
                <w:color w:val="000000"/>
                <w:sz w:val="21"/>
                <w:szCs w:val="21"/>
              </w:rPr>
              <w:instrText>离子不仅作为软路易斯碱捕获软路易斯酸性</w:instrText>
            </w:r>
            <w:r w:rsidRPr="00B50702">
              <w:rPr>
                <w:color w:val="000000"/>
                <w:sz w:val="21"/>
                <w:szCs w:val="21"/>
              </w:rPr>
              <w:instrText>I2</w:instrText>
            </w:r>
            <w:r w:rsidRPr="00B50702">
              <w:rPr>
                <w:color w:val="000000"/>
                <w:sz w:val="21"/>
                <w:szCs w:val="21"/>
              </w:rPr>
              <w:instrText>分子，而且将</w:instrText>
            </w:r>
            <w:r w:rsidRPr="00B50702">
              <w:rPr>
                <w:color w:val="000000"/>
                <w:sz w:val="21"/>
                <w:szCs w:val="21"/>
              </w:rPr>
              <w:instrText>I2</w:instrText>
            </w:r>
            <w:r w:rsidRPr="00B50702">
              <w:rPr>
                <w:color w:val="000000"/>
                <w:sz w:val="21"/>
                <w:szCs w:val="21"/>
              </w:rPr>
              <w:instrText>还原为</w:instrText>
            </w:r>
            <w:r w:rsidRPr="00B50702">
              <w:rPr>
                <w:color w:val="000000"/>
                <w:sz w:val="21"/>
                <w:szCs w:val="21"/>
              </w:rPr>
              <w:instrText>I</w:instrText>
            </w:r>
            <w:r w:rsidRPr="00B50702">
              <w:rPr>
                <w:color w:val="000000"/>
                <w:sz w:val="21"/>
                <w:szCs w:val="21"/>
              </w:rPr>
              <w:instrText>离子，与</w:instrText>
            </w:r>
            <w:r w:rsidRPr="00B50702">
              <w:rPr>
                <w:color w:val="000000"/>
                <w:sz w:val="21"/>
                <w:szCs w:val="21"/>
              </w:rPr>
              <w:instrText>Sb3+</w:instrText>
            </w:r>
            <w:r w:rsidRPr="00B50702">
              <w:rPr>
                <w:color w:val="000000"/>
                <w:sz w:val="21"/>
                <w:szCs w:val="21"/>
              </w:rPr>
              <w:instrText>结合形成</w:instrText>
            </w:r>
            <w:r w:rsidRPr="00B50702">
              <w:rPr>
                <w:color w:val="000000"/>
                <w:sz w:val="21"/>
                <w:szCs w:val="21"/>
              </w:rPr>
              <w:instrText>SbI3</w:instrText>
            </w:r>
            <w:r w:rsidRPr="00B50702">
              <w:rPr>
                <w:color w:val="000000"/>
                <w:sz w:val="21"/>
                <w:szCs w:val="21"/>
              </w:rPr>
              <w:instrText>。通过整合氧化还原（</w:instrText>
            </w:r>
            <w:r w:rsidRPr="00B50702">
              <w:rPr>
                <w:color w:val="000000"/>
                <w:sz w:val="21"/>
                <w:szCs w:val="21"/>
              </w:rPr>
              <w:instrText>REDOX</w:instrText>
            </w:r>
            <w:r w:rsidRPr="00B50702">
              <w:rPr>
                <w:color w:val="000000"/>
                <w:sz w:val="21"/>
                <w:szCs w:val="21"/>
              </w:rPr>
              <w:instrText>）反应、络合以及软硬酸碱（</w:instrText>
            </w:r>
            <w:r w:rsidRPr="00B50702">
              <w:rPr>
                <w:color w:val="000000"/>
                <w:sz w:val="21"/>
                <w:szCs w:val="21"/>
              </w:rPr>
              <w:instrText>HSAB</w:instrText>
            </w:r>
            <w:r w:rsidRPr="00B50702">
              <w:rPr>
                <w:color w:val="000000"/>
                <w:sz w:val="21"/>
                <w:szCs w:val="21"/>
              </w:rPr>
              <w:instrText>）相互作用，优化的</w:instrText>
            </w:r>
            <w:r w:rsidRPr="00B50702">
              <w:rPr>
                <w:color w:val="000000"/>
                <w:sz w:val="21"/>
                <w:szCs w:val="21"/>
              </w:rPr>
              <w:instrText>0.05-Ppy-Sb2S3</w:instrText>
            </w:r>
            <w:r w:rsidRPr="00B50702">
              <w:rPr>
                <w:color w:val="000000"/>
                <w:sz w:val="21"/>
                <w:szCs w:val="21"/>
              </w:rPr>
              <w:instrText>实现了气态</w:instrText>
            </w:r>
            <w:r w:rsidRPr="00B50702">
              <w:rPr>
                <w:color w:val="000000"/>
                <w:sz w:val="21"/>
                <w:szCs w:val="21"/>
              </w:rPr>
              <w:instrText>I2</w:instrText>
            </w:r>
            <w:r w:rsidRPr="00B50702">
              <w:rPr>
                <w:color w:val="000000"/>
                <w:sz w:val="21"/>
                <w:szCs w:val="21"/>
              </w:rPr>
              <w:instrText>的快速稳定固定，提供了</w:instrText>
            </w:r>
            <w:r w:rsidRPr="00B50702">
              <w:rPr>
                <w:color w:val="000000"/>
                <w:sz w:val="21"/>
                <w:szCs w:val="21"/>
              </w:rPr>
              <w:instrText>2770 mg/g</w:instrText>
            </w:r>
            <w:r w:rsidRPr="00B50702">
              <w:rPr>
                <w:color w:val="000000"/>
                <w:sz w:val="21"/>
                <w:szCs w:val="21"/>
              </w:rPr>
              <w:instrText>的超大碘吸附能力。这项工作为定制新的有机</w:instrText>
            </w:r>
            <w:r w:rsidRPr="00B50702">
              <w:rPr>
                <w:color w:val="000000"/>
                <w:sz w:val="21"/>
                <w:szCs w:val="21"/>
              </w:rPr>
              <w:instrText>/</w:instrText>
            </w:r>
            <w:r w:rsidRPr="00B50702">
              <w:rPr>
                <w:color w:val="000000"/>
                <w:sz w:val="21"/>
                <w:szCs w:val="21"/>
              </w:rPr>
              <w:instrText>无机杂化物提供了一种简便的方法，以协同捕获核废料中的放射性碘。</w:instrText>
            </w:r>
            <w:r w:rsidRPr="00B50702">
              <w:rPr>
                <w:color w:val="000000"/>
                <w:sz w:val="21"/>
                <w:szCs w:val="21"/>
              </w:rPr>
              <w:instrText xml:space="preserve">\ntitleTranslation: </w:instrText>
            </w:r>
            <w:r w:rsidRPr="00B50702">
              <w:rPr>
                <w:color w:val="000000"/>
                <w:sz w:val="21"/>
                <w:szCs w:val="21"/>
              </w:rPr>
              <w:instrText>扇形聚吡咯（</w:instrText>
            </w:r>
            <w:r w:rsidRPr="00B50702">
              <w:rPr>
                <w:color w:val="000000"/>
                <w:sz w:val="21"/>
                <w:szCs w:val="21"/>
              </w:rPr>
              <w:instrText>Ppy</w:instrText>
            </w:r>
            <w:r w:rsidRPr="00B50702">
              <w:rPr>
                <w:color w:val="000000"/>
                <w:sz w:val="21"/>
                <w:szCs w:val="21"/>
              </w:rPr>
              <w:instrText>）</w:instrText>
            </w:r>
            <w:r w:rsidRPr="00B50702">
              <w:rPr>
                <w:color w:val="000000"/>
                <w:sz w:val="21"/>
                <w:szCs w:val="21"/>
              </w:rPr>
              <w:instrText>-Sb2S3</w:instrText>
            </w:r>
            <w:r w:rsidRPr="00B50702">
              <w:rPr>
                <w:color w:val="000000"/>
                <w:sz w:val="21"/>
                <w:szCs w:val="21"/>
              </w:rPr>
              <w:instrText>复合材料通过络合和氧化还原反应协同捕获碘蒸气</w:instrText>
            </w:r>
            <w:r w:rsidRPr="00B50702">
              <w:rPr>
                <w:color w:val="000000"/>
                <w:sz w:val="21"/>
                <w:szCs w:val="21"/>
              </w:rPr>
              <w:instrText xml:space="preserve">","page":"160096","source":"DOI.org (Crossref)","title":"Fan-shaped polypyrrole(Ppy)-Sb2S3 composite for synergistic capture of iodine vapor via complexation and REDOX reactions","volume":"506","author":[{"family":"Qiao","given":"Bo"},{"family":"Li","given":"Wu"},{"family":"Wang","given":"Chaonan"},{"family":"Song","given":"Zeqin"},{"family":"Miao","given":"Chang"},{"family":"Ma","given":"Shulan"},{"family":"Yao","given":"Huiqin"}],"issued":{"date-parts":[["2025",1]]}}}],"schema":"https://github.com/citation-style-language/schema/raw/master/csl-citation.json"} </w:instrText>
            </w:r>
            <w:r w:rsidRPr="00B50702">
              <w:rPr>
                <w:color w:val="000000"/>
                <w:sz w:val="21"/>
                <w:szCs w:val="21"/>
              </w:rPr>
              <w:fldChar w:fldCharType="separate"/>
            </w:r>
            <w:r w:rsidRPr="00B50702">
              <w:rPr>
                <w:sz w:val="21"/>
              </w:rPr>
              <w:t>[21]</w:t>
            </w:r>
            <w:r w:rsidRPr="00B50702">
              <w:rPr>
                <w:color w:val="000000"/>
                <w:sz w:val="21"/>
                <w:szCs w:val="21"/>
              </w:rPr>
              <w:fldChar w:fldCharType="end"/>
            </w:r>
          </w:p>
        </w:tc>
      </w:tr>
      <w:tr w:rsidR="007E3433" w:rsidRPr="00B50702" w14:paraId="67B0E62E" w14:textId="77777777" w:rsidTr="003534D2">
        <w:trPr>
          <w:jc w:val="center"/>
        </w:trPr>
        <w:tc>
          <w:tcPr>
            <w:tcW w:w="724" w:type="pct"/>
            <w:shd w:val="clear" w:color="auto" w:fill="FFFFFF"/>
            <w:vAlign w:val="center"/>
          </w:tcPr>
          <w:p w14:paraId="64475EF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d</w:t>
            </w:r>
          </w:p>
        </w:tc>
        <w:tc>
          <w:tcPr>
            <w:tcW w:w="1326" w:type="pct"/>
            <w:shd w:val="clear" w:color="auto" w:fill="FFFFFF"/>
            <w:vAlign w:val="center"/>
          </w:tcPr>
          <w:p w14:paraId="2113152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DKP-4B</w:t>
            </w:r>
          </w:p>
        </w:tc>
        <w:tc>
          <w:tcPr>
            <w:tcW w:w="591" w:type="pct"/>
            <w:shd w:val="clear" w:color="auto" w:fill="FFFFFF"/>
            <w:vAlign w:val="center"/>
          </w:tcPr>
          <w:p w14:paraId="74204B5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75</w:t>
            </w:r>
          </w:p>
        </w:tc>
        <w:tc>
          <w:tcPr>
            <w:tcW w:w="609" w:type="pct"/>
            <w:shd w:val="clear" w:color="auto" w:fill="FFFFFF"/>
            <w:vAlign w:val="center"/>
          </w:tcPr>
          <w:p w14:paraId="15F658D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120</w:t>
            </w:r>
          </w:p>
        </w:tc>
        <w:tc>
          <w:tcPr>
            <w:tcW w:w="685" w:type="pct"/>
            <w:shd w:val="clear" w:color="auto" w:fill="FFFFFF"/>
            <w:vAlign w:val="center"/>
          </w:tcPr>
          <w:p w14:paraId="26B9FD1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3.9</w:t>
            </w:r>
          </w:p>
        </w:tc>
        <w:tc>
          <w:tcPr>
            <w:tcW w:w="1065" w:type="pct"/>
            <w:shd w:val="clear" w:color="auto" w:fill="FFFFFF"/>
            <w:vAlign w:val="center"/>
          </w:tcPr>
          <w:p w14:paraId="482FAA9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{"citationID":"6LQ97oC8","properties":{"formattedCitation":"[22]","plainCitation":"[22]","noteIndex":0},"citationItems":[{"id":754,"uris":["http://zotero.org/users/14169885/items/RPUTWPMY"],"itemData":{"id":754,"type":"article-journal","abstract":"Task-specific ionic-engineered covalent organic polymers present promising frameworks for sustainable catalysis and environmental remediation, addressing a significant challenge in the field. In this study, a series of dualanionic imidazole-based organic polymer materials, referred as DKP-2X (X = Cl, Br, I) and DKP-nBr (n = 3, 4), were synthesized based on the Debus-Radziszewski reaction and post-modification strategies. The fundamental properties of these polymers were systematically characterized using FT-IR, TG, SEM, XPS, and 13C NMR, confirming the successful synthesis of these organic polymers. Under mild conditions (70 ◦C, without the use of metals, solvents, or co-catalysts), the DKP-4Br catalyst achieved a CO2 conversion of up to 91.2% within 14 h. Furthermore, DKP-4Br exhibited exceptional performance in iodine adsorption, with a capacity of 3.9 g•g 1. According to DFT calculation, CH3COO– in DKP-4Br can activate CO2, Br– is attributed to attack the epoxide and promotes the cycloaddition reaction. There is a strong interaction force between iodine molecules and the anions, imidazole rings and benzene rings in DKP-4Br, which enhances the adsorption and storage properties. This study provides significant insights into the potential applications of imidazole-based organic polymers for CO2 conversion and environmental remediation.","container-title":"Chemical Engineering Journal","DOI":"10.1016/j.cej.2025.160676","ISSN":"13858947","journalAbbreviation":"Chemical Engineering Journal","language":"en","note":"abstractTranslation: </w:instrText>
            </w:r>
            <w:r w:rsidRPr="00B50702">
              <w:rPr>
                <w:color w:val="000000"/>
                <w:sz w:val="21"/>
                <w:szCs w:val="21"/>
              </w:rPr>
              <w:instrText>特定任务的离子工程共价有机聚合物为可持续催化和环境修复提供了有前景的框架，解决了该领域的一个重大挑战。在这项研究中，基于</w:instrText>
            </w:r>
            <w:r w:rsidRPr="00B50702">
              <w:rPr>
                <w:color w:val="000000"/>
                <w:sz w:val="21"/>
                <w:szCs w:val="21"/>
              </w:rPr>
              <w:instrText>Debus-Raziszewski</w:instrText>
            </w:r>
            <w:r w:rsidRPr="00B50702">
              <w:rPr>
                <w:color w:val="000000"/>
                <w:sz w:val="21"/>
                <w:szCs w:val="21"/>
              </w:rPr>
              <w:instrText>反应和后改性策略，合成了一系列双阴离子咪唑基有机聚合物材料，称为</w:instrText>
            </w:r>
            <w:r w:rsidRPr="00B50702">
              <w:rPr>
                <w:color w:val="000000"/>
                <w:sz w:val="21"/>
                <w:szCs w:val="21"/>
              </w:rPr>
              <w:instrText>DKP-2X</w:instrText>
            </w:r>
            <w:r w:rsidRPr="00B50702">
              <w:rPr>
                <w:color w:val="000000"/>
                <w:sz w:val="21"/>
                <w:szCs w:val="21"/>
              </w:rPr>
              <w:instrText>（</w:instrText>
            </w:r>
            <w:r w:rsidRPr="00B50702">
              <w:rPr>
                <w:color w:val="000000"/>
                <w:sz w:val="21"/>
                <w:szCs w:val="21"/>
              </w:rPr>
              <w:instrText>X=Cl</w:instrText>
            </w:r>
            <w:r w:rsidRPr="00B50702">
              <w:rPr>
                <w:color w:val="000000"/>
                <w:sz w:val="21"/>
                <w:szCs w:val="21"/>
              </w:rPr>
              <w:instrText>，</w:instrText>
            </w:r>
            <w:r w:rsidRPr="00B50702">
              <w:rPr>
                <w:color w:val="000000"/>
                <w:sz w:val="21"/>
                <w:szCs w:val="21"/>
              </w:rPr>
              <w:instrText>Br</w:instrText>
            </w:r>
            <w:r w:rsidRPr="00B50702">
              <w:rPr>
                <w:color w:val="000000"/>
                <w:sz w:val="21"/>
                <w:szCs w:val="21"/>
              </w:rPr>
              <w:instrText>，</w:instrText>
            </w:r>
            <w:r w:rsidRPr="00B50702">
              <w:rPr>
                <w:color w:val="000000"/>
                <w:sz w:val="21"/>
                <w:szCs w:val="21"/>
              </w:rPr>
              <w:instrText>I</w:instrText>
            </w:r>
            <w:r w:rsidRPr="00B50702">
              <w:rPr>
                <w:color w:val="000000"/>
                <w:sz w:val="21"/>
                <w:szCs w:val="21"/>
              </w:rPr>
              <w:instrText>）和</w:instrText>
            </w:r>
            <w:r w:rsidRPr="00B50702">
              <w:rPr>
                <w:color w:val="000000"/>
                <w:sz w:val="21"/>
                <w:szCs w:val="21"/>
              </w:rPr>
              <w:instrText>DKP-nBr</w:instrText>
            </w:r>
            <w:r w:rsidRPr="00B50702">
              <w:rPr>
                <w:color w:val="000000"/>
                <w:sz w:val="21"/>
                <w:szCs w:val="21"/>
              </w:rPr>
              <w:instrText>（</w:instrText>
            </w:r>
            <w:r w:rsidRPr="00B50702">
              <w:rPr>
                <w:color w:val="000000"/>
                <w:sz w:val="21"/>
                <w:szCs w:val="21"/>
              </w:rPr>
              <w:instrText>n=3,4</w:instrText>
            </w:r>
            <w:r w:rsidRPr="00B50702">
              <w:rPr>
                <w:color w:val="000000"/>
                <w:sz w:val="21"/>
                <w:szCs w:val="21"/>
              </w:rPr>
              <w:instrText>）。使用</w:instrText>
            </w:r>
            <w:r w:rsidRPr="00B50702">
              <w:rPr>
                <w:color w:val="000000"/>
                <w:sz w:val="21"/>
                <w:szCs w:val="21"/>
              </w:rPr>
              <w:instrText>FT-IR</w:instrText>
            </w:r>
            <w:r w:rsidRPr="00B50702">
              <w:rPr>
                <w:color w:val="000000"/>
                <w:sz w:val="21"/>
                <w:szCs w:val="21"/>
              </w:rPr>
              <w:instrText>、</w:instrText>
            </w:r>
            <w:r w:rsidRPr="00B50702">
              <w:rPr>
                <w:color w:val="000000"/>
                <w:sz w:val="21"/>
                <w:szCs w:val="21"/>
              </w:rPr>
              <w:instrText>TG</w:instrText>
            </w:r>
            <w:r w:rsidRPr="00B50702">
              <w:rPr>
                <w:color w:val="000000"/>
                <w:sz w:val="21"/>
                <w:szCs w:val="21"/>
              </w:rPr>
              <w:instrText>、</w:instrText>
            </w:r>
            <w:r w:rsidRPr="00B50702">
              <w:rPr>
                <w:color w:val="000000"/>
                <w:sz w:val="21"/>
                <w:szCs w:val="21"/>
              </w:rPr>
              <w:instrText>SEM</w:instrText>
            </w:r>
            <w:r w:rsidRPr="00B50702">
              <w:rPr>
                <w:color w:val="000000"/>
                <w:sz w:val="21"/>
                <w:szCs w:val="21"/>
              </w:rPr>
              <w:instrText>、</w:instrText>
            </w:r>
            <w:r w:rsidRPr="00B50702">
              <w:rPr>
                <w:color w:val="000000"/>
                <w:sz w:val="21"/>
                <w:szCs w:val="21"/>
              </w:rPr>
              <w:instrText>XPS</w:instrText>
            </w:r>
            <w:r w:rsidRPr="00B50702">
              <w:rPr>
                <w:color w:val="000000"/>
                <w:sz w:val="21"/>
                <w:szCs w:val="21"/>
              </w:rPr>
              <w:instrText>和</w:instrText>
            </w:r>
            <w:r w:rsidRPr="00B50702">
              <w:rPr>
                <w:color w:val="000000"/>
                <w:sz w:val="21"/>
                <w:szCs w:val="21"/>
              </w:rPr>
              <w:instrText>13C NMR</w:instrText>
            </w:r>
            <w:r w:rsidRPr="00B50702">
              <w:rPr>
                <w:color w:val="000000"/>
                <w:sz w:val="21"/>
                <w:szCs w:val="21"/>
              </w:rPr>
              <w:instrText>系统地表征了这些聚合物的基本性质，证实了这些有机聚合物的成功合成。在温和条件下（</w:instrText>
            </w:r>
            <w:r w:rsidRPr="00B50702">
              <w:rPr>
                <w:color w:val="000000"/>
                <w:sz w:val="21"/>
                <w:szCs w:val="21"/>
              </w:rPr>
              <w:instrText>70℃</w:instrText>
            </w:r>
            <w:r w:rsidRPr="00B50702">
              <w:rPr>
                <w:color w:val="000000"/>
                <w:sz w:val="21"/>
                <w:szCs w:val="21"/>
              </w:rPr>
              <w:instrText>，不使用金属、溶剂或助催化剂），</w:instrText>
            </w:r>
            <w:r w:rsidRPr="00B50702">
              <w:rPr>
                <w:color w:val="000000"/>
                <w:sz w:val="21"/>
                <w:szCs w:val="21"/>
              </w:rPr>
              <w:instrText>DKP-4Br</w:instrText>
            </w:r>
            <w:r w:rsidRPr="00B50702">
              <w:rPr>
                <w:color w:val="000000"/>
                <w:sz w:val="21"/>
                <w:szCs w:val="21"/>
              </w:rPr>
              <w:instrText>催化剂在</w:instrText>
            </w:r>
            <w:r w:rsidRPr="00B50702">
              <w:rPr>
                <w:color w:val="000000"/>
                <w:sz w:val="21"/>
                <w:szCs w:val="21"/>
              </w:rPr>
              <w:instrText>14</w:instrText>
            </w:r>
            <w:r w:rsidRPr="00B50702">
              <w:rPr>
                <w:color w:val="000000"/>
                <w:sz w:val="21"/>
                <w:szCs w:val="21"/>
              </w:rPr>
              <w:instrText>小时内实现了高达</w:instrText>
            </w:r>
            <w:r w:rsidRPr="00B50702">
              <w:rPr>
                <w:color w:val="000000"/>
                <w:sz w:val="21"/>
                <w:szCs w:val="21"/>
              </w:rPr>
              <w:instrText>91.2%</w:instrText>
            </w:r>
            <w:r w:rsidRPr="00B50702">
              <w:rPr>
                <w:color w:val="000000"/>
                <w:sz w:val="21"/>
                <w:szCs w:val="21"/>
              </w:rPr>
              <w:instrText>的二氧化碳转化率。此外，</w:instrText>
            </w:r>
            <w:r w:rsidRPr="00B50702">
              <w:rPr>
                <w:color w:val="000000"/>
                <w:sz w:val="21"/>
                <w:szCs w:val="21"/>
              </w:rPr>
              <w:instrText>DKP-4B</w:instrText>
            </w:r>
            <w:r w:rsidRPr="00B50702">
              <w:rPr>
                <w:color w:val="000000"/>
                <w:sz w:val="21"/>
                <w:szCs w:val="21"/>
              </w:rPr>
              <w:instrText>在碘吸附方面表现出卓越的性能，容量为</w:instrText>
            </w:r>
            <w:r w:rsidRPr="00B50702">
              <w:rPr>
                <w:color w:val="000000"/>
                <w:sz w:val="21"/>
                <w:szCs w:val="21"/>
              </w:rPr>
              <w:instrText>3.9 g•g 1</w:instrText>
            </w:r>
            <w:r w:rsidRPr="00B50702">
              <w:rPr>
                <w:color w:val="000000"/>
                <w:sz w:val="21"/>
                <w:szCs w:val="21"/>
              </w:rPr>
              <w:instrText>。根据</w:instrText>
            </w:r>
            <w:r w:rsidRPr="00B50702">
              <w:rPr>
                <w:color w:val="000000"/>
                <w:sz w:val="21"/>
                <w:szCs w:val="21"/>
              </w:rPr>
              <w:instrText>DFT</w:instrText>
            </w:r>
            <w:r w:rsidRPr="00B50702">
              <w:rPr>
                <w:color w:val="000000"/>
                <w:sz w:val="21"/>
                <w:szCs w:val="21"/>
              </w:rPr>
              <w:instrText>计算，</w:instrText>
            </w:r>
            <w:r w:rsidRPr="00B50702">
              <w:rPr>
                <w:color w:val="000000"/>
                <w:sz w:val="21"/>
                <w:szCs w:val="21"/>
              </w:rPr>
              <w:instrText>DKP-4Br</w:instrText>
            </w:r>
            <w:r w:rsidRPr="00B50702">
              <w:rPr>
                <w:color w:val="000000"/>
                <w:sz w:val="21"/>
                <w:szCs w:val="21"/>
              </w:rPr>
              <w:instrText>中的</w:instrText>
            </w:r>
            <w:r w:rsidRPr="00B50702">
              <w:rPr>
                <w:color w:val="000000"/>
                <w:sz w:val="21"/>
                <w:szCs w:val="21"/>
              </w:rPr>
              <w:instrText>CH3COO</w:instrText>
            </w:r>
            <w:r w:rsidRPr="00B50702">
              <w:rPr>
                <w:color w:val="000000"/>
                <w:sz w:val="21"/>
                <w:szCs w:val="21"/>
              </w:rPr>
              <w:instrText>可以激活</w:instrText>
            </w:r>
            <w:r w:rsidRPr="00B50702">
              <w:rPr>
                <w:color w:val="000000"/>
                <w:sz w:val="21"/>
                <w:szCs w:val="21"/>
              </w:rPr>
              <w:instrText>CO2</w:instrText>
            </w:r>
            <w:r w:rsidRPr="00B50702">
              <w:rPr>
                <w:color w:val="000000"/>
                <w:sz w:val="21"/>
                <w:szCs w:val="21"/>
              </w:rPr>
              <w:instrText>，</w:instrText>
            </w:r>
            <w:r w:rsidRPr="00B50702">
              <w:rPr>
                <w:color w:val="000000"/>
                <w:sz w:val="21"/>
                <w:szCs w:val="21"/>
              </w:rPr>
              <w:instrText>Br</w:instrText>
            </w:r>
            <w:r w:rsidRPr="00B50702">
              <w:rPr>
                <w:color w:val="000000"/>
                <w:sz w:val="21"/>
                <w:szCs w:val="21"/>
              </w:rPr>
              <w:instrText>被认为可以攻击环氧化物并促进环加成反应。</w:instrText>
            </w:r>
            <w:r w:rsidRPr="00B50702">
              <w:rPr>
                <w:color w:val="000000"/>
                <w:sz w:val="21"/>
                <w:szCs w:val="21"/>
              </w:rPr>
              <w:instrText>DKP-4Br</w:instrText>
            </w:r>
            <w:r w:rsidRPr="00B50702">
              <w:rPr>
                <w:color w:val="000000"/>
                <w:sz w:val="21"/>
                <w:szCs w:val="21"/>
              </w:rPr>
              <w:instrText>中的碘分子与阴离子、咪唑环和苯环之间存在很强的相互作用力，这增强了吸附和储存性能。本研究为咪唑基有机聚合物在二氧化碳转化和环境修复方面的潜在应用提供了重要见解。</w:instrText>
            </w:r>
            <w:r w:rsidRPr="00B50702">
              <w:rPr>
                <w:color w:val="000000"/>
                <w:sz w:val="21"/>
                <w:szCs w:val="21"/>
              </w:rPr>
              <w:instrText xml:space="preserve">\ntitleTranslation: </w:instrText>
            </w:r>
            <w:r w:rsidRPr="00B50702">
              <w:rPr>
                <w:color w:val="000000"/>
                <w:sz w:val="21"/>
                <w:szCs w:val="21"/>
              </w:rPr>
              <w:instrText>新型双阴离子咪唑基有机聚合物在</w:instrText>
            </w:r>
            <w:r w:rsidRPr="00B50702">
              <w:rPr>
                <w:color w:val="000000"/>
                <w:sz w:val="21"/>
                <w:szCs w:val="21"/>
              </w:rPr>
              <w:instrText>CO2</w:instrText>
            </w:r>
            <w:r w:rsidRPr="00B50702">
              <w:rPr>
                <w:color w:val="000000"/>
                <w:sz w:val="21"/>
                <w:szCs w:val="21"/>
              </w:rPr>
              <w:instrText>转化和碘蒸气吸附中的应用研究</w:instrText>
            </w:r>
            <w:r w:rsidRPr="00B50702">
              <w:rPr>
                <w:color w:val="000000"/>
                <w:sz w:val="21"/>
                <w:szCs w:val="21"/>
              </w:rPr>
              <w:instrText xml:space="preserve">","page":"160676","source":"DOI.org (Crossref)","title":"Applied investigation of novel dual-anionic imidazolium-based organic polymers for CO2 conversion and iodine vapor adsorption","volume":"507","author":[{"family":"Li","given":"Shuangshuo"},{"family":"Wang","given":"Xionglei"},{"family":"Liu","given":"Xuanbo"},{"family":"Zhang","given":"Yuhang"},{"family":"Wang","given":"Chunfeng"},{"family":"Yang","given":"Jiajia"},{"family":"Hao","given":"Yongjing"},{"family":"Zhu","given":"Zheng"},{"family":"Yan","given":"Xiuli"},{"family":"Chang","given":"Tao"}],"issued":{"date-parts":[["2025",3]]}}}],"schema":"https://github.com/citation-style-language/schema/raw/master/csl-citation.json"} </w:instrText>
            </w:r>
            <w:r w:rsidRPr="00B50702">
              <w:rPr>
                <w:color w:val="000000"/>
                <w:sz w:val="21"/>
                <w:szCs w:val="21"/>
              </w:rPr>
              <w:fldChar w:fldCharType="separate"/>
            </w:r>
            <w:r w:rsidRPr="00B50702">
              <w:rPr>
                <w:sz w:val="21"/>
              </w:rPr>
              <w:t>[22]</w:t>
            </w:r>
            <w:r w:rsidRPr="00B50702">
              <w:rPr>
                <w:color w:val="000000"/>
                <w:sz w:val="21"/>
                <w:szCs w:val="21"/>
              </w:rPr>
              <w:fldChar w:fldCharType="end"/>
            </w:r>
            <w:r w:rsidRPr="00B50702">
              <w:rPr>
                <w:color w:val="000000"/>
                <w:sz w:val="21"/>
                <w:szCs w:val="21"/>
              </w:rPr>
              <w:t xml:space="preserve"> </w:t>
            </w:r>
          </w:p>
        </w:tc>
      </w:tr>
      <w:tr w:rsidR="007E3433" w:rsidRPr="00B50702" w14:paraId="74D9147F" w14:textId="77777777" w:rsidTr="003534D2">
        <w:trPr>
          <w:jc w:val="center"/>
        </w:trPr>
        <w:tc>
          <w:tcPr>
            <w:tcW w:w="724" w:type="pct"/>
            <w:shd w:val="clear" w:color="auto" w:fill="FFFFFF"/>
            <w:vAlign w:val="center"/>
          </w:tcPr>
          <w:p w14:paraId="087B65C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e</w:t>
            </w:r>
          </w:p>
        </w:tc>
        <w:tc>
          <w:tcPr>
            <w:tcW w:w="1326" w:type="pct"/>
            <w:shd w:val="clear" w:color="auto" w:fill="FFFFFF"/>
            <w:vAlign w:val="center"/>
          </w:tcPr>
          <w:p w14:paraId="00FD435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CAU-1</w:t>
            </w:r>
          </w:p>
        </w:tc>
        <w:tc>
          <w:tcPr>
            <w:tcW w:w="591" w:type="pct"/>
            <w:shd w:val="clear" w:color="auto" w:fill="FFFFFF"/>
            <w:vAlign w:val="center"/>
          </w:tcPr>
          <w:p w14:paraId="0F0C25B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130</w:t>
            </w:r>
          </w:p>
        </w:tc>
        <w:tc>
          <w:tcPr>
            <w:tcW w:w="609" w:type="pct"/>
            <w:shd w:val="clear" w:color="auto" w:fill="FFFFFF"/>
            <w:vAlign w:val="center"/>
          </w:tcPr>
          <w:p w14:paraId="601076B0"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18</w:t>
            </w:r>
          </w:p>
        </w:tc>
        <w:tc>
          <w:tcPr>
            <w:tcW w:w="685" w:type="pct"/>
            <w:shd w:val="clear" w:color="auto" w:fill="FFFFFF"/>
            <w:vAlign w:val="center"/>
          </w:tcPr>
          <w:p w14:paraId="72A617A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1.28</w:t>
            </w:r>
          </w:p>
        </w:tc>
        <w:tc>
          <w:tcPr>
            <w:tcW w:w="1065" w:type="pct"/>
            <w:shd w:val="clear" w:color="auto" w:fill="FFFFFF"/>
            <w:vAlign w:val="center"/>
          </w:tcPr>
          <w:p w14:paraId="68E6AF1F"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MCizTBjf","properties":{"formattedCitation":"[23]","plainCitation":"[23]","noteIndex":0},"citationItems":[{"id":704,"uris":["http://zotero.org/users/14169885/items/FXAF4884","http://zotero.org/users/14169885/items/TKFJDLRR"],"itemData":{"id":704,"type":"article-journal","abstract":"The capture of radioactive gaseous iodine is essential for the sustainable development of nuclear energy and the long-term safe supply of nuclear fuel. However, the presence of nitrogen oxides in the exhaust gas generated during spent fuel reprocessing poses significant challenges to the stability of iodine adsorbents. It is crucial to consider the impact of NOx on the structure and adsorption performance of the materials. We report here the development of an aluminum-based metal–organic framework (MOF), CAU-1, engineered for efficient iodine capture. Synthesized through a cost-effective and straightforward method, CAU-1 exhibits excellent structural stability and robust adsorption performance, with a maximum iodine vapor adsorption capacity of 1277.18 mg/g at 130 °C and methyl iodide adsorption capacity of 533.10 mg/g, highlighting its potential for efficient iodine vapor removal. Notably, CAU-1 retains its structural integrity and iodine adsorption performance even in the presence of 5 % NO2, maintaining high adsorption capacities for I2 (1129.41 mg/g) and CH3I (436.79 mg/g). Mechanistic analysis revealed the key role of the –NH2 group in the iodine adsorption process. Additionally, co-adsorption studies with I2 and NO2 showed that CAU-1 can still capture iodine in the form of both I2 and I3- in the presence of NO2. This study illustrates the potential of CAU-1 as an effective industrial adsorbent for removing iodine from NO2-containing gas streams.","container-title":"Chemical Engineering Journal","DOI":"10.1016/j.cej.2025.160829","ISSN":"1385-8947","journalAbbreviation":"Chemical Engineering Journal","language":"en","note":"abstractTranslation: </w:instrText>
            </w:r>
            <w:r w:rsidRPr="00B50702">
              <w:rPr>
                <w:color w:val="000000"/>
                <w:sz w:val="21"/>
                <w:szCs w:val="21"/>
              </w:rPr>
              <w:instrText>捕获放射性气态碘对于核能的可持续发展和核燃料的长期安全供应至关重要。然而，乏燃料后处理过程中产生的废气中氮氧化物的存在对碘吸附剂的稳定性构成了重大挑战。考虑氮氧化物对材料结构和吸附性能的影响至关重要。我们在这里报告了一种铝基金属有机框架（</w:instrText>
            </w:r>
            <w:r w:rsidRPr="00B50702">
              <w:rPr>
                <w:color w:val="000000"/>
                <w:sz w:val="21"/>
                <w:szCs w:val="21"/>
              </w:rPr>
              <w:instrText>MOF</w:instrText>
            </w:r>
            <w:r w:rsidRPr="00B50702">
              <w:rPr>
                <w:color w:val="000000"/>
                <w:sz w:val="21"/>
                <w:szCs w:val="21"/>
              </w:rPr>
              <w:instrText>）</w:instrText>
            </w:r>
            <w:r w:rsidRPr="00B50702">
              <w:rPr>
                <w:color w:val="000000"/>
                <w:sz w:val="21"/>
                <w:szCs w:val="21"/>
              </w:rPr>
              <w:instrText>CAU-1</w:instrText>
            </w:r>
            <w:r w:rsidRPr="00B50702">
              <w:rPr>
                <w:color w:val="000000"/>
                <w:sz w:val="21"/>
                <w:szCs w:val="21"/>
              </w:rPr>
              <w:instrText>的开发，该框架专为高效碘捕获而设计。</w:instrText>
            </w:r>
            <w:r w:rsidRPr="00B50702">
              <w:rPr>
                <w:color w:val="000000"/>
                <w:sz w:val="21"/>
                <w:szCs w:val="21"/>
              </w:rPr>
              <w:instrText>CAU-1</w:instrText>
            </w:r>
            <w:r w:rsidRPr="00B50702">
              <w:rPr>
                <w:color w:val="000000"/>
                <w:sz w:val="21"/>
                <w:szCs w:val="21"/>
              </w:rPr>
              <w:instrText>是通过一种成本效益高、简单的方法合成的，具有优异的结构稳定性和稳健的吸附性能，在</w:instrText>
            </w:r>
            <w:r w:rsidRPr="00B50702">
              <w:rPr>
                <w:color w:val="000000"/>
                <w:sz w:val="21"/>
                <w:szCs w:val="21"/>
              </w:rPr>
              <w:instrText>130°C</w:instrText>
            </w:r>
            <w:r w:rsidRPr="00B50702">
              <w:rPr>
                <w:color w:val="000000"/>
                <w:sz w:val="21"/>
                <w:szCs w:val="21"/>
              </w:rPr>
              <w:instrText>下的最大碘蒸气吸附容量为</w:instrText>
            </w:r>
            <w:r w:rsidRPr="00B50702">
              <w:rPr>
                <w:color w:val="000000"/>
                <w:sz w:val="21"/>
                <w:szCs w:val="21"/>
              </w:rPr>
              <w:instrText>1277.18 mg/g</w:instrText>
            </w:r>
            <w:r w:rsidRPr="00B50702">
              <w:rPr>
                <w:color w:val="000000"/>
                <w:sz w:val="21"/>
                <w:szCs w:val="21"/>
              </w:rPr>
              <w:instrText>，甲基碘吸附容量为</w:instrText>
            </w:r>
            <w:r w:rsidRPr="00B50702">
              <w:rPr>
                <w:color w:val="000000"/>
                <w:sz w:val="21"/>
                <w:szCs w:val="21"/>
              </w:rPr>
              <w:instrText>533.10 mg/g</w:instrText>
            </w:r>
            <w:r w:rsidRPr="00B50702">
              <w:rPr>
                <w:color w:val="000000"/>
                <w:sz w:val="21"/>
                <w:szCs w:val="21"/>
              </w:rPr>
              <w:instrText>，突显了其有效去除碘蒸气的潜力。值得注意的是，即使在</w:instrText>
            </w:r>
            <w:r w:rsidRPr="00B50702">
              <w:rPr>
                <w:color w:val="000000"/>
                <w:sz w:val="21"/>
                <w:szCs w:val="21"/>
              </w:rPr>
              <w:instrText>5%</w:instrText>
            </w:r>
            <w:r w:rsidRPr="00B50702">
              <w:rPr>
                <w:color w:val="000000"/>
                <w:sz w:val="21"/>
                <w:szCs w:val="21"/>
              </w:rPr>
              <w:instrText>的</w:instrText>
            </w:r>
            <w:r w:rsidRPr="00B50702">
              <w:rPr>
                <w:color w:val="000000"/>
                <w:sz w:val="21"/>
                <w:szCs w:val="21"/>
              </w:rPr>
              <w:instrText>NO2</w:instrText>
            </w:r>
            <w:r w:rsidRPr="00B50702">
              <w:rPr>
                <w:color w:val="000000"/>
                <w:sz w:val="21"/>
                <w:szCs w:val="21"/>
              </w:rPr>
              <w:instrText>存在下，</w:instrText>
            </w:r>
            <w:r w:rsidRPr="00B50702">
              <w:rPr>
                <w:color w:val="000000"/>
                <w:sz w:val="21"/>
                <w:szCs w:val="21"/>
              </w:rPr>
              <w:instrText>CAU-1</w:instrText>
            </w:r>
            <w:r w:rsidRPr="00B50702">
              <w:rPr>
                <w:color w:val="000000"/>
                <w:sz w:val="21"/>
                <w:szCs w:val="21"/>
              </w:rPr>
              <w:instrText>仍保持其结构完整性和碘吸附性能，对</w:instrText>
            </w:r>
            <w:r w:rsidRPr="00B50702">
              <w:rPr>
                <w:color w:val="000000"/>
                <w:sz w:val="21"/>
                <w:szCs w:val="21"/>
              </w:rPr>
              <w:instrText>I2</w:instrText>
            </w:r>
            <w:r w:rsidRPr="00B50702">
              <w:rPr>
                <w:color w:val="000000"/>
                <w:sz w:val="21"/>
                <w:szCs w:val="21"/>
              </w:rPr>
              <w:instrText>（</w:instrText>
            </w:r>
            <w:r w:rsidRPr="00B50702">
              <w:rPr>
                <w:color w:val="000000"/>
                <w:sz w:val="21"/>
                <w:szCs w:val="21"/>
              </w:rPr>
              <w:instrText>1129.41mg/g</w:instrText>
            </w:r>
            <w:r w:rsidRPr="00B50702">
              <w:rPr>
                <w:color w:val="000000"/>
                <w:sz w:val="21"/>
                <w:szCs w:val="21"/>
              </w:rPr>
              <w:instrText>）和</w:instrText>
            </w:r>
            <w:r w:rsidRPr="00B50702">
              <w:rPr>
                <w:color w:val="000000"/>
                <w:sz w:val="21"/>
                <w:szCs w:val="21"/>
              </w:rPr>
              <w:instrText>CH3I</w:instrText>
            </w:r>
            <w:r w:rsidRPr="00B50702">
              <w:rPr>
                <w:color w:val="000000"/>
                <w:sz w:val="21"/>
                <w:szCs w:val="21"/>
              </w:rPr>
              <w:instrText>（</w:instrText>
            </w:r>
            <w:r w:rsidRPr="00B50702">
              <w:rPr>
                <w:color w:val="000000"/>
                <w:sz w:val="21"/>
                <w:szCs w:val="21"/>
              </w:rPr>
              <w:instrText>436.79mg/g</w:instrText>
            </w:r>
            <w:r w:rsidRPr="00B50702">
              <w:rPr>
                <w:color w:val="000000"/>
                <w:sz w:val="21"/>
                <w:szCs w:val="21"/>
              </w:rPr>
              <w:instrText>）保持高吸附能力。机理分析揭示了</w:instrText>
            </w:r>
            <w:r w:rsidRPr="00B50702">
              <w:rPr>
                <w:color w:val="000000"/>
                <w:sz w:val="21"/>
                <w:szCs w:val="21"/>
              </w:rPr>
              <w:instrText>-NH2</w:instrText>
            </w:r>
            <w:r w:rsidRPr="00B50702">
              <w:rPr>
                <w:color w:val="000000"/>
                <w:sz w:val="21"/>
                <w:szCs w:val="21"/>
              </w:rPr>
              <w:instrText>基团在碘吸附过程中的关键作用。此外，对</w:instrText>
            </w:r>
            <w:r w:rsidRPr="00B50702">
              <w:rPr>
                <w:color w:val="000000"/>
                <w:sz w:val="21"/>
                <w:szCs w:val="21"/>
              </w:rPr>
              <w:instrText>I2</w:instrText>
            </w:r>
            <w:r w:rsidRPr="00B50702">
              <w:rPr>
                <w:color w:val="000000"/>
                <w:sz w:val="21"/>
                <w:szCs w:val="21"/>
              </w:rPr>
              <w:instrText>和</w:instrText>
            </w:r>
            <w:r w:rsidRPr="00B50702">
              <w:rPr>
                <w:color w:val="000000"/>
                <w:sz w:val="21"/>
                <w:szCs w:val="21"/>
              </w:rPr>
              <w:instrText>NO2</w:instrText>
            </w:r>
            <w:r w:rsidRPr="00B50702">
              <w:rPr>
                <w:color w:val="000000"/>
                <w:sz w:val="21"/>
                <w:szCs w:val="21"/>
              </w:rPr>
              <w:instrText>的共吸附研究表明，在</w:instrText>
            </w:r>
            <w:r w:rsidRPr="00B50702">
              <w:rPr>
                <w:color w:val="000000"/>
                <w:sz w:val="21"/>
                <w:szCs w:val="21"/>
              </w:rPr>
              <w:instrText>NO2</w:instrText>
            </w:r>
            <w:r w:rsidRPr="00B50702">
              <w:rPr>
                <w:color w:val="000000"/>
                <w:sz w:val="21"/>
                <w:szCs w:val="21"/>
              </w:rPr>
              <w:instrText>存在的情况下，</w:instrText>
            </w:r>
            <w:r w:rsidRPr="00B50702">
              <w:rPr>
                <w:color w:val="000000"/>
                <w:sz w:val="21"/>
                <w:szCs w:val="21"/>
              </w:rPr>
              <w:instrText>CAU-1</w:instrText>
            </w:r>
            <w:r w:rsidRPr="00B50702">
              <w:rPr>
                <w:color w:val="000000"/>
                <w:sz w:val="21"/>
                <w:szCs w:val="21"/>
              </w:rPr>
              <w:instrText>仍然可以以</w:instrText>
            </w:r>
            <w:r w:rsidRPr="00B50702">
              <w:rPr>
                <w:color w:val="000000"/>
                <w:sz w:val="21"/>
                <w:szCs w:val="21"/>
              </w:rPr>
              <w:instrText>I2</w:instrText>
            </w:r>
            <w:r w:rsidRPr="00B50702">
              <w:rPr>
                <w:color w:val="000000"/>
                <w:sz w:val="21"/>
                <w:szCs w:val="21"/>
              </w:rPr>
              <w:instrText>和</w:instrText>
            </w:r>
            <w:r w:rsidRPr="00B50702">
              <w:rPr>
                <w:color w:val="000000"/>
                <w:sz w:val="21"/>
                <w:szCs w:val="21"/>
              </w:rPr>
              <w:instrText>I3-</w:instrText>
            </w:r>
            <w:r w:rsidRPr="00B50702">
              <w:rPr>
                <w:color w:val="000000"/>
                <w:sz w:val="21"/>
                <w:szCs w:val="21"/>
              </w:rPr>
              <w:instrText>的形式捕获碘。本研究说明了</w:instrText>
            </w:r>
            <w:r w:rsidRPr="00B50702">
              <w:rPr>
                <w:color w:val="000000"/>
                <w:sz w:val="21"/>
                <w:szCs w:val="21"/>
              </w:rPr>
              <w:instrText>CAU-1</w:instrText>
            </w:r>
            <w:r w:rsidRPr="00B50702">
              <w:rPr>
                <w:color w:val="000000"/>
                <w:sz w:val="21"/>
                <w:szCs w:val="21"/>
              </w:rPr>
              <w:instrText>作为从含</w:instrText>
            </w:r>
            <w:r w:rsidRPr="00B50702">
              <w:rPr>
                <w:color w:val="000000"/>
                <w:sz w:val="21"/>
                <w:szCs w:val="21"/>
              </w:rPr>
              <w:instrText>NO2</w:instrText>
            </w:r>
            <w:r w:rsidRPr="00B50702">
              <w:rPr>
                <w:color w:val="000000"/>
                <w:sz w:val="21"/>
                <w:szCs w:val="21"/>
              </w:rPr>
              <w:instrText>气流中去除碘的有效工业吸附剂的潜力。</w:instrText>
            </w:r>
            <w:r w:rsidRPr="00B50702">
              <w:rPr>
                <w:color w:val="000000"/>
                <w:sz w:val="21"/>
                <w:szCs w:val="21"/>
              </w:rPr>
              <w:instrText xml:space="preserve">\ntitleTranslation: </w:instrText>
            </w:r>
            <w:r w:rsidRPr="00B50702">
              <w:rPr>
                <w:color w:val="000000"/>
                <w:sz w:val="21"/>
                <w:szCs w:val="21"/>
              </w:rPr>
              <w:instrText>铝基</w:instrText>
            </w:r>
            <w:r w:rsidRPr="00B50702">
              <w:rPr>
                <w:color w:val="000000"/>
                <w:sz w:val="21"/>
                <w:szCs w:val="21"/>
              </w:rPr>
              <w:instrText>MOF</w:instrText>
            </w:r>
            <w:r w:rsidRPr="00B50702">
              <w:rPr>
                <w:color w:val="000000"/>
                <w:sz w:val="21"/>
                <w:szCs w:val="21"/>
              </w:rPr>
              <w:instrText>用于从含</w:instrText>
            </w:r>
            <w:r w:rsidRPr="00B50702">
              <w:rPr>
                <w:color w:val="000000"/>
                <w:sz w:val="21"/>
                <w:szCs w:val="21"/>
              </w:rPr>
              <w:instrText>NO2</w:instrText>
            </w:r>
            <w:r w:rsidRPr="00B50702">
              <w:rPr>
                <w:color w:val="000000"/>
                <w:sz w:val="21"/>
                <w:szCs w:val="21"/>
              </w:rPr>
              <w:instrText>的气流中高效捕获碘和甲基碘</w:instrText>
            </w:r>
            <w:r w:rsidRPr="00B50702">
              <w:rPr>
                <w:color w:val="000000"/>
                <w:sz w:val="21"/>
                <w:szCs w:val="21"/>
              </w:rPr>
              <w:instrText xml:space="preserve">","page":"160829","source":"ScienceDirect","title":"Aluminum-based MOF for efficient iodine and methyl iodide capture from NO2-containing gas streams","volume":"507","author":[{"family":"Chen","given":"Guangyuan"},{"family":"Wu","given":"Linzhen"},{"family":"Wang","given":"Zeru"},{"family":"Liu","given":"Ruixi"},{"family":"Tan","given":"Chuan"},{"family":"Tan","given":"Yi"},{"family":"Liu","given":"Yawen"},{"family":"He","given":"Miaomiao"},{"family":"Zhang","given":"Hao"},{"family":"Huang","given":"Yikun"},{"family":"Zhu","given":"Jiongzhi"},{"family":"Duan","given":"Tao"},{"family":"Zhu","given":"Lin"}],"issued":{"date-parts":[["2025",3,1]]}}}],"schema":"https://github.com/citation-style-language/schema/raw/master/csl-citation.json"} </w:instrText>
            </w:r>
            <w:r w:rsidRPr="00B50702">
              <w:rPr>
                <w:color w:val="000000"/>
                <w:sz w:val="21"/>
                <w:szCs w:val="21"/>
              </w:rPr>
              <w:fldChar w:fldCharType="separate"/>
            </w:r>
            <w:r w:rsidRPr="00B50702">
              <w:rPr>
                <w:sz w:val="21"/>
              </w:rPr>
              <w:t>[23]</w:t>
            </w:r>
            <w:r w:rsidRPr="00B50702">
              <w:rPr>
                <w:color w:val="000000"/>
                <w:sz w:val="21"/>
                <w:szCs w:val="21"/>
              </w:rPr>
              <w:fldChar w:fldCharType="end"/>
            </w:r>
          </w:p>
        </w:tc>
      </w:tr>
      <w:tr w:rsidR="007E3433" w:rsidRPr="00B50702" w14:paraId="1616D2F8" w14:textId="77777777" w:rsidTr="003534D2">
        <w:trPr>
          <w:jc w:val="center"/>
        </w:trPr>
        <w:tc>
          <w:tcPr>
            <w:tcW w:w="724" w:type="pct"/>
            <w:shd w:val="clear" w:color="auto" w:fill="FFFFFF"/>
            <w:vAlign w:val="center"/>
          </w:tcPr>
          <w:p w14:paraId="46F43CF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f</w:t>
            </w:r>
          </w:p>
        </w:tc>
        <w:tc>
          <w:tcPr>
            <w:tcW w:w="1326" w:type="pct"/>
            <w:shd w:val="clear" w:color="auto" w:fill="FFFFFF"/>
            <w:vAlign w:val="center"/>
          </w:tcPr>
          <w:p w14:paraId="22D431F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TFA-COF</w:t>
            </w:r>
          </w:p>
        </w:tc>
        <w:tc>
          <w:tcPr>
            <w:tcW w:w="591" w:type="pct"/>
            <w:shd w:val="clear" w:color="auto" w:fill="FFFFFF"/>
            <w:vAlign w:val="center"/>
          </w:tcPr>
          <w:p w14:paraId="418CAC5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150</w:t>
            </w:r>
          </w:p>
        </w:tc>
        <w:tc>
          <w:tcPr>
            <w:tcW w:w="609" w:type="pct"/>
            <w:shd w:val="clear" w:color="auto" w:fill="FFFFFF"/>
            <w:vAlign w:val="center"/>
          </w:tcPr>
          <w:p w14:paraId="4CBC4B83"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30</w:t>
            </w:r>
          </w:p>
        </w:tc>
        <w:tc>
          <w:tcPr>
            <w:tcW w:w="685" w:type="pct"/>
            <w:shd w:val="clear" w:color="auto" w:fill="FFFFFF"/>
            <w:vAlign w:val="center"/>
          </w:tcPr>
          <w:p w14:paraId="6EA9CC7C"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2.36</w:t>
            </w:r>
          </w:p>
        </w:tc>
        <w:tc>
          <w:tcPr>
            <w:tcW w:w="1065" w:type="pct"/>
            <w:shd w:val="clear" w:color="auto" w:fill="FFFFFF"/>
            <w:vAlign w:val="center"/>
          </w:tcPr>
          <w:p w14:paraId="0316A07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{"citationID":"hovaCHWv","properties":{"formattedCitation":"[19]","plainCitation":"[19]","noteIndex":0},"citationItems":[{"id":776,"uris":["http://zotero.org/users/14169885/items/S98Z8DTN"],"itemData":{"id":776,"type":"article-journal","abstract":"The effective capture of radioactive iodine species is crucial in nuclear waste treatment, particularly under hightemperature industrial conditions (≥150 ◦C), yet it poses a significant challenge. Here, we propose a novel approach for constructing highly efficient iodine traps by precisely controlling band edges in covalent organic frameworks (COFs) through the incorporation of fluorine atoms. This strategy facilitates the transformation of I2 into I5 , thereby enhancing the interactions between the COF host and radioiodine species, leading to a remarkable iodine uptake capacity of up to 2.36 g/g under static adsorption condition at 150 ◦C, and 36.12 wt% under dynamic adsorption condition at 150 ◦C. Moreover, the captured iodine can be released by immersing the solid form in DMF solvent, providing a mean to modulate reaction conditions gently. Notably, TFA-COF material can be reused multiple times without significant loss in its iodine capture performance.","container-title":"Chemical Engineering Journal","DOI":"10.1016/j.cej.2024.153777","ISSN":"13858947","journalAbbreviation":"Chemical Engineering Journal","language":"en","note":"abstractTranslation: </w:instrText>
            </w:r>
            <w:r w:rsidRPr="00B50702">
              <w:rPr>
                <w:color w:val="000000"/>
                <w:sz w:val="21"/>
                <w:szCs w:val="21"/>
              </w:rPr>
              <w:instrText>有效捕获放射性碘物种在核废物处理中至关重要，特别是在高温工业条件下（</w:instrText>
            </w:r>
            <w:r w:rsidRPr="00B50702">
              <w:rPr>
                <w:color w:val="000000"/>
                <w:sz w:val="21"/>
                <w:szCs w:val="21"/>
              </w:rPr>
              <w:instrText>≥150°C</w:instrText>
            </w:r>
            <w:r w:rsidRPr="00B50702">
              <w:rPr>
                <w:color w:val="000000"/>
                <w:sz w:val="21"/>
                <w:szCs w:val="21"/>
              </w:rPr>
              <w:instrText>），但这也是一个重大挑战。在这里，我们提出了一种通过掺入氟原子精确控制共价有机框架（</w:instrText>
            </w:r>
            <w:r w:rsidRPr="00B50702">
              <w:rPr>
                <w:color w:val="000000"/>
                <w:sz w:val="21"/>
                <w:szCs w:val="21"/>
              </w:rPr>
              <w:instrText>COF</w:instrText>
            </w:r>
            <w:r w:rsidRPr="00B50702">
              <w:rPr>
                <w:color w:val="000000"/>
                <w:sz w:val="21"/>
                <w:szCs w:val="21"/>
              </w:rPr>
              <w:instrText>）中的带边来构建高效碘陷阱的新方法。该策略有助于</w:instrText>
            </w:r>
            <w:r w:rsidRPr="00B50702">
              <w:rPr>
                <w:color w:val="000000"/>
                <w:sz w:val="21"/>
                <w:szCs w:val="21"/>
              </w:rPr>
              <w:instrText>I2</w:instrText>
            </w:r>
            <w:r w:rsidRPr="00B50702">
              <w:rPr>
                <w:color w:val="000000"/>
                <w:sz w:val="21"/>
                <w:szCs w:val="21"/>
              </w:rPr>
              <w:instrText>转化为</w:instrText>
            </w:r>
            <w:r w:rsidRPr="00B50702">
              <w:rPr>
                <w:color w:val="000000"/>
                <w:sz w:val="21"/>
                <w:szCs w:val="21"/>
              </w:rPr>
              <w:instrText>I5</w:instrText>
            </w:r>
            <w:r w:rsidRPr="00B50702">
              <w:rPr>
                <w:color w:val="000000"/>
                <w:sz w:val="21"/>
                <w:szCs w:val="21"/>
              </w:rPr>
              <w:instrText>，从而增强</w:instrText>
            </w:r>
            <w:r w:rsidRPr="00B50702">
              <w:rPr>
                <w:color w:val="000000"/>
                <w:sz w:val="21"/>
                <w:szCs w:val="21"/>
              </w:rPr>
              <w:instrText>COF</w:instrText>
            </w:r>
            <w:r w:rsidRPr="00B50702">
              <w:rPr>
                <w:color w:val="000000"/>
                <w:sz w:val="21"/>
                <w:szCs w:val="21"/>
              </w:rPr>
              <w:instrText>宿主与放射性碘物种之间的相互作用，在</w:instrText>
            </w:r>
            <w:r w:rsidRPr="00B50702">
              <w:rPr>
                <w:color w:val="000000"/>
                <w:sz w:val="21"/>
                <w:szCs w:val="21"/>
              </w:rPr>
              <w:instrText>150℃</w:instrText>
            </w:r>
            <w:r w:rsidRPr="00B50702">
              <w:rPr>
                <w:color w:val="000000"/>
                <w:sz w:val="21"/>
                <w:szCs w:val="21"/>
              </w:rPr>
              <w:instrText>的静态吸附条件下，碘吸收能力高达</w:instrText>
            </w:r>
            <w:r w:rsidRPr="00B50702">
              <w:rPr>
                <w:color w:val="000000"/>
                <w:sz w:val="21"/>
                <w:szCs w:val="21"/>
              </w:rPr>
              <w:instrText>2.36 g/g◦C</w:instrText>
            </w:r>
            <w:r w:rsidRPr="00B50702">
              <w:rPr>
                <w:color w:val="000000"/>
                <w:sz w:val="21"/>
                <w:szCs w:val="21"/>
              </w:rPr>
              <w:instrText>、</w:instrText>
            </w:r>
            <w:r w:rsidRPr="00B50702">
              <w:rPr>
                <w:color w:val="000000"/>
                <w:sz w:val="21"/>
                <w:szCs w:val="21"/>
              </w:rPr>
              <w:instrText xml:space="preserve"> </w:instrText>
            </w:r>
            <w:r w:rsidRPr="00B50702">
              <w:rPr>
                <w:color w:val="000000"/>
                <w:sz w:val="21"/>
                <w:szCs w:val="21"/>
              </w:rPr>
              <w:instrText>在</w:instrText>
            </w:r>
            <w:r w:rsidRPr="00B50702">
              <w:rPr>
                <w:color w:val="000000"/>
                <w:sz w:val="21"/>
                <w:szCs w:val="21"/>
              </w:rPr>
              <w:instrText>150℃</w:instrText>
            </w:r>
            <w:r w:rsidRPr="00B50702">
              <w:rPr>
                <w:color w:val="000000"/>
                <w:sz w:val="21"/>
                <w:szCs w:val="21"/>
              </w:rPr>
              <w:instrText>的动态吸附条件下为</w:instrText>
            </w:r>
            <w:r w:rsidRPr="00B50702">
              <w:rPr>
                <w:color w:val="000000"/>
                <w:sz w:val="21"/>
                <w:szCs w:val="21"/>
              </w:rPr>
              <w:instrText>36.12</w:instrText>
            </w:r>
            <w:r w:rsidRPr="00B50702">
              <w:rPr>
                <w:color w:val="000000"/>
                <w:sz w:val="21"/>
                <w:szCs w:val="21"/>
              </w:rPr>
              <w:instrText>重量</w:instrText>
            </w:r>
            <w:r w:rsidRPr="00B50702">
              <w:rPr>
                <w:color w:val="000000"/>
                <w:sz w:val="21"/>
                <w:szCs w:val="21"/>
              </w:rPr>
              <w:instrText>%◦C.</w:instrText>
            </w:r>
            <w:r w:rsidRPr="00B50702">
              <w:rPr>
                <w:color w:val="000000"/>
                <w:sz w:val="21"/>
                <w:szCs w:val="21"/>
              </w:rPr>
              <w:instrText>此外，通过将固体形式浸入</w:instrText>
            </w:r>
            <w:r w:rsidRPr="00B50702">
              <w:rPr>
                <w:color w:val="000000"/>
                <w:sz w:val="21"/>
                <w:szCs w:val="21"/>
              </w:rPr>
              <w:instrText>DMF</w:instrText>
            </w:r>
            <w:r w:rsidRPr="00B50702">
              <w:rPr>
                <w:color w:val="000000"/>
                <w:sz w:val="21"/>
                <w:szCs w:val="21"/>
              </w:rPr>
              <w:instrText>溶剂中，可以释放捕获的碘，从而温和地调节反应条件。值得注意的是，</w:instrText>
            </w:r>
            <w:r w:rsidRPr="00B50702">
              <w:rPr>
                <w:color w:val="000000"/>
                <w:sz w:val="21"/>
                <w:szCs w:val="21"/>
              </w:rPr>
              <w:instrText>TFA-COF</w:instrText>
            </w:r>
            <w:r w:rsidRPr="00B50702">
              <w:rPr>
                <w:color w:val="000000"/>
                <w:sz w:val="21"/>
                <w:szCs w:val="21"/>
              </w:rPr>
              <w:instrText>材料可以多次重复使用，而不会显著降低其碘捕获性能。</w:instrText>
            </w:r>
            <w:r w:rsidRPr="00B50702">
              <w:rPr>
                <w:color w:val="000000"/>
                <w:sz w:val="21"/>
                <w:szCs w:val="21"/>
              </w:rPr>
              <w:instrText xml:space="preserve">\ntitleTranslation: </w:instrText>
            </w:r>
            <w:r w:rsidRPr="00B50702">
              <w:rPr>
                <w:color w:val="000000"/>
                <w:sz w:val="21"/>
                <w:szCs w:val="21"/>
              </w:rPr>
              <w:instrText>通过共价有机框架中的带边控制增强高温碘捕获</w:instrText>
            </w:r>
            <w:r w:rsidRPr="00B50702">
              <w:rPr>
                <w:color w:val="000000"/>
                <w:sz w:val="21"/>
                <w:szCs w:val="21"/>
              </w:rPr>
              <w:instrText xml:space="preserve">","page":"153777","source":"DOI.org (Crossref)","title":"Enhanced high-temperature iodine capture through band-edge control in covalent organic frameworks","volume":"496","author":[{"family":"Zhu","given":"Yaling"},{"family":"Li","given":"Yi"},{"family":"Luo","given":"Dan"},{"family":"He","given":"Yanlei"},{"family":"Zhou","given":"Jianqiao"},{"family":"Jiang","given":"Dan"},{"family":"Zhang","given":"Xiuyun"},{"family":"Chi","given":"Xiaodong"}],"issued":{"date-parts":[["2024",9]]}}}],"schema":"https://github.com/citation-style-language/schema/raw/master/csl-citation.json"} </w:instrText>
            </w:r>
            <w:r w:rsidRPr="00B50702">
              <w:rPr>
                <w:color w:val="000000"/>
                <w:sz w:val="21"/>
                <w:szCs w:val="21"/>
              </w:rPr>
              <w:fldChar w:fldCharType="separate"/>
            </w:r>
            <w:r w:rsidRPr="00B50702">
              <w:rPr>
                <w:sz w:val="21"/>
              </w:rPr>
              <w:t>[19]</w:t>
            </w:r>
            <w:r w:rsidRPr="00B50702">
              <w:rPr>
                <w:color w:val="000000"/>
                <w:sz w:val="21"/>
                <w:szCs w:val="21"/>
              </w:rPr>
              <w:fldChar w:fldCharType="end"/>
            </w:r>
          </w:p>
        </w:tc>
      </w:tr>
      <w:tr w:rsidR="007E3433" w:rsidRPr="00B50702" w14:paraId="3087142A" w14:textId="77777777" w:rsidTr="003534D2">
        <w:trPr>
          <w:jc w:val="center"/>
        </w:trPr>
        <w:tc>
          <w:tcPr>
            <w:tcW w:w="724" w:type="pct"/>
            <w:shd w:val="clear" w:color="auto" w:fill="FFFFFF"/>
            <w:vAlign w:val="center"/>
          </w:tcPr>
          <w:p w14:paraId="04A8307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g</w:t>
            </w:r>
          </w:p>
        </w:tc>
        <w:tc>
          <w:tcPr>
            <w:tcW w:w="1326" w:type="pct"/>
            <w:shd w:val="clear" w:color="auto" w:fill="FFFFFF"/>
            <w:vAlign w:val="center"/>
          </w:tcPr>
          <w:p w14:paraId="43590553"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CTAPA</w:t>
            </w:r>
          </w:p>
        </w:tc>
        <w:tc>
          <w:tcPr>
            <w:tcW w:w="591" w:type="pct"/>
            <w:shd w:val="clear" w:color="auto" w:fill="FFFFFF"/>
            <w:vAlign w:val="center"/>
          </w:tcPr>
          <w:p w14:paraId="492E19C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75</w:t>
            </w:r>
          </w:p>
        </w:tc>
        <w:tc>
          <w:tcPr>
            <w:tcW w:w="609" w:type="pct"/>
            <w:shd w:val="clear" w:color="auto" w:fill="FFFFFF"/>
            <w:vAlign w:val="center"/>
          </w:tcPr>
          <w:p w14:paraId="08A0560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20</w:t>
            </w:r>
          </w:p>
        </w:tc>
        <w:tc>
          <w:tcPr>
            <w:tcW w:w="685" w:type="pct"/>
            <w:shd w:val="clear" w:color="auto" w:fill="FFFFFF"/>
            <w:vAlign w:val="center"/>
          </w:tcPr>
          <w:p w14:paraId="0A10A60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3.96</w:t>
            </w:r>
          </w:p>
        </w:tc>
        <w:tc>
          <w:tcPr>
            <w:tcW w:w="1065" w:type="pct"/>
            <w:shd w:val="clear" w:color="auto" w:fill="FFFFFF"/>
            <w:vAlign w:val="center"/>
          </w:tcPr>
          <w:p w14:paraId="3BBF2F5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{"citationID":"s6AumVAi","properties":{"formattedCitation":"[13]","plainCitation":"[13]","noteIndex":0},"citationItems":[{"id":768,"uris":["http://zotero.org/users/14169885/items/8DUPX42D"],"itemData":{"id":768,"type":"article-journal","abstract":"Nuclear energy is a sustainable, low-carbon footprint, and cost-effective future energy source that might play an important role in the foreseeable energy demand. However, due to the volatility and long half-life of the released waste radioiodine from nuclear power stations, appropriate handling of radioactive waste is still a great challenge. Using covalent organic polymers (COPs) adsorbents to capture radioactive iodine compounds has gained much attention due to the simplicity of operation, low maintenance costs, and resistance to highly corrosive solutions. Herein, three as-synthesized amine-linked COP materials with heteroatoms (N, P, and O) are employed for iodine capture and obtain excellent iodine capture capacity due to the strong interactions of abundant heteroatoms with iodine compounds. The gas-phase iodine adsorption capacity of as-prepared COPs reached &gt; 2.1 g gad1s in 1 h, with an optimal gas-phase iodine adsorption capacity of 3.96 g gad1s and a liquid-phase iodine adsorption capacity of 905.69 mg gad1s. This study showed the promising iodine removal capabilities of heteroatoms-containing COPs from nuclear wastewater and nuclear exhaust gases.","container-title":"Chemical Engineering Journal","DOI":"10.1016/j.cej.2024.149739","ISSN":"13858947","journalAbbreviation":"Chemical Engineering Journal","language":"en","note":"abstractTranslation: </w:instrText>
            </w:r>
            <w:r w:rsidRPr="00B50702">
              <w:rPr>
                <w:color w:val="000000"/>
                <w:sz w:val="21"/>
                <w:szCs w:val="21"/>
              </w:rPr>
              <w:instrText>核能是一种可持续、低碳足迹和具有成本效益的未来能源，可能在可预见的能源需求中发挥重要作用。然而，由于核电站释放的放射性碘废物的挥发性和半衰期较长，适当处理放射性废物仍然是一个巨大的挑战。使用共价有机聚合物（</w:instrText>
            </w:r>
            <w:r w:rsidRPr="00B50702">
              <w:rPr>
                <w:color w:val="000000"/>
                <w:sz w:val="21"/>
                <w:szCs w:val="21"/>
              </w:rPr>
              <w:instrText>COP</w:instrText>
            </w:r>
            <w:r w:rsidRPr="00B50702">
              <w:rPr>
                <w:color w:val="000000"/>
                <w:sz w:val="21"/>
                <w:szCs w:val="21"/>
              </w:rPr>
              <w:instrText>）吸附剂捕获放射性碘化合物因其操作简单、维护成本低和耐高腐蚀性溶液而受到广泛关注。本文中，三种合成的具有杂原子（</w:instrText>
            </w:r>
            <w:r w:rsidRPr="00B50702">
              <w:rPr>
                <w:color w:val="000000"/>
                <w:sz w:val="21"/>
                <w:szCs w:val="21"/>
              </w:rPr>
              <w:instrText>N</w:instrText>
            </w:r>
            <w:r w:rsidRPr="00B50702">
              <w:rPr>
                <w:color w:val="000000"/>
                <w:sz w:val="21"/>
                <w:szCs w:val="21"/>
              </w:rPr>
              <w:instrText>、</w:instrText>
            </w:r>
            <w:r w:rsidRPr="00B50702">
              <w:rPr>
                <w:color w:val="000000"/>
                <w:sz w:val="21"/>
                <w:szCs w:val="21"/>
              </w:rPr>
              <w:instrText>P</w:instrText>
            </w:r>
            <w:r w:rsidRPr="00B50702">
              <w:rPr>
                <w:color w:val="000000"/>
                <w:sz w:val="21"/>
                <w:szCs w:val="21"/>
              </w:rPr>
              <w:instrText>和</w:instrText>
            </w:r>
            <w:r w:rsidRPr="00B50702">
              <w:rPr>
                <w:color w:val="000000"/>
                <w:sz w:val="21"/>
                <w:szCs w:val="21"/>
              </w:rPr>
              <w:instrText>O</w:instrText>
            </w:r>
            <w:r w:rsidRPr="00B50702">
              <w:rPr>
                <w:color w:val="000000"/>
                <w:sz w:val="21"/>
                <w:szCs w:val="21"/>
              </w:rPr>
              <w:instrText>）的胺连接</w:instrText>
            </w:r>
            <w:r w:rsidRPr="00B50702">
              <w:rPr>
                <w:color w:val="000000"/>
                <w:sz w:val="21"/>
                <w:szCs w:val="21"/>
              </w:rPr>
              <w:instrText>COP</w:instrText>
            </w:r>
            <w:r w:rsidRPr="00B50702">
              <w:rPr>
                <w:color w:val="000000"/>
                <w:sz w:val="21"/>
                <w:szCs w:val="21"/>
              </w:rPr>
              <w:instrText>材料用于碘捕获，并由于丰富的杂原子与碘化合物的强相互作用而获得了优异的碘捕获能力。所制备的</w:instrText>
            </w:r>
            <w:r w:rsidRPr="00B50702">
              <w:rPr>
                <w:color w:val="000000"/>
                <w:sz w:val="21"/>
                <w:szCs w:val="21"/>
              </w:rPr>
              <w:instrText>COP</w:instrText>
            </w:r>
            <w:r w:rsidRPr="00B50702">
              <w:rPr>
                <w:color w:val="000000"/>
                <w:sz w:val="21"/>
                <w:szCs w:val="21"/>
              </w:rPr>
              <w:instrText>的气相碘吸附容量在</w:instrText>
            </w:r>
            <w:r w:rsidRPr="00B50702">
              <w:rPr>
                <w:color w:val="000000"/>
                <w:sz w:val="21"/>
                <w:szCs w:val="21"/>
              </w:rPr>
              <w:instrText>1</w:instrText>
            </w:r>
            <w:r w:rsidRPr="00B50702">
              <w:rPr>
                <w:color w:val="000000"/>
                <w:sz w:val="21"/>
                <w:szCs w:val="21"/>
              </w:rPr>
              <w:instrText>小时内达到</w:instrText>
            </w:r>
            <w:r w:rsidRPr="00B50702">
              <w:rPr>
                <w:color w:val="000000"/>
                <w:sz w:val="21"/>
                <w:szCs w:val="21"/>
              </w:rPr>
              <w:instrText>&gt;2.1 g gad1s</w:instrText>
            </w:r>
            <w:r w:rsidRPr="00B50702">
              <w:rPr>
                <w:color w:val="000000"/>
                <w:sz w:val="21"/>
                <w:szCs w:val="21"/>
              </w:rPr>
              <w:instrText>，最佳气相碘吸收容量为</w:instrText>
            </w:r>
            <w:r w:rsidRPr="00B50702">
              <w:rPr>
                <w:color w:val="000000"/>
                <w:sz w:val="21"/>
                <w:szCs w:val="21"/>
              </w:rPr>
              <w:instrText>3.96 g gad3s</w:instrText>
            </w:r>
            <w:r w:rsidRPr="00B50702">
              <w:rPr>
                <w:color w:val="000000"/>
                <w:sz w:val="21"/>
                <w:szCs w:val="21"/>
              </w:rPr>
              <w:instrText>，液相碘吸附能力为</w:instrText>
            </w:r>
            <w:r w:rsidRPr="00B50702">
              <w:rPr>
                <w:color w:val="000000"/>
                <w:sz w:val="21"/>
                <w:szCs w:val="21"/>
              </w:rPr>
              <w:instrText>905.69 mg gad1s</w:instrText>
            </w:r>
            <w:r w:rsidRPr="00B50702">
              <w:rPr>
                <w:color w:val="000000"/>
                <w:sz w:val="21"/>
                <w:szCs w:val="21"/>
              </w:rPr>
              <w:instrText>。这项研究表明，含杂原子的</w:instrText>
            </w:r>
            <w:r w:rsidRPr="00B50702">
              <w:rPr>
                <w:color w:val="000000"/>
                <w:sz w:val="21"/>
                <w:szCs w:val="21"/>
              </w:rPr>
              <w:instrText>COP</w:instrText>
            </w:r>
            <w:r w:rsidRPr="00B50702">
              <w:rPr>
                <w:color w:val="000000"/>
                <w:sz w:val="21"/>
                <w:szCs w:val="21"/>
              </w:rPr>
              <w:instrText>从核废水和核废气中去除碘的能力很有前景。</w:instrText>
            </w:r>
            <w:r w:rsidRPr="00B50702">
              <w:rPr>
                <w:color w:val="000000"/>
                <w:sz w:val="21"/>
                <w:szCs w:val="21"/>
              </w:rPr>
              <w:instrText xml:space="preserve">\ntitleTranslation: </w:instrText>
            </w:r>
            <w:r w:rsidRPr="00B50702">
              <w:rPr>
                <w:color w:val="000000"/>
                <w:sz w:val="21"/>
                <w:szCs w:val="21"/>
              </w:rPr>
              <w:instrText>共价有机聚合物用于有效去除气相和液相环境中的碘</w:instrText>
            </w:r>
            <w:r w:rsidRPr="00B50702">
              <w:rPr>
                <w:color w:val="000000"/>
                <w:sz w:val="21"/>
                <w:szCs w:val="21"/>
              </w:rPr>
              <w:instrText xml:space="preserve">","page":"149739","source":"DOI.org (Crossref)","title":"Covalent organic polymers for efficient removal of iodine from gas- and liquid-phase environments","volume":"484","author":[{"family":"Zhu","given":"Haishan"},{"family":"Qin","given":"Yuancheng"},{"family":"Guo","given":"Yue"},{"family":"Shen","given":"Zhen"},{"family":"Imran","given":"Muhammad"},{"family":"Asim Mushtaq","given":"Muhammad"},{"family":"Zhang","given":"Zhiqi"},{"family":"Ni","given":"Cailing"},{"family":"Chen","given":"Yanqing"},{"family":"Ding","given":"Yangbin"},{"family":"Gul","given":"Hajera"},{"family":"Zou","given":"Jianping"},{"family":"Tsiakaras","given":"Panagiotis"},{"family":"Hsu","given":"Hsien-Yi"},{"family":"Zhao","given":"Jie"}],"issued":{"date-parts":[["2024",3]]}}}],"schema":"https://github.com/citation-style-language/schema/raw/master/csl-citation.json"} </w:instrText>
            </w:r>
            <w:r w:rsidRPr="00B50702">
              <w:rPr>
                <w:color w:val="000000"/>
                <w:sz w:val="21"/>
                <w:szCs w:val="21"/>
              </w:rPr>
              <w:fldChar w:fldCharType="separate"/>
            </w:r>
            <w:r w:rsidRPr="00B50702">
              <w:rPr>
                <w:sz w:val="21"/>
              </w:rPr>
              <w:t>[13]</w:t>
            </w:r>
            <w:r w:rsidRPr="00B50702">
              <w:rPr>
                <w:color w:val="000000"/>
                <w:sz w:val="21"/>
                <w:szCs w:val="21"/>
              </w:rPr>
              <w:fldChar w:fldCharType="end"/>
            </w:r>
          </w:p>
        </w:tc>
      </w:tr>
      <w:tr w:rsidR="007E3433" w:rsidRPr="00B50702" w14:paraId="483E5EBA" w14:textId="77777777" w:rsidTr="003534D2">
        <w:trPr>
          <w:jc w:val="center"/>
        </w:trPr>
        <w:tc>
          <w:tcPr>
            <w:tcW w:w="724" w:type="pct"/>
            <w:shd w:val="clear" w:color="auto" w:fill="FFFFFF"/>
            <w:vAlign w:val="center"/>
          </w:tcPr>
          <w:p w14:paraId="491D4BA6"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h</w:t>
            </w:r>
          </w:p>
        </w:tc>
        <w:tc>
          <w:tcPr>
            <w:tcW w:w="1326" w:type="pct"/>
            <w:shd w:val="clear" w:color="auto" w:fill="FFFFFF"/>
            <w:vAlign w:val="center"/>
          </w:tcPr>
          <w:p w14:paraId="03EC089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PAN-AO</w:t>
            </w:r>
          </w:p>
        </w:tc>
        <w:tc>
          <w:tcPr>
            <w:tcW w:w="591" w:type="pct"/>
            <w:shd w:val="clear" w:color="auto" w:fill="FFFFFF"/>
            <w:vAlign w:val="center"/>
          </w:tcPr>
          <w:p w14:paraId="1111F77A"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794FB166"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10</w:t>
            </w:r>
          </w:p>
        </w:tc>
        <w:tc>
          <w:tcPr>
            <w:tcW w:w="685" w:type="pct"/>
            <w:shd w:val="clear" w:color="auto" w:fill="FFFFFF"/>
            <w:vAlign w:val="center"/>
          </w:tcPr>
          <w:p w14:paraId="01558B1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1.53</w:t>
            </w:r>
          </w:p>
        </w:tc>
        <w:tc>
          <w:tcPr>
            <w:tcW w:w="1065" w:type="pct"/>
            <w:shd w:val="clear" w:color="auto" w:fill="FFFFFF"/>
            <w:vAlign w:val="center"/>
          </w:tcPr>
          <w:p w14:paraId="49C5E71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{"citationID":"TCXIzFyz","properties":{"formattedCitation":"[24]","plainCitation":"[24]","noteIndex":0},"citationItems":[{"id":775,"uris":["http://zotero.org/users/14169885/items/XWGBVMM9"],"itemData":{"id":775,"type":"article-journal","abstract":"The exploration of effective gaseous iodine adsorbents is an interesting and challenging task in the field of radwaste disposal. In this study, amidoxime groups (AO) were successfully grafted onto polyacrylonitrile to obtain amidoxime grafted polyacrylonitrile (PAN-AO) for capturing gaseous iodine. The results of the combined characterization analysis have confirmed that the introduction of AO greatly improved its thermostability, porosity and available functional groups of PAN. The impacts of reaction time, iodine concentration and reaction heat on the uptake capacity for gaseous iodine were systematically studied. The PAN-AO exhibited higher iodine capture capacity (1534.4 mg/g) than PAN (72.1 mg/g) at 80 ◦C and 600 min, which was ascribed to the chemical reaction between electron-rich AO groups and electron-deficient iodine molecules. The studies of kinetic fitting and activation energy (Ea = 44.11 kJ/mol) further confirmed that chemical adsorption was the major fashion during the whole uptake process of PAN-AO for iodine. Besides, PAN-AO still had an iodine uptake capacity of 704.4 mg/g after five recycling, manifesting the remarkable cycle performance of PAN-AO. In brief, this study offered a new reference for radioactive iodine uptake and the synthesized PAN-AO was able to serve as an efficient iodine capture material.","container-title":"Chemical Engineering Journal","DOI":"10.1016/j.cej.2024.152618","ISSN":"13858947","journalAbbreviation":"Chemical Engineering Journal","language":"en","note":"abstractTranslation: </w:instrText>
            </w:r>
            <w:r w:rsidRPr="00B50702">
              <w:rPr>
                <w:color w:val="000000"/>
                <w:sz w:val="21"/>
                <w:szCs w:val="21"/>
              </w:rPr>
              <w:instrText>在放射性废物处理领域，探索有效的气态碘吸附剂是一项有趣而具有挑战性的任务。本研究成功地将偕胺肟基团（</w:instrText>
            </w:r>
            <w:r w:rsidRPr="00B50702">
              <w:rPr>
                <w:color w:val="000000"/>
                <w:sz w:val="21"/>
                <w:szCs w:val="21"/>
              </w:rPr>
              <w:instrText>AO</w:instrText>
            </w:r>
            <w:r w:rsidRPr="00B50702">
              <w:rPr>
                <w:color w:val="000000"/>
                <w:sz w:val="21"/>
                <w:szCs w:val="21"/>
              </w:rPr>
              <w:instrText>）接枝到聚丙烯腈上，得到用于捕获气态碘的偕胺肟接枝聚丙烯腈（</w:instrText>
            </w:r>
            <w:r w:rsidRPr="00B50702">
              <w:rPr>
                <w:color w:val="000000"/>
                <w:sz w:val="21"/>
                <w:szCs w:val="21"/>
              </w:rPr>
              <w:instrText>PAN-AO</w:instrText>
            </w:r>
            <w:r w:rsidRPr="00B50702">
              <w:rPr>
                <w:color w:val="000000"/>
                <w:sz w:val="21"/>
                <w:szCs w:val="21"/>
              </w:rPr>
              <w:instrText>）。综合表征分析的结果证实，</w:instrText>
            </w:r>
            <w:r w:rsidRPr="00B50702">
              <w:rPr>
                <w:color w:val="000000"/>
                <w:sz w:val="21"/>
                <w:szCs w:val="21"/>
              </w:rPr>
              <w:instrText>AO</w:instrText>
            </w:r>
            <w:r w:rsidRPr="00B50702">
              <w:rPr>
                <w:color w:val="000000"/>
                <w:sz w:val="21"/>
                <w:szCs w:val="21"/>
              </w:rPr>
              <w:instrText>的引入大大提高了其热稳定性、孔隙率和</w:instrText>
            </w:r>
            <w:r w:rsidRPr="00B50702">
              <w:rPr>
                <w:color w:val="000000"/>
                <w:sz w:val="21"/>
                <w:szCs w:val="21"/>
              </w:rPr>
              <w:instrText>PAN</w:instrText>
            </w:r>
            <w:r w:rsidRPr="00B50702">
              <w:rPr>
                <w:color w:val="000000"/>
                <w:sz w:val="21"/>
                <w:szCs w:val="21"/>
              </w:rPr>
              <w:instrText>的可用官能团。系统研究了反应时间、碘浓度和反应热对气态碘吸收能力的影响。在</w:instrText>
            </w:r>
            <w:r w:rsidRPr="00B50702">
              <w:rPr>
                <w:color w:val="000000"/>
                <w:sz w:val="21"/>
                <w:szCs w:val="21"/>
              </w:rPr>
              <w:instrText>80℃</w:instrText>
            </w:r>
            <w:r w:rsidRPr="00B50702">
              <w:rPr>
                <w:color w:val="000000"/>
                <w:sz w:val="21"/>
                <w:szCs w:val="21"/>
              </w:rPr>
              <w:instrText>下，</w:instrText>
            </w:r>
            <w:r w:rsidRPr="00B50702">
              <w:rPr>
                <w:color w:val="000000"/>
                <w:sz w:val="21"/>
                <w:szCs w:val="21"/>
              </w:rPr>
              <w:instrText>PAN-AO</w:instrText>
            </w:r>
            <w:r w:rsidRPr="00B50702">
              <w:rPr>
                <w:color w:val="000000"/>
                <w:sz w:val="21"/>
                <w:szCs w:val="21"/>
              </w:rPr>
              <w:instrText>的碘捕获能力（</w:instrText>
            </w:r>
            <w:r w:rsidRPr="00B50702">
              <w:rPr>
                <w:color w:val="000000"/>
                <w:sz w:val="21"/>
                <w:szCs w:val="21"/>
              </w:rPr>
              <w:instrText>1534.4mg/g</w:instrText>
            </w:r>
            <w:r w:rsidRPr="00B50702">
              <w:rPr>
                <w:color w:val="000000"/>
                <w:sz w:val="21"/>
                <w:szCs w:val="21"/>
              </w:rPr>
              <w:instrText>）高于</w:instrText>
            </w:r>
            <w:r w:rsidRPr="00B50702">
              <w:rPr>
                <w:color w:val="000000"/>
                <w:sz w:val="21"/>
                <w:szCs w:val="21"/>
              </w:rPr>
              <w:instrText>PAN</w:instrText>
            </w:r>
            <w:r w:rsidRPr="00B50702">
              <w:rPr>
                <w:color w:val="000000"/>
                <w:sz w:val="21"/>
                <w:szCs w:val="21"/>
              </w:rPr>
              <w:instrText>（</w:instrText>
            </w:r>
            <w:r w:rsidRPr="00B50702">
              <w:rPr>
                <w:color w:val="000000"/>
                <w:sz w:val="21"/>
                <w:szCs w:val="21"/>
              </w:rPr>
              <w:instrText>72.1mg/g</w:instrText>
            </w:r>
            <w:r w:rsidRPr="00B50702">
              <w:rPr>
                <w:color w:val="000000"/>
                <w:sz w:val="21"/>
                <w:szCs w:val="21"/>
              </w:rPr>
              <w:instrText>）</w:instrText>
            </w:r>
            <w:r w:rsidRPr="00B50702">
              <w:rPr>
                <w:color w:val="000000"/>
                <w:sz w:val="21"/>
                <w:szCs w:val="21"/>
              </w:rPr>
              <w:instrText>◦</w:instrText>
            </w:r>
            <w:r w:rsidRPr="00B50702">
              <w:rPr>
                <w:color w:val="000000"/>
                <w:sz w:val="21"/>
                <w:szCs w:val="21"/>
              </w:rPr>
              <w:instrText>这归因于富电子</w:instrText>
            </w:r>
            <w:r w:rsidRPr="00B50702">
              <w:rPr>
                <w:color w:val="000000"/>
                <w:sz w:val="21"/>
                <w:szCs w:val="21"/>
              </w:rPr>
              <w:instrText>AO</w:instrText>
            </w:r>
            <w:r w:rsidRPr="00B50702">
              <w:rPr>
                <w:color w:val="000000"/>
                <w:sz w:val="21"/>
                <w:szCs w:val="21"/>
              </w:rPr>
              <w:instrText>基团和缺电子碘分子之间的化学反应。动力学拟合和活化能（</w:instrText>
            </w:r>
            <w:r w:rsidRPr="00B50702">
              <w:rPr>
                <w:color w:val="000000"/>
                <w:sz w:val="21"/>
                <w:szCs w:val="21"/>
              </w:rPr>
              <w:instrText>Ea=44.11 kJ/mol</w:instrText>
            </w:r>
            <w:r w:rsidRPr="00B50702">
              <w:rPr>
                <w:color w:val="000000"/>
                <w:sz w:val="21"/>
                <w:szCs w:val="21"/>
              </w:rPr>
              <w:instrText>）的研究进一步证实，化学吸附是</w:instrText>
            </w:r>
            <w:r w:rsidRPr="00B50702">
              <w:rPr>
                <w:color w:val="000000"/>
                <w:sz w:val="21"/>
                <w:szCs w:val="21"/>
              </w:rPr>
              <w:instrText>PAN-AO</w:instrText>
            </w:r>
            <w:r w:rsidRPr="00B50702">
              <w:rPr>
                <w:color w:val="000000"/>
                <w:sz w:val="21"/>
                <w:szCs w:val="21"/>
              </w:rPr>
              <w:instrText>对碘的整个吸收过程中的主要方式。此外，</w:instrText>
            </w:r>
            <w:r w:rsidRPr="00B50702">
              <w:rPr>
                <w:color w:val="000000"/>
                <w:sz w:val="21"/>
                <w:szCs w:val="21"/>
              </w:rPr>
              <w:instrText>PAN-AO</w:instrText>
            </w:r>
            <w:r w:rsidRPr="00B50702">
              <w:rPr>
                <w:color w:val="000000"/>
                <w:sz w:val="21"/>
                <w:szCs w:val="21"/>
              </w:rPr>
              <w:instrText>在五次循环后仍具有</w:instrText>
            </w:r>
            <w:r w:rsidRPr="00B50702">
              <w:rPr>
                <w:color w:val="000000"/>
                <w:sz w:val="21"/>
                <w:szCs w:val="21"/>
              </w:rPr>
              <w:instrText>704.4mg/g</w:instrText>
            </w:r>
            <w:r w:rsidRPr="00B50702">
              <w:rPr>
                <w:color w:val="000000"/>
                <w:sz w:val="21"/>
                <w:szCs w:val="21"/>
              </w:rPr>
              <w:instrText>的碘吸收能力，表明</w:instrText>
            </w:r>
            <w:r w:rsidRPr="00B50702">
              <w:rPr>
                <w:color w:val="000000"/>
                <w:sz w:val="21"/>
                <w:szCs w:val="21"/>
              </w:rPr>
              <w:instrText>PAN-AO</w:instrText>
            </w:r>
            <w:r w:rsidRPr="00B50702">
              <w:rPr>
                <w:color w:val="000000"/>
                <w:sz w:val="21"/>
                <w:szCs w:val="21"/>
              </w:rPr>
              <w:instrText>具有显著的循环性能。简而言之，本研究为放射性碘吸收提供了新的参考，合成的</w:instrText>
            </w:r>
            <w:r w:rsidRPr="00B50702">
              <w:rPr>
                <w:color w:val="000000"/>
                <w:sz w:val="21"/>
                <w:szCs w:val="21"/>
              </w:rPr>
              <w:instrText>PAN-AO</w:instrText>
            </w:r>
            <w:r w:rsidRPr="00B50702">
              <w:rPr>
                <w:color w:val="000000"/>
                <w:sz w:val="21"/>
                <w:szCs w:val="21"/>
              </w:rPr>
              <w:instrText>能够作为一种有效的碘捕获材料。</w:instrText>
            </w:r>
            <w:r w:rsidRPr="00B50702">
              <w:rPr>
                <w:color w:val="000000"/>
                <w:sz w:val="21"/>
                <w:szCs w:val="21"/>
              </w:rPr>
              <w:instrText xml:space="preserve">\ntitleTranslation: </w:instrText>
            </w:r>
            <w:r w:rsidRPr="00B50702">
              <w:rPr>
                <w:color w:val="000000"/>
                <w:sz w:val="21"/>
                <w:szCs w:val="21"/>
              </w:rPr>
              <w:instrText>偕胺肟接枝聚丙烯腈的制备，用于从废气中捕获碘蒸气</w:instrText>
            </w:r>
            <w:r w:rsidRPr="00B50702">
              <w:rPr>
                <w:color w:val="000000"/>
                <w:sz w:val="21"/>
                <w:szCs w:val="21"/>
              </w:rPr>
              <w:instrText xml:space="preserve">","page":"152618","source":"DOI.org (Crossref)","title":"Fabrication of amidoxime grafted polyacrylonitrile for iodine vapor capture from off-gas","volume":"493","author":[{"family":"Zhang","given":"Ling"},{"family":"Li","given":"Mengfang"},{"family":"Liu","given":"Xuan"},{"family":"Feng","given":"Jiaqi"},{"family":"Liu","given":"Yujia"},{"family":"Tu","given":"Yazhu"},{"family":"Li","given":"Shuyang"},{"family":"Duan","given":"Tao"}],"issued":{"date-parts":[["2024",8]]}}}],"schema":"https://github.com/citation-style-language/schema/raw/master/csl-citation.json"} </w:instrText>
            </w:r>
            <w:r w:rsidRPr="00B50702">
              <w:rPr>
                <w:color w:val="000000"/>
                <w:sz w:val="21"/>
                <w:szCs w:val="21"/>
              </w:rPr>
              <w:fldChar w:fldCharType="separate"/>
            </w:r>
            <w:r w:rsidRPr="00B50702">
              <w:rPr>
                <w:sz w:val="21"/>
              </w:rPr>
              <w:t>[24]</w:t>
            </w:r>
            <w:r w:rsidRPr="00B50702">
              <w:rPr>
                <w:color w:val="000000"/>
                <w:sz w:val="21"/>
                <w:szCs w:val="21"/>
              </w:rPr>
              <w:fldChar w:fldCharType="end"/>
            </w:r>
          </w:p>
        </w:tc>
      </w:tr>
      <w:tr w:rsidR="007E3433" w:rsidRPr="00B50702" w14:paraId="5FA8834B" w14:textId="77777777" w:rsidTr="003534D2">
        <w:trPr>
          <w:jc w:val="center"/>
        </w:trPr>
        <w:tc>
          <w:tcPr>
            <w:tcW w:w="724" w:type="pct"/>
            <w:shd w:val="clear" w:color="auto" w:fill="FFFFFF"/>
            <w:vAlign w:val="center"/>
          </w:tcPr>
          <w:p w14:paraId="1BC4EBED" w14:textId="77777777" w:rsidR="007E3433" w:rsidRPr="00B50702" w:rsidRDefault="007E3433" w:rsidP="003534D2">
            <w:pPr>
              <w:tabs>
                <w:tab w:val="left" w:pos="426"/>
              </w:tabs>
              <w:spacing w:line="440" w:lineRule="exact"/>
              <w:ind w:firstLineChars="0" w:firstLine="0"/>
              <w:rPr>
                <w:color w:val="000000"/>
                <w:sz w:val="21"/>
                <w:szCs w:val="21"/>
              </w:rPr>
            </w:pPr>
            <w:proofErr w:type="spellStart"/>
            <w:r w:rsidRPr="00B50702">
              <w:rPr>
                <w:color w:val="000000"/>
                <w:sz w:val="21"/>
                <w:szCs w:val="21"/>
              </w:rPr>
              <w:t>i</w:t>
            </w:r>
            <w:proofErr w:type="spellEnd"/>
          </w:p>
        </w:tc>
        <w:tc>
          <w:tcPr>
            <w:tcW w:w="1326" w:type="pct"/>
            <w:shd w:val="clear" w:color="auto" w:fill="FFFFFF"/>
            <w:vAlign w:val="center"/>
          </w:tcPr>
          <w:p w14:paraId="6C9B9B3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MoS</w:t>
            </w:r>
            <w:r w:rsidRPr="00B50702">
              <w:rPr>
                <w:color w:val="000000"/>
                <w:sz w:val="21"/>
                <w:szCs w:val="21"/>
                <w:vertAlign w:val="subscript"/>
              </w:rPr>
              <w:t>2</w:t>
            </w:r>
            <w:r w:rsidRPr="00B50702">
              <w:rPr>
                <w:color w:val="000000"/>
                <w:sz w:val="21"/>
                <w:szCs w:val="21"/>
              </w:rPr>
              <w:t>/CoS</w:t>
            </w:r>
            <w:r w:rsidRPr="00B50702">
              <w:rPr>
                <w:color w:val="000000"/>
                <w:sz w:val="21"/>
                <w:szCs w:val="21"/>
                <w:vertAlign w:val="subscript"/>
              </w:rPr>
              <w:t>2</w:t>
            </w:r>
            <w:r w:rsidRPr="00B50702">
              <w:rPr>
                <w:color w:val="000000"/>
                <w:sz w:val="21"/>
                <w:szCs w:val="21"/>
              </w:rPr>
              <w:t>/Ni</w:t>
            </w:r>
            <w:r w:rsidRPr="00B50702">
              <w:rPr>
                <w:color w:val="000000"/>
                <w:sz w:val="21"/>
                <w:szCs w:val="21"/>
                <w:vertAlign w:val="subscript"/>
              </w:rPr>
              <w:t>3</w:t>
            </w:r>
            <w:r w:rsidRPr="00B50702">
              <w:rPr>
                <w:color w:val="000000"/>
                <w:sz w:val="21"/>
                <w:szCs w:val="21"/>
              </w:rPr>
              <w:t>S</w:t>
            </w:r>
            <w:r w:rsidRPr="00B50702">
              <w:rPr>
                <w:color w:val="000000"/>
                <w:sz w:val="21"/>
                <w:szCs w:val="21"/>
                <w:vertAlign w:val="subscript"/>
              </w:rPr>
              <w:t>2</w:t>
            </w:r>
          </w:p>
        </w:tc>
        <w:tc>
          <w:tcPr>
            <w:tcW w:w="591" w:type="pct"/>
            <w:shd w:val="clear" w:color="auto" w:fill="FFFFFF"/>
            <w:vAlign w:val="center"/>
          </w:tcPr>
          <w:p w14:paraId="289E8F0F"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65E2F283"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w:t>
            </w:r>
          </w:p>
        </w:tc>
        <w:tc>
          <w:tcPr>
            <w:tcW w:w="685" w:type="pct"/>
            <w:shd w:val="clear" w:color="auto" w:fill="FFFFFF"/>
            <w:vAlign w:val="center"/>
          </w:tcPr>
          <w:p w14:paraId="4E7E710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1.8</w:t>
            </w:r>
          </w:p>
        </w:tc>
        <w:tc>
          <w:tcPr>
            <w:tcW w:w="1065" w:type="pct"/>
            <w:shd w:val="clear" w:color="auto" w:fill="FFFFFF"/>
            <w:vAlign w:val="center"/>
          </w:tcPr>
          <w:p w14:paraId="63C38A96"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{"citationID":"IPUKFkGz","properties":{"formattedCitation":"[25]","plainCitation":"[25]","noteIndex":0},"citationItems":[{"id":773,"uris":["http://zotero.org/users/14169885/items/8CNIGKPL"],"itemData":{"id":773,"type":"article-journal","abstract":"We report a series of MoS2/CoS2/Ni3S2/NF heterogeneous interfaces with multiple types of adsorption sites, which exhibit excellent iodine capture performance. The optimized MoS2/CoS2/Ni3S2/NF-13 obtained at Mo:Co molar ratio of 1:3 shows an extremely large maximum iodine capture of 1804 mg/g. For the including component of Ni3S2/NF, REDOX reaction between Ni0/S2- and I2 offers the main driving force of chemisorption toward iodine (forming NiI2 and S8), while for MoS2, the electrostatic adsorption makes the main contribution to the iodine capture, and for CoS2, interfacial interactions promote the uptake capability of iodine. We perform density functional theory (DFT) calculations to determine the iodine adsorption energies (Ead), which show that in Ni3S2 the Ni and S both serve as iodine sorption sites and Ni site binds more tightly to I2 than S site does, while for MoS2, the S site (rather than Mo) prefers to adsorb the I2. X-ray absorption fine structures (XAFS) indicate that after iodine capture, oxidation states of Mo and Ni are increased more than that of Co, verifying Ni3S2 and MoS2 interact more than CoS2 on I2. Though CoS2 component does not directly adsorb I2, interfacial electron transfers of Co → Ni and Co → Mo significantly promote iodine sorption capability. Synergistic effect of the multiple components/sites in the MoS2/CoS2/Ni3S2/NF assembly offers the wonderful iodine capture. This work provides a novel perspective and theoretical reference for tailoring effective metal sulfides-based sorbents to trap iodine from radioactive wastes.","container-title":"Chemical Engineering Journal","DOI":"10.1016/j.cej.2024.152514","ISSN":"13858947","journalAbbreviation":"Chemical Engineering Journal","language":"en","note":"abstractTranslation: </w:instrText>
            </w:r>
            <w:r w:rsidRPr="00B50702">
              <w:rPr>
                <w:color w:val="000000"/>
                <w:sz w:val="21"/>
                <w:szCs w:val="21"/>
              </w:rPr>
              <w:instrText>我们报道了一系列具有多种吸附位点的</w:instrText>
            </w:r>
            <w:r w:rsidRPr="00B50702">
              <w:rPr>
                <w:color w:val="000000"/>
                <w:sz w:val="21"/>
                <w:szCs w:val="21"/>
              </w:rPr>
              <w:instrText>MoS2/CoS2/Ni3S2/NF</w:instrText>
            </w:r>
            <w:r w:rsidRPr="00B50702">
              <w:rPr>
                <w:color w:val="000000"/>
                <w:sz w:val="21"/>
                <w:szCs w:val="21"/>
              </w:rPr>
              <w:instrText>异质界面，这些界面表现出优异的碘捕获性能。在</w:instrText>
            </w:r>
            <w:r w:rsidRPr="00B50702">
              <w:rPr>
                <w:color w:val="000000"/>
                <w:sz w:val="21"/>
                <w:szCs w:val="21"/>
              </w:rPr>
              <w:instrText>Mo:Co</w:instrText>
            </w:r>
            <w:r w:rsidRPr="00B50702">
              <w:rPr>
                <w:color w:val="000000"/>
                <w:sz w:val="21"/>
                <w:szCs w:val="21"/>
              </w:rPr>
              <w:instrText>摩尔比为</w:instrText>
            </w:r>
            <w:r w:rsidRPr="00B50702">
              <w:rPr>
                <w:color w:val="000000"/>
                <w:sz w:val="21"/>
                <w:szCs w:val="21"/>
              </w:rPr>
              <w:instrText>1:3</w:instrText>
            </w:r>
            <w:r w:rsidRPr="00B50702">
              <w:rPr>
                <w:color w:val="000000"/>
                <w:sz w:val="21"/>
                <w:szCs w:val="21"/>
              </w:rPr>
              <w:instrText>时获得的优化</w:instrText>
            </w:r>
            <w:r w:rsidRPr="00B50702">
              <w:rPr>
                <w:color w:val="000000"/>
                <w:sz w:val="21"/>
                <w:szCs w:val="21"/>
              </w:rPr>
              <w:instrText>MoS2/CoS2/Ni3S2/NF-13</w:instrText>
            </w:r>
            <w:r w:rsidRPr="00B50702">
              <w:rPr>
                <w:color w:val="000000"/>
                <w:sz w:val="21"/>
                <w:szCs w:val="21"/>
              </w:rPr>
              <w:instrText>显示出</w:instrText>
            </w:r>
            <w:r w:rsidRPr="00B50702">
              <w:rPr>
                <w:color w:val="000000"/>
                <w:sz w:val="21"/>
                <w:szCs w:val="21"/>
              </w:rPr>
              <w:instrText>1804 mg/g</w:instrText>
            </w:r>
            <w:r w:rsidRPr="00B50702">
              <w:rPr>
                <w:color w:val="000000"/>
                <w:sz w:val="21"/>
                <w:szCs w:val="21"/>
              </w:rPr>
              <w:instrText>的极大最大碘捕获量。对于</w:instrText>
            </w:r>
            <w:r w:rsidRPr="00B50702">
              <w:rPr>
                <w:color w:val="000000"/>
                <w:sz w:val="21"/>
                <w:szCs w:val="21"/>
              </w:rPr>
              <w:instrText>Ni3S2/NF</w:instrText>
            </w:r>
            <w:r w:rsidRPr="00B50702">
              <w:rPr>
                <w:color w:val="000000"/>
                <w:sz w:val="21"/>
                <w:szCs w:val="21"/>
              </w:rPr>
              <w:instrText>的包含组分，</w:instrText>
            </w:r>
            <w:r w:rsidRPr="00B50702">
              <w:rPr>
                <w:color w:val="000000"/>
                <w:sz w:val="21"/>
                <w:szCs w:val="21"/>
              </w:rPr>
              <w:instrText>Ni0/S2-</w:instrText>
            </w:r>
            <w:r w:rsidRPr="00B50702">
              <w:rPr>
                <w:color w:val="000000"/>
                <w:sz w:val="21"/>
                <w:szCs w:val="21"/>
              </w:rPr>
              <w:instrText>和</w:instrText>
            </w:r>
            <w:r w:rsidRPr="00B50702">
              <w:rPr>
                <w:color w:val="000000"/>
                <w:sz w:val="21"/>
                <w:szCs w:val="21"/>
              </w:rPr>
              <w:instrText>I2</w:instrText>
            </w:r>
            <w:r w:rsidRPr="00B50702">
              <w:rPr>
                <w:color w:val="000000"/>
                <w:sz w:val="21"/>
                <w:szCs w:val="21"/>
              </w:rPr>
              <w:instrText>之间的氧化还原反应是碘化学吸附的主要驱动力（形成</w:instrText>
            </w:r>
            <w:r w:rsidRPr="00B50702">
              <w:rPr>
                <w:color w:val="000000"/>
                <w:sz w:val="21"/>
                <w:szCs w:val="21"/>
              </w:rPr>
              <w:instrText>NiI2</w:instrText>
            </w:r>
            <w:r w:rsidRPr="00B50702">
              <w:rPr>
                <w:color w:val="000000"/>
                <w:sz w:val="21"/>
                <w:szCs w:val="21"/>
              </w:rPr>
              <w:instrText>和</w:instrText>
            </w:r>
            <w:r w:rsidRPr="00B50702">
              <w:rPr>
                <w:color w:val="000000"/>
                <w:sz w:val="21"/>
                <w:szCs w:val="21"/>
              </w:rPr>
              <w:instrText>S8</w:instrText>
            </w:r>
            <w:r w:rsidRPr="00B50702">
              <w:rPr>
                <w:color w:val="000000"/>
                <w:sz w:val="21"/>
                <w:szCs w:val="21"/>
              </w:rPr>
              <w:instrText>），而对于</w:instrText>
            </w:r>
            <w:r w:rsidRPr="00B50702">
              <w:rPr>
                <w:color w:val="000000"/>
                <w:sz w:val="21"/>
                <w:szCs w:val="21"/>
              </w:rPr>
              <w:instrText>MoS2</w:instrText>
            </w:r>
            <w:r w:rsidRPr="00B50702">
              <w:rPr>
                <w:color w:val="000000"/>
                <w:sz w:val="21"/>
                <w:szCs w:val="21"/>
              </w:rPr>
              <w:instrText>，静电吸附对碘捕获做出了主要贡献，对于</w:instrText>
            </w:r>
            <w:r w:rsidRPr="00B50702">
              <w:rPr>
                <w:color w:val="000000"/>
                <w:sz w:val="21"/>
                <w:szCs w:val="21"/>
              </w:rPr>
              <w:instrText>CoS2</w:instrText>
            </w:r>
            <w:r w:rsidRPr="00B50702">
              <w:rPr>
                <w:color w:val="000000"/>
                <w:sz w:val="21"/>
                <w:szCs w:val="21"/>
              </w:rPr>
              <w:instrText>，界面相互作用促进了碘的吸收能力。我们进行密度泛函理论（</w:instrText>
            </w:r>
            <w:r w:rsidRPr="00B50702">
              <w:rPr>
                <w:color w:val="000000"/>
                <w:sz w:val="21"/>
                <w:szCs w:val="21"/>
              </w:rPr>
              <w:instrText>DFT</w:instrText>
            </w:r>
            <w:r w:rsidRPr="00B50702">
              <w:rPr>
                <w:color w:val="000000"/>
                <w:sz w:val="21"/>
                <w:szCs w:val="21"/>
              </w:rPr>
              <w:instrText>）计算以确定碘吸附能（</w:instrText>
            </w:r>
            <w:r w:rsidRPr="00B50702">
              <w:rPr>
                <w:color w:val="000000"/>
                <w:sz w:val="21"/>
                <w:szCs w:val="21"/>
              </w:rPr>
              <w:instrText>Ead</w:instrText>
            </w:r>
            <w:r w:rsidRPr="00B50702">
              <w:rPr>
                <w:color w:val="000000"/>
                <w:sz w:val="21"/>
                <w:szCs w:val="21"/>
              </w:rPr>
              <w:instrText>），结果表明，在</w:instrText>
            </w:r>
            <w:r w:rsidRPr="00B50702">
              <w:rPr>
                <w:color w:val="000000"/>
                <w:sz w:val="21"/>
                <w:szCs w:val="21"/>
              </w:rPr>
              <w:instrText>Ni3S2</w:instrText>
            </w:r>
            <w:r w:rsidRPr="00B50702">
              <w:rPr>
                <w:color w:val="000000"/>
                <w:sz w:val="21"/>
                <w:szCs w:val="21"/>
              </w:rPr>
              <w:instrText>中，</w:instrText>
            </w:r>
            <w:r w:rsidRPr="00B50702">
              <w:rPr>
                <w:color w:val="000000"/>
                <w:sz w:val="21"/>
                <w:szCs w:val="21"/>
              </w:rPr>
              <w:instrText>Ni</w:instrText>
            </w:r>
            <w:r w:rsidRPr="00B50702">
              <w:rPr>
                <w:color w:val="000000"/>
                <w:sz w:val="21"/>
                <w:szCs w:val="21"/>
              </w:rPr>
              <w:instrText>和</w:instrText>
            </w:r>
            <w:r w:rsidRPr="00B50702">
              <w:rPr>
                <w:color w:val="000000"/>
                <w:sz w:val="21"/>
                <w:szCs w:val="21"/>
              </w:rPr>
              <w:instrText>S</w:instrText>
            </w:r>
            <w:r w:rsidRPr="00B50702">
              <w:rPr>
                <w:color w:val="000000"/>
                <w:sz w:val="21"/>
                <w:szCs w:val="21"/>
              </w:rPr>
              <w:instrText>都是碘吸附位点，</w:instrText>
            </w:r>
            <w:r w:rsidRPr="00B50702">
              <w:rPr>
                <w:color w:val="000000"/>
                <w:sz w:val="21"/>
                <w:szCs w:val="21"/>
              </w:rPr>
              <w:instrText>Ni</w:instrText>
            </w:r>
            <w:r w:rsidRPr="00B50702">
              <w:rPr>
                <w:color w:val="000000"/>
                <w:sz w:val="21"/>
                <w:szCs w:val="21"/>
              </w:rPr>
              <w:instrText>位点与</w:instrText>
            </w:r>
            <w:r w:rsidRPr="00B50702">
              <w:rPr>
                <w:color w:val="000000"/>
                <w:sz w:val="21"/>
                <w:szCs w:val="21"/>
              </w:rPr>
              <w:instrText>I2</w:instrText>
            </w:r>
            <w:r w:rsidRPr="00B50702">
              <w:rPr>
                <w:color w:val="000000"/>
                <w:sz w:val="21"/>
                <w:szCs w:val="21"/>
              </w:rPr>
              <w:instrText>的结合比</w:instrText>
            </w:r>
            <w:r w:rsidRPr="00B50702">
              <w:rPr>
                <w:color w:val="000000"/>
                <w:sz w:val="21"/>
                <w:szCs w:val="21"/>
              </w:rPr>
              <w:instrText>S</w:instrText>
            </w:r>
            <w:r w:rsidRPr="00B50702">
              <w:rPr>
                <w:color w:val="000000"/>
                <w:sz w:val="21"/>
                <w:szCs w:val="21"/>
              </w:rPr>
              <w:instrText>位点更紧密，而对于</w:instrText>
            </w:r>
            <w:r w:rsidRPr="00B50702">
              <w:rPr>
                <w:color w:val="000000"/>
                <w:sz w:val="21"/>
                <w:szCs w:val="21"/>
              </w:rPr>
              <w:instrText>MoS2</w:instrText>
            </w:r>
            <w:r w:rsidRPr="00B50702">
              <w:rPr>
                <w:color w:val="000000"/>
                <w:sz w:val="21"/>
                <w:szCs w:val="21"/>
              </w:rPr>
              <w:instrText>，</w:instrText>
            </w:r>
            <w:r w:rsidRPr="00B50702">
              <w:rPr>
                <w:color w:val="000000"/>
                <w:sz w:val="21"/>
                <w:szCs w:val="21"/>
              </w:rPr>
              <w:instrText>S</w:instrText>
            </w:r>
            <w:r w:rsidRPr="00B50702">
              <w:rPr>
                <w:color w:val="000000"/>
                <w:sz w:val="21"/>
                <w:szCs w:val="21"/>
              </w:rPr>
              <w:instrText>位点（而不是</w:instrText>
            </w:r>
            <w:r w:rsidRPr="00B50702">
              <w:rPr>
                <w:color w:val="000000"/>
                <w:sz w:val="21"/>
                <w:szCs w:val="21"/>
              </w:rPr>
              <w:instrText>Mo</w:instrText>
            </w:r>
            <w:r w:rsidRPr="00B50702">
              <w:rPr>
                <w:color w:val="000000"/>
                <w:sz w:val="21"/>
                <w:szCs w:val="21"/>
              </w:rPr>
              <w:instrText>）更倾向于吸附</w:instrText>
            </w:r>
            <w:r w:rsidRPr="00B50702">
              <w:rPr>
                <w:color w:val="000000"/>
                <w:sz w:val="21"/>
                <w:szCs w:val="21"/>
              </w:rPr>
              <w:instrText>I2</w:instrText>
            </w:r>
            <w:r w:rsidRPr="00B50702">
              <w:rPr>
                <w:color w:val="000000"/>
                <w:sz w:val="21"/>
                <w:szCs w:val="21"/>
              </w:rPr>
              <w:instrText>。</w:instrText>
            </w:r>
            <w:r w:rsidRPr="00B50702">
              <w:rPr>
                <w:color w:val="000000"/>
                <w:sz w:val="21"/>
                <w:szCs w:val="21"/>
              </w:rPr>
              <w:instrText>X</w:instrText>
            </w:r>
            <w:r w:rsidRPr="00B50702">
              <w:rPr>
                <w:color w:val="000000"/>
                <w:sz w:val="21"/>
                <w:szCs w:val="21"/>
              </w:rPr>
              <w:instrText>射线吸收精细结构（</w:instrText>
            </w:r>
            <w:r w:rsidRPr="00B50702">
              <w:rPr>
                <w:color w:val="000000"/>
                <w:sz w:val="21"/>
                <w:szCs w:val="21"/>
              </w:rPr>
              <w:instrText>XAFS</w:instrText>
            </w:r>
            <w:r w:rsidRPr="00B50702">
              <w:rPr>
                <w:color w:val="000000"/>
                <w:sz w:val="21"/>
                <w:szCs w:val="21"/>
              </w:rPr>
              <w:instrText>）表明，碘捕获后，</w:instrText>
            </w:r>
            <w:r w:rsidRPr="00B50702">
              <w:rPr>
                <w:color w:val="000000"/>
                <w:sz w:val="21"/>
                <w:szCs w:val="21"/>
              </w:rPr>
              <w:instrText>Mo</w:instrText>
            </w:r>
            <w:r w:rsidRPr="00B50702">
              <w:rPr>
                <w:color w:val="000000"/>
                <w:sz w:val="21"/>
                <w:szCs w:val="21"/>
              </w:rPr>
              <w:instrText>和</w:instrText>
            </w:r>
            <w:r w:rsidRPr="00B50702">
              <w:rPr>
                <w:color w:val="000000"/>
                <w:sz w:val="21"/>
                <w:szCs w:val="21"/>
              </w:rPr>
              <w:instrText>Ni</w:instrText>
            </w:r>
            <w:r w:rsidRPr="00B50702">
              <w:rPr>
                <w:color w:val="000000"/>
                <w:sz w:val="21"/>
                <w:szCs w:val="21"/>
              </w:rPr>
              <w:instrText>的氧化态比</w:instrText>
            </w:r>
            <w:r w:rsidRPr="00B50702">
              <w:rPr>
                <w:color w:val="000000"/>
                <w:sz w:val="21"/>
                <w:szCs w:val="21"/>
              </w:rPr>
              <w:instrText>Co</w:instrText>
            </w:r>
            <w:r w:rsidRPr="00B50702">
              <w:rPr>
                <w:color w:val="000000"/>
                <w:sz w:val="21"/>
                <w:szCs w:val="21"/>
              </w:rPr>
              <w:instrText>的氧化态增加更多，验证了</w:instrText>
            </w:r>
            <w:r w:rsidRPr="00B50702">
              <w:rPr>
                <w:color w:val="000000"/>
                <w:sz w:val="21"/>
                <w:szCs w:val="21"/>
              </w:rPr>
              <w:instrText>Ni3S2</w:instrText>
            </w:r>
            <w:r w:rsidRPr="00B50702">
              <w:rPr>
                <w:color w:val="000000"/>
                <w:sz w:val="21"/>
                <w:szCs w:val="21"/>
              </w:rPr>
              <w:instrText>和</w:instrText>
            </w:r>
            <w:r w:rsidRPr="00B50702">
              <w:rPr>
                <w:color w:val="000000"/>
                <w:sz w:val="21"/>
                <w:szCs w:val="21"/>
              </w:rPr>
              <w:instrText>MoS2</w:instrText>
            </w:r>
            <w:r w:rsidRPr="00B50702">
              <w:rPr>
                <w:color w:val="000000"/>
                <w:sz w:val="21"/>
                <w:szCs w:val="21"/>
              </w:rPr>
              <w:instrText>在</w:instrText>
            </w:r>
            <w:r w:rsidRPr="00B50702">
              <w:rPr>
                <w:color w:val="000000"/>
                <w:sz w:val="21"/>
                <w:szCs w:val="21"/>
              </w:rPr>
              <w:instrText>I2</w:instrText>
            </w:r>
            <w:r w:rsidRPr="00B50702">
              <w:rPr>
                <w:color w:val="000000"/>
                <w:sz w:val="21"/>
                <w:szCs w:val="21"/>
              </w:rPr>
              <w:instrText>上的相互作用比</w:instrText>
            </w:r>
            <w:r w:rsidRPr="00B50702">
              <w:rPr>
                <w:color w:val="000000"/>
                <w:sz w:val="21"/>
                <w:szCs w:val="21"/>
              </w:rPr>
              <w:instrText>CoS2</w:instrText>
            </w:r>
            <w:r w:rsidRPr="00B50702">
              <w:rPr>
                <w:color w:val="000000"/>
                <w:sz w:val="21"/>
                <w:szCs w:val="21"/>
              </w:rPr>
              <w:instrText>更多。虽然</w:instrText>
            </w:r>
            <w:r w:rsidRPr="00B50702">
              <w:rPr>
                <w:color w:val="000000"/>
                <w:sz w:val="21"/>
                <w:szCs w:val="21"/>
              </w:rPr>
              <w:instrText>CoS2</w:instrText>
            </w:r>
            <w:r w:rsidRPr="00B50702">
              <w:rPr>
                <w:color w:val="000000"/>
                <w:sz w:val="21"/>
                <w:szCs w:val="21"/>
              </w:rPr>
              <w:instrText>组分不直接吸附</w:instrText>
            </w:r>
            <w:r w:rsidRPr="00B50702">
              <w:rPr>
                <w:color w:val="000000"/>
                <w:sz w:val="21"/>
                <w:szCs w:val="21"/>
              </w:rPr>
              <w:instrText>I2</w:instrText>
            </w:r>
            <w:r w:rsidRPr="00B50702">
              <w:rPr>
                <w:color w:val="000000"/>
                <w:sz w:val="21"/>
                <w:szCs w:val="21"/>
              </w:rPr>
              <w:instrText>，但</w:instrText>
            </w:r>
            <w:r w:rsidRPr="00B50702">
              <w:rPr>
                <w:color w:val="000000"/>
                <w:sz w:val="21"/>
                <w:szCs w:val="21"/>
              </w:rPr>
              <w:instrText>Co</w:instrText>
            </w:r>
            <w:r w:rsidRPr="00B50702">
              <w:rPr>
                <w:color w:val="000000"/>
                <w:sz w:val="21"/>
                <w:szCs w:val="21"/>
              </w:rPr>
              <w:instrText>的界面电子转移</w:instrText>
            </w:r>
            <w:r w:rsidRPr="00B50702">
              <w:rPr>
                <w:color w:val="000000"/>
                <w:sz w:val="21"/>
                <w:szCs w:val="21"/>
              </w:rPr>
              <w:instrText xml:space="preserve">→ </w:instrText>
            </w:r>
            <w:r w:rsidRPr="00B50702">
              <w:rPr>
                <w:color w:val="000000"/>
                <w:sz w:val="21"/>
                <w:szCs w:val="21"/>
              </w:rPr>
              <w:instrText>镍和钴</w:instrText>
            </w:r>
            <w:r w:rsidRPr="00B50702">
              <w:rPr>
                <w:color w:val="000000"/>
                <w:sz w:val="21"/>
                <w:szCs w:val="21"/>
              </w:rPr>
              <w:instrText xml:space="preserve">→ </w:instrText>
            </w:r>
            <w:r w:rsidRPr="00B50702">
              <w:rPr>
                <w:color w:val="000000"/>
                <w:sz w:val="21"/>
                <w:szCs w:val="21"/>
              </w:rPr>
              <w:instrText>钼显著提高了碘的吸附能力。</w:instrText>
            </w:r>
            <w:r w:rsidRPr="00B50702">
              <w:rPr>
                <w:color w:val="000000"/>
                <w:sz w:val="21"/>
                <w:szCs w:val="21"/>
              </w:rPr>
              <w:instrText>MoS2/CoS2/Ni3S2/NF</w:instrText>
            </w:r>
            <w:r w:rsidRPr="00B50702">
              <w:rPr>
                <w:color w:val="000000"/>
                <w:sz w:val="21"/>
                <w:szCs w:val="21"/>
              </w:rPr>
              <w:instrText>组件中多个组分</w:instrText>
            </w:r>
            <w:r w:rsidRPr="00B50702">
              <w:rPr>
                <w:color w:val="000000"/>
                <w:sz w:val="21"/>
                <w:szCs w:val="21"/>
              </w:rPr>
              <w:instrText>/</w:instrText>
            </w:r>
            <w:r w:rsidRPr="00B50702">
              <w:rPr>
                <w:color w:val="000000"/>
                <w:sz w:val="21"/>
                <w:szCs w:val="21"/>
              </w:rPr>
              <w:instrText>位点的协同效应提供了出色的碘捕获。这项工作为定制有效的金属硫化物基吸附剂从放射性废物中捕获碘提供了新的视角和理论参考。</w:instrText>
            </w:r>
            <w:r w:rsidRPr="00B50702">
              <w:rPr>
                <w:color w:val="000000"/>
                <w:sz w:val="21"/>
                <w:szCs w:val="21"/>
              </w:rPr>
              <w:instrText xml:space="preserve">\ntitleTranslation: </w:instrText>
            </w:r>
            <w:r w:rsidRPr="00B50702">
              <w:rPr>
                <w:color w:val="000000"/>
                <w:sz w:val="21"/>
                <w:szCs w:val="21"/>
              </w:rPr>
              <w:instrText>在泡沫镍上生长的</w:instrText>
            </w:r>
            <w:r w:rsidRPr="00B50702">
              <w:rPr>
                <w:color w:val="000000"/>
                <w:sz w:val="21"/>
                <w:szCs w:val="21"/>
              </w:rPr>
              <w:instrText>MoS2/CoS2/Ni3S2</w:instrText>
            </w:r>
            <w:r w:rsidRPr="00B50702">
              <w:rPr>
                <w:color w:val="000000"/>
                <w:sz w:val="21"/>
                <w:szCs w:val="21"/>
              </w:rPr>
              <w:instrText>纳米组装体协同捕获碘</w:instrText>
            </w:r>
            <w:r w:rsidRPr="00B50702">
              <w:rPr>
                <w:color w:val="000000"/>
                <w:sz w:val="21"/>
                <w:szCs w:val="21"/>
              </w:rPr>
              <w:instrText xml:space="preserve">","page":"152514","source":"DOI.org (Crossref)","title":"Nanoscale assembly of MoS2/CoS2/Ni3S2 grown on Ni foam for synergistic capture of iodine","volume":"493","author":[{"family":"Wang","given":"Chaonan"},{"family":"Yao","given":"Huiqin"},{"family":"Sun","given":"Jingtong"},{"family":"Tong","given":"Tian"},{"family":"Ye","given":"Zi"},{"family":"Dong","given":"Hongliang"},{"family":"Li","given":"Cheng"},{"family":"Ma","given":"Shulan"}],"issued":{"date-parts":[["2024",8]]}}}],"schema":"https://github.com/citation-style-language/schema/raw/master/csl-citation.json"} </w:instrText>
            </w:r>
            <w:r w:rsidRPr="00B50702">
              <w:rPr>
                <w:color w:val="000000"/>
                <w:sz w:val="21"/>
                <w:szCs w:val="21"/>
              </w:rPr>
              <w:fldChar w:fldCharType="separate"/>
            </w:r>
            <w:r w:rsidRPr="00B50702">
              <w:rPr>
                <w:sz w:val="21"/>
              </w:rPr>
              <w:t>[25]</w:t>
            </w:r>
            <w:r w:rsidRPr="00B50702">
              <w:rPr>
                <w:color w:val="000000"/>
                <w:sz w:val="21"/>
                <w:szCs w:val="21"/>
              </w:rPr>
              <w:fldChar w:fldCharType="end"/>
            </w:r>
          </w:p>
        </w:tc>
      </w:tr>
      <w:tr w:rsidR="007E3433" w:rsidRPr="00B50702" w14:paraId="305DF914" w14:textId="77777777" w:rsidTr="003534D2">
        <w:trPr>
          <w:jc w:val="center"/>
        </w:trPr>
        <w:tc>
          <w:tcPr>
            <w:tcW w:w="724" w:type="pct"/>
            <w:shd w:val="clear" w:color="auto" w:fill="FFFFFF"/>
            <w:vAlign w:val="center"/>
          </w:tcPr>
          <w:p w14:paraId="5EC1B62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g</w:t>
            </w:r>
          </w:p>
        </w:tc>
        <w:tc>
          <w:tcPr>
            <w:tcW w:w="1326" w:type="pct"/>
            <w:shd w:val="clear" w:color="auto" w:fill="FFFFFF"/>
            <w:vAlign w:val="center"/>
          </w:tcPr>
          <w:p w14:paraId="4876C5B2"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iCOFs-ABS-2</w:t>
            </w:r>
          </w:p>
        </w:tc>
        <w:tc>
          <w:tcPr>
            <w:tcW w:w="591" w:type="pct"/>
            <w:shd w:val="clear" w:color="auto" w:fill="FFFFFF"/>
            <w:vAlign w:val="center"/>
          </w:tcPr>
          <w:p w14:paraId="0F8B265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77</w:t>
            </w:r>
          </w:p>
        </w:tc>
        <w:tc>
          <w:tcPr>
            <w:tcW w:w="609" w:type="pct"/>
            <w:shd w:val="clear" w:color="auto" w:fill="FFFFFF"/>
            <w:vAlign w:val="center"/>
          </w:tcPr>
          <w:p w14:paraId="684AA7E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84</w:t>
            </w:r>
          </w:p>
        </w:tc>
        <w:tc>
          <w:tcPr>
            <w:tcW w:w="685" w:type="pct"/>
            <w:shd w:val="clear" w:color="auto" w:fill="FFFFFF"/>
            <w:vAlign w:val="center"/>
          </w:tcPr>
          <w:p w14:paraId="13192483"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4.26</w:t>
            </w:r>
          </w:p>
        </w:tc>
        <w:tc>
          <w:tcPr>
            <w:tcW w:w="1065" w:type="pct"/>
            <w:shd w:val="clear" w:color="auto" w:fill="FFFFFF"/>
            <w:vAlign w:val="center"/>
          </w:tcPr>
          <w:p w14:paraId="469A8144"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{"citationID":"aK4zEVzt","properties":{"formattedCitation":"[14]","plainCitation":"[14]","noteIndex":0},"citationItems":[{"id":766,"uris":["http://zotero.org/users/14169885/items/WQ4Y4ICX"],"itemData":{"id":766,"type":"article-journal","abstract":"With the incresing development of nuclear power plants, the radioactive iodine produced from nuclear waste and nuclear accidents poses increasing threat to the human health and environment. The iodine adsorption behavior of the neutral flexible covalent organic skeleton has been somewhat studied, but to our knowledge, there are no reports of iodine capture by ionized flexible COFs. Herein, we apply a post-functionalization process to construct two cationic flexible COFs (iCOFs-AB-1 and iCOFs-AB-2) for the first time. The iCOFs-AB-1 and iCOFs-AB-2 exhibit I2 uptake capacities of 3.36 and 4.26 g g 1 at 77 ◦C, which are improved 1.19 and 1.14 times compared to that of neutral flexible COFs. The promotion of ionic groups on iodine adsorption and the iodine valence states adsorbed at diverse sites have identified by experiments. The adsorption mechanism studies show that the segregative bromide and iodide anions in iCOFs-AB-1 and iCOFs-AB-2 can induce molecular iodine to engender polyiodide anions, and the quaternary ammonium salt cations in iCOFs-AB-1 and iCOFs-AB-2 can come into being the Coulomb interaction force with the aforementioned polyiodide anions. This study demonstrates an efficient method to synthesize cationic flexible COFs and further use them as adsorbents for capturing iodine.","container-title":"Chemical Engineering Journal","DOI":"10.1016/j.cej.2023.148076","ISSN":"13858947","journalAbbreviation":"Chemical Engineering Journal","language":"en","note":"abstractTranslation: </w:instrText>
            </w:r>
            <w:r w:rsidRPr="00B50702">
              <w:rPr>
                <w:color w:val="000000"/>
                <w:sz w:val="21"/>
                <w:szCs w:val="21"/>
              </w:rPr>
              <w:instrText>随着核电站的不断发展，核废料和核事故产生的放射性碘对人类健康和环境的威胁越来越大。中性柔性共价有机骨架的碘吸附行为已经得到了一些研究，但据我们所知，还没有关于电离柔性</w:instrText>
            </w:r>
            <w:r w:rsidRPr="00B50702">
              <w:rPr>
                <w:color w:val="000000"/>
                <w:sz w:val="21"/>
                <w:szCs w:val="21"/>
              </w:rPr>
              <w:instrText>COF</w:instrText>
            </w:r>
            <w:r w:rsidRPr="00B50702">
              <w:rPr>
                <w:color w:val="000000"/>
                <w:sz w:val="21"/>
                <w:szCs w:val="21"/>
              </w:rPr>
              <w:instrText>捕获碘的报道。在此，我们首次应用后官能化过程构建了两种阳离子柔性</w:instrText>
            </w:r>
            <w:r w:rsidRPr="00B50702">
              <w:rPr>
                <w:color w:val="000000"/>
                <w:sz w:val="21"/>
                <w:szCs w:val="21"/>
              </w:rPr>
              <w:instrText>COF</w:instrText>
            </w:r>
            <w:r w:rsidRPr="00B50702">
              <w:rPr>
                <w:color w:val="000000"/>
                <w:sz w:val="21"/>
                <w:szCs w:val="21"/>
              </w:rPr>
              <w:instrText>（</w:instrText>
            </w:r>
            <w:r w:rsidRPr="00B50702">
              <w:rPr>
                <w:color w:val="000000"/>
                <w:sz w:val="21"/>
                <w:szCs w:val="21"/>
              </w:rPr>
              <w:instrText>iCOFs-AB-1</w:instrText>
            </w:r>
            <w:r w:rsidRPr="00B50702">
              <w:rPr>
                <w:color w:val="000000"/>
                <w:sz w:val="21"/>
                <w:szCs w:val="21"/>
              </w:rPr>
              <w:instrText>和</w:instrText>
            </w:r>
            <w:r w:rsidRPr="00B50702">
              <w:rPr>
                <w:color w:val="000000"/>
                <w:sz w:val="21"/>
                <w:szCs w:val="21"/>
              </w:rPr>
              <w:instrText>iCOFs-ABS-2</w:instrText>
            </w:r>
            <w:r w:rsidRPr="00B50702">
              <w:rPr>
                <w:color w:val="000000"/>
                <w:sz w:val="21"/>
                <w:szCs w:val="21"/>
              </w:rPr>
              <w:instrText>）。</w:instrText>
            </w:r>
            <w:r w:rsidRPr="00B50702">
              <w:rPr>
                <w:color w:val="000000"/>
                <w:sz w:val="21"/>
                <w:szCs w:val="21"/>
              </w:rPr>
              <w:instrText>iCOFs-AB-1</w:instrText>
            </w:r>
            <w:r w:rsidRPr="00B50702">
              <w:rPr>
                <w:color w:val="000000"/>
                <w:sz w:val="21"/>
                <w:szCs w:val="21"/>
              </w:rPr>
              <w:instrText>和</w:instrText>
            </w:r>
            <w:r w:rsidRPr="00B50702">
              <w:rPr>
                <w:color w:val="000000"/>
                <w:sz w:val="21"/>
                <w:szCs w:val="21"/>
              </w:rPr>
              <w:instrText>iCOFs-ABS-2</w:instrText>
            </w:r>
            <w:r w:rsidRPr="00B50702">
              <w:rPr>
                <w:color w:val="000000"/>
                <w:sz w:val="21"/>
                <w:szCs w:val="21"/>
              </w:rPr>
              <w:instrText>在</w:instrText>
            </w:r>
            <w:r w:rsidRPr="00B50702">
              <w:rPr>
                <w:color w:val="000000"/>
                <w:sz w:val="21"/>
                <w:szCs w:val="21"/>
              </w:rPr>
              <w:instrText>77℃</w:instrText>
            </w:r>
            <w:r w:rsidRPr="00B50702">
              <w:rPr>
                <w:color w:val="000000"/>
                <w:sz w:val="21"/>
                <w:szCs w:val="21"/>
              </w:rPr>
              <w:instrText>下的</w:instrText>
            </w:r>
            <w:r w:rsidRPr="00B50702">
              <w:rPr>
                <w:color w:val="000000"/>
                <w:sz w:val="21"/>
                <w:szCs w:val="21"/>
              </w:rPr>
              <w:instrText>I2</w:instrText>
            </w:r>
            <w:r w:rsidRPr="00B50702">
              <w:rPr>
                <w:color w:val="000000"/>
                <w:sz w:val="21"/>
                <w:szCs w:val="21"/>
              </w:rPr>
              <w:instrText>吸收能力分别为</w:instrText>
            </w:r>
            <w:r w:rsidRPr="00B50702">
              <w:rPr>
                <w:color w:val="000000"/>
                <w:sz w:val="21"/>
                <w:szCs w:val="21"/>
              </w:rPr>
              <w:instrText>3.36</w:instrText>
            </w:r>
            <w:r w:rsidRPr="00B50702">
              <w:rPr>
                <w:color w:val="000000"/>
                <w:sz w:val="21"/>
                <w:szCs w:val="21"/>
              </w:rPr>
              <w:instrText>和</w:instrText>
            </w:r>
            <w:r w:rsidRPr="00B50702">
              <w:rPr>
                <w:color w:val="000000"/>
                <w:sz w:val="21"/>
                <w:szCs w:val="21"/>
              </w:rPr>
              <w:instrText>4.26 g g g 1◦C</w:instrText>
            </w:r>
            <w:r w:rsidRPr="00B50702">
              <w:rPr>
                <w:color w:val="000000"/>
                <w:sz w:val="21"/>
                <w:szCs w:val="21"/>
              </w:rPr>
              <w:instrText>、</w:instrText>
            </w:r>
            <w:r w:rsidRPr="00B50702">
              <w:rPr>
                <w:color w:val="000000"/>
                <w:sz w:val="21"/>
                <w:szCs w:val="21"/>
              </w:rPr>
              <w:instrText xml:space="preserve"> </w:instrText>
            </w:r>
            <w:r w:rsidRPr="00B50702">
              <w:rPr>
                <w:color w:val="000000"/>
                <w:sz w:val="21"/>
                <w:szCs w:val="21"/>
              </w:rPr>
              <w:instrText>与中性柔性</w:instrText>
            </w:r>
            <w:r w:rsidRPr="00B50702">
              <w:rPr>
                <w:color w:val="000000"/>
                <w:sz w:val="21"/>
                <w:szCs w:val="21"/>
              </w:rPr>
              <w:instrText>COF</w:instrText>
            </w:r>
            <w:r w:rsidRPr="00B50702">
              <w:rPr>
                <w:color w:val="000000"/>
                <w:sz w:val="21"/>
                <w:szCs w:val="21"/>
              </w:rPr>
              <w:instrText>相比，分别提高了</w:instrText>
            </w:r>
            <w:r w:rsidRPr="00B50702">
              <w:rPr>
                <w:color w:val="000000"/>
                <w:sz w:val="21"/>
                <w:szCs w:val="21"/>
              </w:rPr>
              <w:instrText>1.19</w:instrText>
            </w:r>
            <w:r w:rsidRPr="00B50702">
              <w:rPr>
                <w:color w:val="000000"/>
                <w:sz w:val="21"/>
                <w:szCs w:val="21"/>
              </w:rPr>
              <w:instrText>倍和</w:instrText>
            </w:r>
            <w:r w:rsidRPr="00B50702">
              <w:rPr>
                <w:color w:val="000000"/>
                <w:sz w:val="21"/>
                <w:szCs w:val="21"/>
              </w:rPr>
              <w:instrText>1.14</w:instrText>
            </w:r>
            <w:r w:rsidRPr="00B50702">
              <w:rPr>
                <w:color w:val="000000"/>
                <w:sz w:val="21"/>
                <w:szCs w:val="21"/>
              </w:rPr>
              <w:instrText>倍。通过实验确定了离子基团对碘吸附的促进作用以及不同位置吸附的碘价态。吸附机理研究表明，</w:instrText>
            </w:r>
            <w:r w:rsidRPr="00B50702">
              <w:rPr>
                <w:color w:val="000000"/>
                <w:sz w:val="21"/>
                <w:szCs w:val="21"/>
              </w:rPr>
              <w:instrText>iCOFs-AB-1</w:instrText>
            </w:r>
            <w:r w:rsidRPr="00B50702">
              <w:rPr>
                <w:color w:val="000000"/>
                <w:sz w:val="21"/>
                <w:szCs w:val="21"/>
              </w:rPr>
              <w:instrText>和</w:instrText>
            </w:r>
            <w:r w:rsidRPr="00B50702">
              <w:rPr>
                <w:color w:val="000000"/>
                <w:sz w:val="21"/>
                <w:szCs w:val="21"/>
              </w:rPr>
              <w:instrText>iCOFs-ABS-2</w:instrText>
            </w:r>
            <w:r w:rsidRPr="00B50702">
              <w:rPr>
                <w:color w:val="000000"/>
                <w:sz w:val="21"/>
                <w:szCs w:val="21"/>
              </w:rPr>
              <w:instrText>中的分离溴和碘阴离子可以诱导分子碘产生多碘阴离子，</w:instrText>
            </w:r>
            <w:r w:rsidRPr="00B50702">
              <w:rPr>
                <w:color w:val="000000"/>
                <w:sz w:val="21"/>
                <w:szCs w:val="21"/>
              </w:rPr>
              <w:instrText>iCOFs-AB-1</w:instrText>
            </w:r>
            <w:r w:rsidRPr="00B50702">
              <w:rPr>
                <w:color w:val="000000"/>
                <w:sz w:val="21"/>
                <w:szCs w:val="21"/>
              </w:rPr>
              <w:instrText>和</w:instrText>
            </w:r>
            <w:r w:rsidRPr="00B50702">
              <w:rPr>
                <w:color w:val="000000"/>
                <w:sz w:val="21"/>
                <w:szCs w:val="21"/>
              </w:rPr>
              <w:instrText>iCOFs-AB-2</w:instrText>
            </w:r>
            <w:r w:rsidRPr="00B50702">
              <w:rPr>
                <w:color w:val="000000"/>
                <w:sz w:val="21"/>
                <w:szCs w:val="21"/>
              </w:rPr>
              <w:instrText>中的季铵盐阳离子可以与上述多碘阴离子形成库仑相互作用力。本研究展示了一种合成阳离子柔性</w:instrText>
            </w:r>
            <w:r w:rsidRPr="00B50702">
              <w:rPr>
                <w:color w:val="000000"/>
                <w:sz w:val="21"/>
                <w:szCs w:val="21"/>
              </w:rPr>
              <w:instrText>COF</w:instrText>
            </w:r>
            <w:r w:rsidRPr="00B50702">
              <w:rPr>
                <w:color w:val="000000"/>
                <w:sz w:val="21"/>
                <w:szCs w:val="21"/>
              </w:rPr>
              <w:instrText>的有效方法，并进一步将其用作捕获碘的吸附剂。</w:instrText>
            </w:r>
            <w:r w:rsidRPr="00B50702">
              <w:rPr>
                <w:color w:val="000000"/>
                <w:sz w:val="21"/>
                <w:szCs w:val="21"/>
              </w:rPr>
              <w:instrText xml:space="preserve">\ntitleTranslation: </w:instrText>
            </w:r>
            <w:r w:rsidRPr="00B50702">
              <w:rPr>
                <w:color w:val="000000"/>
                <w:sz w:val="21"/>
                <w:szCs w:val="21"/>
              </w:rPr>
              <w:instrText>通过后官能化构建阳离子柔性共价有机框架以提高碘吸附能力</w:instrText>
            </w:r>
            <w:r w:rsidRPr="00B50702">
              <w:rPr>
                <w:color w:val="000000"/>
                <w:sz w:val="21"/>
                <w:szCs w:val="21"/>
              </w:rPr>
              <w:instrText xml:space="preserve">","page":"148076","source":"DOI.org (Crossref)","title":"Constructing cationic flexible covalent organic frameworks through post-functionalization for enhancing the iodine adsorption capacity","volume":"480","author":[{"family":"Ren","given":"Li-Ying"},{"family":"Geng","given":"Tong-Mou"}],"issued":{"date-parts":[["2024",1]]}}}],"schema":"https://github.com/citation-style-language/schema/raw/master/csl-citation.json"} </w:instrText>
            </w:r>
            <w:r w:rsidRPr="00B50702">
              <w:rPr>
                <w:color w:val="000000"/>
                <w:sz w:val="21"/>
                <w:szCs w:val="21"/>
              </w:rPr>
              <w:fldChar w:fldCharType="separate"/>
            </w:r>
            <w:r w:rsidRPr="00B50702">
              <w:rPr>
                <w:sz w:val="21"/>
              </w:rPr>
              <w:t>[14]</w:t>
            </w:r>
            <w:r w:rsidRPr="00B50702">
              <w:rPr>
                <w:color w:val="000000"/>
                <w:sz w:val="21"/>
                <w:szCs w:val="21"/>
              </w:rPr>
              <w:fldChar w:fldCharType="end"/>
            </w:r>
          </w:p>
        </w:tc>
      </w:tr>
      <w:tr w:rsidR="007E3433" w:rsidRPr="00B50702" w14:paraId="70EC20E3" w14:textId="77777777" w:rsidTr="003534D2">
        <w:trPr>
          <w:jc w:val="center"/>
        </w:trPr>
        <w:tc>
          <w:tcPr>
            <w:tcW w:w="724" w:type="pct"/>
            <w:shd w:val="clear" w:color="auto" w:fill="FFFFFF"/>
            <w:vAlign w:val="center"/>
          </w:tcPr>
          <w:p w14:paraId="202932E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k</w:t>
            </w:r>
          </w:p>
        </w:tc>
        <w:tc>
          <w:tcPr>
            <w:tcW w:w="1326" w:type="pct"/>
            <w:shd w:val="clear" w:color="auto" w:fill="FFFFFF"/>
            <w:vAlign w:val="center"/>
          </w:tcPr>
          <w:p w14:paraId="6792C26C" w14:textId="77777777" w:rsidR="007E3433" w:rsidRPr="00B50702" w:rsidRDefault="007E3433" w:rsidP="003534D2">
            <w:pPr>
              <w:tabs>
                <w:tab w:val="left" w:pos="426"/>
              </w:tabs>
              <w:spacing w:line="440" w:lineRule="exact"/>
              <w:ind w:firstLineChars="0" w:firstLine="0"/>
              <w:rPr>
                <w:color w:val="000000"/>
                <w:sz w:val="21"/>
                <w:szCs w:val="21"/>
              </w:rPr>
            </w:pPr>
            <w:proofErr w:type="spellStart"/>
            <w:r w:rsidRPr="00B50702">
              <w:rPr>
                <w:color w:val="000000"/>
                <w:sz w:val="21"/>
                <w:szCs w:val="21"/>
              </w:rPr>
              <w:t>MgAl</w:t>
            </w:r>
            <w:proofErr w:type="spellEnd"/>
            <w:r w:rsidRPr="00B50702">
              <w:rPr>
                <w:color w:val="000000"/>
                <w:sz w:val="21"/>
                <w:szCs w:val="21"/>
              </w:rPr>
              <w:t>-LDH</w:t>
            </w:r>
          </w:p>
        </w:tc>
        <w:tc>
          <w:tcPr>
            <w:tcW w:w="591" w:type="pct"/>
            <w:shd w:val="clear" w:color="auto" w:fill="FFFFFF"/>
            <w:vAlign w:val="center"/>
          </w:tcPr>
          <w:p w14:paraId="0439A8C4"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330C2086"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15</w:t>
            </w:r>
          </w:p>
        </w:tc>
        <w:tc>
          <w:tcPr>
            <w:tcW w:w="685" w:type="pct"/>
            <w:shd w:val="clear" w:color="auto" w:fill="FFFFFF"/>
            <w:vAlign w:val="center"/>
          </w:tcPr>
          <w:p w14:paraId="73488CC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3.03</w:t>
            </w:r>
          </w:p>
        </w:tc>
        <w:tc>
          <w:tcPr>
            <w:tcW w:w="1065" w:type="pct"/>
            <w:shd w:val="clear" w:color="auto" w:fill="FFFFFF"/>
            <w:vAlign w:val="center"/>
          </w:tcPr>
          <w:p w14:paraId="414E38F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{"citationID":"FgDUdUsT","properties":{"formattedCitation":"[26]","plainCitation":"[26]","noteIndex":0},"citationItems":[{"id":745,"uris":["http://zotero.org/users/14169885/items/YWXY7VVN"],"itemData":{"id":745,"type":"article-journal","abstract":"We report the facile intercalation of the S2O32 into MgAl-LDH (abbr. S2O3-LDH). The good dispersion effect of LDH layers on interlayered S2O32 ensures full exposure of adsorption sites. Based on hard and soft acids and bases (HSAB) principle, the S2O32 as a soft Lewis base endows strong affinity for soft Lewis acidic I2, thus inducing large number of I2 molecules into the LDH gallery (iodine adsorbed in this way is recorded as HSAB-I). Furthermore, the reducibility of S2O32 (one of the S is 2 valence) ensures the oxidation–reduction (REDOX) reaction with I2 (the captured iodine is noted as REDOX-I). The S2O32 can reduce the trapped I2 to I ions, which then combine with I2 to form I3 , yielding I3 intercalated LDH which is very difficult to synthesize. Chemical adsorptions of both HSAB-I and REDOX-I contribute to an extremely large iodine capture (qIm) of 3025 mg/g. Desorption and recyclability experiments demonstrate that the gallery I3 ions can further bind with I2 to produce I5 ions, generating I5 intercalated LDH that has not been reported so far. This work provides an important reference to develop cost-effective sorbents for trapping radioactive iodine from nuclear waste and achieve the novel examples of Ix inserted LDHs.","container-title":"Chemical Engineering Journal","DOI":"10.1016/j.cej.2024.155493","ISSN":"13858947","journalAbbreviation":"Chemical Engineering Journal","language":"en","note":"abstractTranslation: </w:instrText>
            </w:r>
            <w:r w:rsidRPr="00B50702">
              <w:rPr>
                <w:color w:val="000000"/>
                <w:sz w:val="21"/>
                <w:szCs w:val="21"/>
              </w:rPr>
              <w:instrText>我们报道了</w:instrText>
            </w:r>
            <w:r w:rsidRPr="00B50702">
              <w:rPr>
                <w:color w:val="000000"/>
                <w:sz w:val="21"/>
                <w:szCs w:val="21"/>
              </w:rPr>
              <w:instrText>S2O32</w:instrText>
            </w:r>
            <w:r w:rsidRPr="00B50702">
              <w:rPr>
                <w:color w:val="000000"/>
                <w:sz w:val="21"/>
                <w:szCs w:val="21"/>
              </w:rPr>
              <w:instrText>很容易嵌入</w:instrText>
            </w:r>
            <w:r w:rsidRPr="00B50702">
              <w:rPr>
                <w:color w:val="000000"/>
                <w:sz w:val="21"/>
                <w:szCs w:val="21"/>
              </w:rPr>
              <w:instrText>MgAl-LDH</w:instrText>
            </w:r>
            <w:r w:rsidRPr="00B50702">
              <w:rPr>
                <w:color w:val="000000"/>
                <w:sz w:val="21"/>
                <w:szCs w:val="21"/>
              </w:rPr>
              <w:instrText>（缩写</w:instrText>
            </w:r>
            <w:r w:rsidRPr="00B50702">
              <w:rPr>
                <w:color w:val="000000"/>
                <w:sz w:val="21"/>
                <w:szCs w:val="21"/>
              </w:rPr>
              <w:instrText>S2O3-LDH</w:instrText>
            </w:r>
            <w:r w:rsidRPr="00B50702">
              <w:rPr>
                <w:color w:val="000000"/>
                <w:sz w:val="21"/>
                <w:szCs w:val="21"/>
              </w:rPr>
              <w:instrText>）。</w:instrText>
            </w:r>
            <w:r w:rsidRPr="00B50702">
              <w:rPr>
                <w:color w:val="000000"/>
                <w:sz w:val="21"/>
                <w:szCs w:val="21"/>
              </w:rPr>
              <w:instrText>LDH</w:instrText>
            </w:r>
            <w:r w:rsidRPr="00B50702">
              <w:rPr>
                <w:color w:val="000000"/>
                <w:sz w:val="21"/>
                <w:szCs w:val="21"/>
              </w:rPr>
              <w:instrText>层在层间</w:instrText>
            </w:r>
            <w:r w:rsidRPr="00B50702">
              <w:rPr>
                <w:color w:val="000000"/>
                <w:sz w:val="21"/>
                <w:szCs w:val="21"/>
              </w:rPr>
              <w:instrText>S2O32</w:instrText>
            </w:r>
            <w:r w:rsidRPr="00B50702">
              <w:rPr>
                <w:color w:val="000000"/>
                <w:sz w:val="21"/>
                <w:szCs w:val="21"/>
              </w:rPr>
              <w:instrText>上的良好分散效果确保了吸附位点的完全暴露。基于软硬酸碱（</w:instrText>
            </w:r>
            <w:r w:rsidRPr="00B50702">
              <w:rPr>
                <w:color w:val="000000"/>
                <w:sz w:val="21"/>
                <w:szCs w:val="21"/>
              </w:rPr>
              <w:instrText>HSAB</w:instrText>
            </w:r>
            <w:r w:rsidRPr="00B50702">
              <w:rPr>
                <w:color w:val="000000"/>
                <w:sz w:val="21"/>
                <w:szCs w:val="21"/>
              </w:rPr>
              <w:instrText>）原理，</w:instrText>
            </w:r>
            <w:r w:rsidRPr="00B50702">
              <w:rPr>
                <w:color w:val="000000"/>
                <w:sz w:val="21"/>
                <w:szCs w:val="21"/>
              </w:rPr>
              <w:instrText>S2O32</w:instrText>
            </w:r>
            <w:r w:rsidRPr="00B50702">
              <w:rPr>
                <w:color w:val="000000"/>
                <w:sz w:val="21"/>
                <w:szCs w:val="21"/>
              </w:rPr>
              <w:instrText>作为软路易斯碱，对软路易斯酸性</w:instrText>
            </w:r>
            <w:r w:rsidRPr="00B50702">
              <w:rPr>
                <w:color w:val="000000"/>
                <w:sz w:val="21"/>
                <w:szCs w:val="21"/>
              </w:rPr>
              <w:instrText>I2</w:instrText>
            </w:r>
            <w:r w:rsidRPr="00B50702">
              <w:rPr>
                <w:color w:val="000000"/>
                <w:sz w:val="21"/>
                <w:szCs w:val="21"/>
              </w:rPr>
              <w:instrText>具有很强的亲和力，从而诱导大量</w:instrText>
            </w:r>
            <w:r w:rsidRPr="00B50702">
              <w:rPr>
                <w:color w:val="000000"/>
                <w:sz w:val="21"/>
                <w:szCs w:val="21"/>
              </w:rPr>
              <w:instrText>I2</w:instrText>
            </w:r>
            <w:r w:rsidRPr="00B50702">
              <w:rPr>
                <w:color w:val="000000"/>
                <w:sz w:val="21"/>
                <w:szCs w:val="21"/>
              </w:rPr>
              <w:instrText>分子进入</w:instrText>
            </w:r>
            <w:r w:rsidRPr="00B50702">
              <w:rPr>
                <w:color w:val="000000"/>
                <w:sz w:val="21"/>
                <w:szCs w:val="21"/>
              </w:rPr>
              <w:instrText>LDH</w:instrText>
            </w:r>
            <w:r w:rsidRPr="00B50702">
              <w:rPr>
                <w:color w:val="000000"/>
                <w:sz w:val="21"/>
                <w:szCs w:val="21"/>
              </w:rPr>
              <w:instrText>通道（以这种方式吸附的碘被记录为</w:instrText>
            </w:r>
            <w:r w:rsidRPr="00B50702">
              <w:rPr>
                <w:color w:val="000000"/>
                <w:sz w:val="21"/>
                <w:szCs w:val="21"/>
              </w:rPr>
              <w:instrText>HSAB-I</w:instrText>
            </w:r>
            <w:r w:rsidRPr="00B50702">
              <w:rPr>
                <w:color w:val="000000"/>
                <w:sz w:val="21"/>
                <w:szCs w:val="21"/>
              </w:rPr>
              <w:instrText>）。此外，</w:instrText>
            </w:r>
            <w:r w:rsidRPr="00B50702">
              <w:rPr>
                <w:color w:val="000000"/>
                <w:sz w:val="21"/>
                <w:szCs w:val="21"/>
              </w:rPr>
              <w:instrText>S2O32</w:instrText>
            </w:r>
            <w:r w:rsidRPr="00B50702">
              <w:rPr>
                <w:color w:val="000000"/>
                <w:sz w:val="21"/>
                <w:szCs w:val="21"/>
              </w:rPr>
              <w:instrText>的可还原性（其中一个</w:instrText>
            </w:r>
            <w:r w:rsidRPr="00B50702">
              <w:rPr>
                <w:color w:val="000000"/>
                <w:sz w:val="21"/>
                <w:szCs w:val="21"/>
              </w:rPr>
              <w:instrText>S</w:instrText>
            </w:r>
            <w:r w:rsidRPr="00B50702">
              <w:rPr>
                <w:color w:val="000000"/>
                <w:sz w:val="21"/>
                <w:szCs w:val="21"/>
              </w:rPr>
              <w:instrText>为</w:instrText>
            </w:r>
            <w:r w:rsidRPr="00B50702">
              <w:rPr>
                <w:color w:val="000000"/>
                <w:sz w:val="21"/>
                <w:szCs w:val="21"/>
              </w:rPr>
              <w:instrText>2</w:instrText>
            </w:r>
            <w:r w:rsidRPr="00B50702">
              <w:rPr>
                <w:color w:val="000000"/>
                <w:sz w:val="21"/>
                <w:szCs w:val="21"/>
              </w:rPr>
              <w:instrText>价）确保了与</w:instrText>
            </w:r>
            <w:r w:rsidRPr="00B50702">
              <w:rPr>
                <w:color w:val="000000"/>
                <w:sz w:val="21"/>
                <w:szCs w:val="21"/>
              </w:rPr>
              <w:instrText>I2</w:instrText>
            </w:r>
            <w:r w:rsidRPr="00B50702">
              <w:rPr>
                <w:color w:val="000000"/>
                <w:sz w:val="21"/>
                <w:szCs w:val="21"/>
              </w:rPr>
              <w:instrText>的氧化还原（</w:instrText>
            </w:r>
            <w:r w:rsidRPr="00B50702">
              <w:rPr>
                <w:color w:val="000000"/>
                <w:sz w:val="21"/>
                <w:szCs w:val="21"/>
              </w:rPr>
              <w:instrText>REDOX</w:instrText>
            </w:r>
            <w:r w:rsidRPr="00B50702">
              <w:rPr>
                <w:color w:val="000000"/>
                <w:sz w:val="21"/>
                <w:szCs w:val="21"/>
              </w:rPr>
              <w:instrText>）反应（捕获的碘记为</w:instrText>
            </w:r>
            <w:r w:rsidRPr="00B50702">
              <w:rPr>
                <w:color w:val="000000"/>
                <w:sz w:val="21"/>
                <w:szCs w:val="21"/>
              </w:rPr>
              <w:instrText>REDOX-I</w:instrText>
            </w:r>
            <w:r w:rsidRPr="00B50702">
              <w:rPr>
                <w:color w:val="000000"/>
                <w:sz w:val="21"/>
                <w:szCs w:val="21"/>
              </w:rPr>
              <w:instrText>）。</w:instrText>
            </w:r>
            <w:r w:rsidRPr="00B50702">
              <w:rPr>
                <w:color w:val="000000"/>
                <w:sz w:val="21"/>
                <w:szCs w:val="21"/>
              </w:rPr>
              <w:instrText>S2O32</w:instrText>
            </w:r>
            <w:r w:rsidRPr="00B50702">
              <w:rPr>
                <w:color w:val="000000"/>
                <w:sz w:val="21"/>
                <w:szCs w:val="21"/>
              </w:rPr>
              <w:instrText>可以将捕获的</w:instrText>
            </w:r>
            <w:r w:rsidRPr="00B50702">
              <w:rPr>
                <w:color w:val="000000"/>
                <w:sz w:val="21"/>
                <w:szCs w:val="21"/>
              </w:rPr>
              <w:instrText>I2</w:instrText>
            </w:r>
            <w:r w:rsidRPr="00B50702">
              <w:rPr>
                <w:color w:val="000000"/>
                <w:sz w:val="21"/>
                <w:szCs w:val="21"/>
              </w:rPr>
              <w:instrText>还原为</w:instrText>
            </w:r>
            <w:r w:rsidRPr="00B50702">
              <w:rPr>
                <w:color w:val="000000"/>
                <w:sz w:val="21"/>
                <w:szCs w:val="21"/>
              </w:rPr>
              <w:instrText>I</w:instrText>
            </w:r>
            <w:r w:rsidRPr="00B50702">
              <w:rPr>
                <w:color w:val="000000"/>
                <w:sz w:val="21"/>
                <w:szCs w:val="21"/>
              </w:rPr>
              <w:instrText>离子，然后与</w:instrText>
            </w:r>
            <w:r w:rsidRPr="00B50702">
              <w:rPr>
                <w:color w:val="000000"/>
                <w:sz w:val="21"/>
                <w:szCs w:val="21"/>
              </w:rPr>
              <w:instrText>I2</w:instrText>
            </w:r>
            <w:r w:rsidRPr="00B50702">
              <w:rPr>
                <w:color w:val="000000"/>
                <w:sz w:val="21"/>
                <w:szCs w:val="21"/>
              </w:rPr>
              <w:instrText>结合形成</w:instrText>
            </w:r>
            <w:r w:rsidRPr="00B50702">
              <w:rPr>
                <w:color w:val="000000"/>
                <w:sz w:val="21"/>
                <w:szCs w:val="21"/>
              </w:rPr>
              <w:instrText>I3</w:instrText>
            </w:r>
            <w:r w:rsidRPr="00B50702">
              <w:rPr>
                <w:color w:val="000000"/>
                <w:sz w:val="21"/>
                <w:szCs w:val="21"/>
              </w:rPr>
              <w:instrText>，产生很难合成的</w:instrText>
            </w:r>
            <w:r w:rsidRPr="00B50702">
              <w:rPr>
                <w:color w:val="000000"/>
                <w:sz w:val="21"/>
                <w:szCs w:val="21"/>
              </w:rPr>
              <w:instrText>I3</w:instrText>
            </w:r>
            <w:r w:rsidRPr="00B50702">
              <w:rPr>
                <w:color w:val="000000"/>
                <w:sz w:val="21"/>
                <w:szCs w:val="21"/>
              </w:rPr>
              <w:instrText>嵌入</w:instrText>
            </w:r>
            <w:r w:rsidRPr="00B50702">
              <w:rPr>
                <w:color w:val="000000"/>
                <w:sz w:val="21"/>
                <w:szCs w:val="21"/>
              </w:rPr>
              <w:instrText>LDH</w:instrText>
            </w:r>
            <w:r w:rsidRPr="00B50702">
              <w:rPr>
                <w:color w:val="000000"/>
                <w:sz w:val="21"/>
                <w:szCs w:val="21"/>
              </w:rPr>
              <w:instrText>。</w:instrText>
            </w:r>
            <w:r w:rsidRPr="00B50702">
              <w:rPr>
                <w:color w:val="000000"/>
                <w:sz w:val="21"/>
                <w:szCs w:val="21"/>
              </w:rPr>
              <w:instrText>HSAB-I</w:instrText>
            </w:r>
            <w:r w:rsidRPr="00B50702">
              <w:rPr>
                <w:color w:val="000000"/>
                <w:sz w:val="21"/>
                <w:szCs w:val="21"/>
              </w:rPr>
              <w:instrText>和</w:instrText>
            </w:r>
            <w:r w:rsidRPr="00B50702">
              <w:rPr>
                <w:color w:val="000000"/>
                <w:sz w:val="21"/>
                <w:szCs w:val="21"/>
              </w:rPr>
              <w:instrText>REDOX-I</w:instrText>
            </w:r>
            <w:r w:rsidRPr="00B50702">
              <w:rPr>
                <w:color w:val="000000"/>
                <w:sz w:val="21"/>
                <w:szCs w:val="21"/>
              </w:rPr>
              <w:instrText>的化学吸附导致</w:instrText>
            </w:r>
            <w:r w:rsidRPr="00B50702">
              <w:rPr>
                <w:color w:val="000000"/>
                <w:sz w:val="21"/>
                <w:szCs w:val="21"/>
              </w:rPr>
              <w:instrText>3025mg/g</w:instrText>
            </w:r>
            <w:r w:rsidRPr="00B50702">
              <w:rPr>
                <w:color w:val="000000"/>
                <w:sz w:val="21"/>
                <w:szCs w:val="21"/>
              </w:rPr>
              <w:instrText>的极大碘捕获（</w:instrText>
            </w:r>
            <w:r w:rsidRPr="00B50702">
              <w:rPr>
                <w:color w:val="000000"/>
                <w:sz w:val="21"/>
                <w:szCs w:val="21"/>
              </w:rPr>
              <w:instrText>qIm</w:instrText>
            </w:r>
            <w:r w:rsidRPr="00B50702">
              <w:rPr>
                <w:color w:val="000000"/>
                <w:sz w:val="21"/>
                <w:szCs w:val="21"/>
              </w:rPr>
              <w:instrText>）。解吸和可回收性实验表明，通道</w:instrText>
            </w:r>
            <w:r w:rsidRPr="00B50702">
              <w:rPr>
                <w:color w:val="000000"/>
                <w:sz w:val="21"/>
                <w:szCs w:val="21"/>
              </w:rPr>
              <w:instrText>I3</w:instrText>
            </w:r>
            <w:r w:rsidRPr="00B50702">
              <w:rPr>
                <w:color w:val="000000"/>
                <w:sz w:val="21"/>
                <w:szCs w:val="21"/>
              </w:rPr>
              <w:instrText>离子可以进一步与</w:instrText>
            </w:r>
            <w:r w:rsidRPr="00B50702">
              <w:rPr>
                <w:color w:val="000000"/>
                <w:sz w:val="21"/>
                <w:szCs w:val="21"/>
              </w:rPr>
              <w:instrText>I2</w:instrText>
            </w:r>
            <w:r w:rsidRPr="00B50702">
              <w:rPr>
                <w:color w:val="000000"/>
                <w:sz w:val="21"/>
                <w:szCs w:val="21"/>
              </w:rPr>
              <w:instrText>结合产生</w:instrText>
            </w:r>
            <w:r w:rsidRPr="00B50702">
              <w:rPr>
                <w:color w:val="000000"/>
                <w:sz w:val="21"/>
                <w:szCs w:val="21"/>
              </w:rPr>
              <w:instrText>I5</w:instrText>
            </w:r>
            <w:r w:rsidRPr="00B50702">
              <w:rPr>
                <w:color w:val="000000"/>
                <w:sz w:val="21"/>
                <w:szCs w:val="21"/>
              </w:rPr>
              <w:instrText>离子，产生迄今为止尚未报道的</w:instrText>
            </w:r>
            <w:r w:rsidRPr="00B50702">
              <w:rPr>
                <w:color w:val="000000"/>
                <w:sz w:val="21"/>
                <w:szCs w:val="21"/>
              </w:rPr>
              <w:instrText>I5</w:instrText>
            </w:r>
            <w:r w:rsidRPr="00B50702">
              <w:rPr>
                <w:color w:val="000000"/>
                <w:sz w:val="21"/>
                <w:szCs w:val="21"/>
              </w:rPr>
              <w:instrText>嵌入</w:instrText>
            </w:r>
            <w:r w:rsidRPr="00B50702">
              <w:rPr>
                <w:color w:val="000000"/>
                <w:sz w:val="21"/>
                <w:szCs w:val="21"/>
              </w:rPr>
              <w:instrText>LDH</w:instrText>
            </w:r>
            <w:r w:rsidRPr="00B50702">
              <w:rPr>
                <w:color w:val="000000"/>
                <w:sz w:val="21"/>
                <w:szCs w:val="21"/>
              </w:rPr>
              <w:instrText>。这项工作为开发具有成本效益的吸附剂从核废料中捕获放射性碘提供了重要参考，并实现了插入</w:instrText>
            </w:r>
            <w:r w:rsidRPr="00B50702">
              <w:rPr>
                <w:color w:val="000000"/>
                <w:sz w:val="21"/>
                <w:szCs w:val="21"/>
              </w:rPr>
              <w:instrText>Ix</w:instrText>
            </w:r>
            <w:r w:rsidRPr="00B50702">
              <w:rPr>
                <w:color w:val="000000"/>
                <w:sz w:val="21"/>
                <w:szCs w:val="21"/>
              </w:rPr>
              <w:instrText>的</w:instrText>
            </w:r>
            <w:r w:rsidRPr="00B50702">
              <w:rPr>
                <w:color w:val="000000"/>
                <w:sz w:val="21"/>
                <w:szCs w:val="21"/>
              </w:rPr>
              <w:instrText>LDH</w:instrText>
            </w:r>
            <w:r w:rsidRPr="00B50702">
              <w:rPr>
                <w:color w:val="000000"/>
                <w:sz w:val="21"/>
                <w:szCs w:val="21"/>
              </w:rPr>
              <w:instrText>的新实例。</w:instrText>
            </w:r>
            <w:r w:rsidRPr="00B50702">
              <w:rPr>
                <w:color w:val="000000"/>
                <w:sz w:val="21"/>
                <w:szCs w:val="21"/>
              </w:rPr>
              <w:instrText>\ntitleTranslation: S2O32-</w:instrText>
            </w:r>
            <w:r w:rsidRPr="00B50702">
              <w:rPr>
                <w:color w:val="000000"/>
                <w:sz w:val="21"/>
                <w:szCs w:val="21"/>
              </w:rPr>
              <w:instrText>插层</w:instrText>
            </w:r>
            <w:r w:rsidRPr="00B50702">
              <w:rPr>
                <w:color w:val="000000"/>
                <w:sz w:val="21"/>
                <w:szCs w:val="21"/>
              </w:rPr>
              <w:instrText>MgAl-LDH</w:instrText>
            </w:r>
            <w:r w:rsidRPr="00B50702">
              <w:rPr>
                <w:color w:val="000000"/>
                <w:sz w:val="21"/>
                <w:szCs w:val="21"/>
              </w:rPr>
              <w:instrText>高效捕获碘蒸气，</w:instrText>
            </w:r>
            <w:r w:rsidRPr="00B50702">
              <w:rPr>
                <w:color w:val="000000"/>
                <w:sz w:val="21"/>
                <w:szCs w:val="21"/>
              </w:rPr>
              <w:instrText>I3−/I5−</w:instrText>
            </w:r>
            <w:r w:rsidRPr="00B50702">
              <w:rPr>
                <w:color w:val="000000"/>
                <w:sz w:val="21"/>
                <w:szCs w:val="21"/>
              </w:rPr>
              <w:instrText>阴离子轻松插入</w:instrText>
            </w:r>
            <w:r w:rsidRPr="00B50702">
              <w:rPr>
                <w:color w:val="000000"/>
                <w:sz w:val="21"/>
                <w:szCs w:val="21"/>
              </w:rPr>
              <w:instrText>LDH</w:instrText>
            </w:r>
            <w:r w:rsidRPr="00B50702">
              <w:rPr>
                <w:color w:val="000000"/>
                <w:sz w:val="21"/>
                <w:szCs w:val="21"/>
              </w:rPr>
              <w:instrText>通道</w:instrText>
            </w:r>
            <w:r w:rsidRPr="00B50702">
              <w:rPr>
                <w:color w:val="000000"/>
                <w:sz w:val="21"/>
                <w:szCs w:val="21"/>
              </w:rPr>
              <w:instrText xml:space="preserve">","page":"155493","source":"DOI.org (Crossref)","title":"Highly efficient capture of iodine vapor by S2O32− intercalated MgAl-LDH and facile insertion of I3−/I5− anions into LDH gallery","volume":"498","author":[{"family":"Qiao","given":"Bo"},{"family":"Yao","given":"Huiqin"},{"family":"Sun","given":"Jingtong"},{"family":"Wang","given":"Zitong"},{"family":"Guo","given":"Yuexin"},{"family":"Miao","given":"Chang"},{"family":"Wang","given":"Chaonan"},{"family":"Li","given":"Yongliang"},{"family":"Ma","given":"Shulan"}],"issued":{"date-parts":[["2024",10]]}}}],"schema":"https://github.com/citation-style-language/schema/raw/master/csl-citation.json"} </w:instrText>
            </w:r>
            <w:r w:rsidRPr="00B50702">
              <w:rPr>
                <w:color w:val="000000"/>
                <w:sz w:val="21"/>
                <w:szCs w:val="21"/>
              </w:rPr>
              <w:fldChar w:fldCharType="separate"/>
            </w:r>
            <w:r w:rsidRPr="00B50702">
              <w:rPr>
                <w:sz w:val="21"/>
              </w:rPr>
              <w:t>[26]</w:t>
            </w:r>
            <w:r w:rsidRPr="00B50702">
              <w:rPr>
                <w:color w:val="000000"/>
                <w:sz w:val="21"/>
                <w:szCs w:val="21"/>
              </w:rPr>
              <w:fldChar w:fldCharType="end"/>
            </w:r>
          </w:p>
        </w:tc>
      </w:tr>
      <w:tr w:rsidR="007E3433" w:rsidRPr="00B50702" w14:paraId="50BEB76B" w14:textId="77777777" w:rsidTr="003534D2">
        <w:trPr>
          <w:jc w:val="center"/>
        </w:trPr>
        <w:tc>
          <w:tcPr>
            <w:tcW w:w="724" w:type="pct"/>
            <w:shd w:val="clear" w:color="auto" w:fill="FFFFFF"/>
            <w:vAlign w:val="center"/>
          </w:tcPr>
          <w:p w14:paraId="2DB6976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l</w:t>
            </w:r>
          </w:p>
        </w:tc>
        <w:tc>
          <w:tcPr>
            <w:tcW w:w="1326" w:type="pct"/>
            <w:shd w:val="clear" w:color="auto" w:fill="FFFFFF"/>
            <w:vAlign w:val="center"/>
          </w:tcPr>
          <w:p w14:paraId="50DB3CD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UiO-66-NH@WCA</w:t>
            </w:r>
          </w:p>
        </w:tc>
        <w:tc>
          <w:tcPr>
            <w:tcW w:w="591" w:type="pct"/>
            <w:shd w:val="clear" w:color="auto" w:fill="FFFFFF"/>
            <w:vAlign w:val="center"/>
          </w:tcPr>
          <w:p w14:paraId="05B99F3C"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3D1E6AD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14</w:t>
            </w:r>
          </w:p>
        </w:tc>
        <w:tc>
          <w:tcPr>
            <w:tcW w:w="685" w:type="pct"/>
            <w:shd w:val="clear" w:color="auto" w:fill="FFFFFF"/>
            <w:vAlign w:val="center"/>
          </w:tcPr>
          <w:p w14:paraId="52F5436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0.7</w:t>
            </w:r>
          </w:p>
        </w:tc>
        <w:tc>
          <w:tcPr>
            <w:tcW w:w="1065" w:type="pct"/>
            <w:shd w:val="clear" w:color="auto" w:fill="FFFFFF"/>
            <w:vAlign w:val="center"/>
          </w:tcPr>
          <w:p w14:paraId="2627679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{"citationID":"H0p0weuF","properties":{"formattedCitation":"[27]","plainCitation":"[27]","noteIndex":0},"citationItems":[{"id":36,"uris":["http://zotero.org/users/14169885/items/R73QPD4Y"],"itemData":{"id":36,"type":"article-journal","abstract":"The capture of radioactive iodine is an inevitable requirement in nuclear industry for environmental protection. Metal-organic frameworks (MOFs) are a new generation of sorbents that have wide applications for iodine adsorption and recovery. Although the loading of MOFs on wood can avoid the drawbacks of the powder form of MOFs in implementation, the dense structure of wood results in the lower loading, even after delignification, which limits the adsorption capacity. Herein, a hierarchically porous UiO-66-NH2 @WCA composite was fabricated by in-situ synthesis of UiO-66-NH2 in wood-derived cellulose aerogel (WCA) that was further removed hemicellulose from delignified wood. UiO-66-NH2 @WCA exhibited a high loading (36 wt%) of UiO-66-NH2 crystals and a high adsorption capacity of 704 mg/g for iodine vapor and 248 mg/g for iodine aqueous solution. The adsorption behavior in iodine aqueous solution was well predicted by the Freundlich isotherm and pseudosecond-order kinetic model. The adsorption capacity of UiO-66-NH2 @WCA was highest in solution when the pH was 6, while the ionic strength had little effect. The hydroxyl groups on the WCA matrix had a charge transfer effect with iodine, providing additional sites for iodine capture. Furthermore, a packed column system was applied to demonstrate the excellent recyclability and potential for practical application.","container-title":"Journal of Hazardous Materials","DOI":"10.1016/j.jhazmat.2022.130236","ISSN":"03043894","journalAbbreviation":"Journal of Hazardous Materials","language":"en","note":"titleTranslation: Ui O - 66 - NH2</w:instrText>
            </w:r>
            <w:r w:rsidRPr="00B50702">
              <w:rPr>
                <w:color w:val="000000"/>
                <w:sz w:val="21"/>
                <w:szCs w:val="21"/>
              </w:rPr>
              <w:instrText>在木质纤维素中原位生长用于碘吸附</w:instrText>
            </w:r>
            <w:r w:rsidRPr="00B50702">
              <w:rPr>
                <w:color w:val="000000"/>
                <w:sz w:val="21"/>
                <w:szCs w:val="21"/>
              </w:rPr>
              <w:instrText xml:space="preserve">\nabstractTranslation: </w:instrText>
            </w:r>
            <w:r w:rsidRPr="00B50702">
              <w:rPr>
                <w:color w:val="000000"/>
                <w:sz w:val="21"/>
                <w:szCs w:val="21"/>
              </w:rPr>
              <w:instrText>捕获放射性碘是核工业环境保护的必然要求。金属有机骨架（</w:instrText>
            </w:r>
            <w:r w:rsidRPr="00B50702">
              <w:rPr>
                <w:color w:val="000000"/>
                <w:sz w:val="21"/>
                <w:szCs w:val="21"/>
              </w:rPr>
              <w:instrText>MOFs</w:instrText>
            </w:r>
            <w:r w:rsidRPr="00B50702">
              <w:rPr>
                <w:color w:val="000000"/>
                <w:sz w:val="21"/>
                <w:szCs w:val="21"/>
              </w:rPr>
              <w:instrText>）是新一代吸附剂，在碘吸附和回收方面具有广泛的应用。虽然在木材上加载</w:instrText>
            </w:r>
            <w:r w:rsidRPr="00B50702">
              <w:rPr>
                <w:color w:val="000000"/>
                <w:sz w:val="21"/>
                <w:szCs w:val="21"/>
              </w:rPr>
              <w:instrText>MOFs</w:instrText>
            </w:r>
            <w:r w:rsidRPr="00B50702">
              <w:rPr>
                <w:color w:val="000000"/>
                <w:sz w:val="21"/>
                <w:szCs w:val="21"/>
              </w:rPr>
              <w:instrText>可以避免</w:instrText>
            </w:r>
            <w:r w:rsidRPr="00B50702">
              <w:rPr>
                <w:color w:val="000000"/>
                <w:sz w:val="21"/>
                <w:szCs w:val="21"/>
              </w:rPr>
              <w:instrText>MOFs</w:instrText>
            </w:r>
            <w:r w:rsidRPr="00B50702">
              <w:rPr>
                <w:color w:val="000000"/>
                <w:sz w:val="21"/>
                <w:szCs w:val="21"/>
              </w:rPr>
              <w:instrText>粉末形式在实施中的缺点，但木材的致密结构导致即使在脱木素后也较低的负载，这限制了吸附能力。本文通过在木材来源的纤维素气凝胶（</w:instrText>
            </w:r>
            <w:r w:rsidRPr="00B50702">
              <w:rPr>
                <w:color w:val="000000"/>
                <w:sz w:val="21"/>
                <w:szCs w:val="21"/>
              </w:rPr>
              <w:instrText>WCA</w:instrText>
            </w:r>
            <w:r w:rsidRPr="00B50702">
              <w:rPr>
                <w:color w:val="000000"/>
                <w:sz w:val="21"/>
                <w:szCs w:val="21"/>
              </w:rPr>
              <w:instrText>）中原位合成</w:instrText>
            </w:r>
            <w:r w:rsidRPr="00B50702">
              <w:rPr>
                <w:color w:val="000000"/>
                <w:sz w:val="21"/>
                <w:szCs w:val="21"/>
              </w:rPr>
              <w:instrText>UiO-66-NH2</w:instrText>
            </w:r>
            <w:r w:rsidRPr="00B50702">
              <w:rPr>
                <w:color w:val="000000"/>
                <w:sz w:val="21"/>
                <w:szCs w:val="21"/>
              </w:rPr>
              <w:instrText>，进一步从脱木素木材中去除半纤维素，制备了多层多孔的</w:instrText>
            </w:r>
            <w:r w:rsidRPr="00B50702">
              <w:rPr>
                <w:color w:val="000000"/>
                <w:sz w:val="21"/>
                <w:szCs w:val="21"/>
              </w:rPr>
              <w:instrText>UiO-66-NH2@WCA</w:instrText>
            </w:r>
            <w:r w:rsidRPr="00B50702">
              <w:rPr>
                <w:color w:val="000000"/>
                <w:sz w:val="21"/>
                <w:szCs w:val="21"/>
              </w:rPr>
              <w:instrText>复合材料。</w:instrText>
            </w:r>
            <w:r w:rsidRPr="00B50702">
              <w:rPr>
                <w:color w:val="000000"/>
                <w:sz w:val="21"/>
                <w:szCs w:val="21"/>
              </w:rPr>
              <w:instrText>UiO-66-NH2 @WCA</w:instrText>
            </w:r>
            <w:r w:rsidRPr="00B50702">
              <w:rPr>
                <w:color w:val="000000"/>
                <w:sz w:val="21"/>
                <w:szCs w:val="21"/>
              </w:rPr>
              <w:instrText>表现出高负载量</w:instrText>
            </w:r>
            <w:r w:rsidRPr="00B50702">
              <w:rPr>
                <w:color w:val="000000"/>
                <w:sz w:val="21"/>
                <w:szCs w:val="21"/>
              </w:rPr>
              <w:instrText xml:space="preserve"> </w:instrText>
            </w:r>
            <w:r w:rsidRPr="00B50702">
              <w:rPr>
                <w:color w:val="000000"/>
                <w:sz w:val="21"/>
                <w:szCs w:val="21"/>
              </w:rPr>
              <w:instrText>（</w:instrText>
            </w:r>
            <w:r w:rsidRPr="00B50702">
              <w:rPr>
                <w:color w:val="000000"/>
                <w:sz w:val="21"/>
                <w:szCs w:val="21"/>
              </w:rPr>
              <w:instrText>36 wt%</w:instrText>
            </w:r>
            <w:r w:rsidRPr="00B50702">
              <w:rPr>
                <w:color w:val="000000"/>
                <w:sz w:val="21"/>
                <w:szCs w:val="21"/>
              </w:rPr>
              <w:instrText>）</w:instrText>
            </w:r>
            <w:r w:rsidRPr="00B50702">
              <w:rPr>
                <w:color w:val="000000"/>
                <w:sz w:val="21"/>
                <w:szCs w:val="21"/>
              </w:rPr>
              <w:instrText xml:space="preserve"> </w:instrText>
            </w:r>
            <w:r w:rsidRPr="00B50702">
              <w:rPr>
                <w:color w:val="000000"/>
                <w:sz w:val="21"/>
                <w:szCs w:val="21"/>
              </w:rPr>
              <w:instrText>的</w:instrText>
            </w:r>
            <w:r w:rsidRPr="00B50702">
              <w:rPr>
                <w:color w:val="000000"/>
                <w:sz w:val="21"/>
                <w:szCs w:val="21"/>
              </w:rPr>
              <w:instrText xml:space="preserve"> UiO-66-NH2 </w:instrText>
            </w:r>
            <w:r w:rsidRPr="00B50702">
              <w:rPr>
                <w:color w:val="000000"/>
                <w:sz w:val="21"/>
                <w:szCs w:val="21"/>
              </w:rPr>
              <w:instrText>晶体和对碘蒸气的高吸附能力为</w:instrText>
            </w:r>
            <w:r w:rsidRPr="00B50702">
              <w:rPr>
                <w:color w:val="000000"/>
                <w:sz w:val="21"/>
                <w:szCs w:val="21"/>
              </w:rPr>
              <w:instrText xml:space="preserve"> 704 mg/g</w:instrText>
            </w:r>
            <w:r w:rsidRPr="00B50702">
              <w:rPr>
                <w:color w:val="000000"/>
                <w:sz w:val="21"/>
                <w:szCs w:val="21"/>
              </w:rPr>
              <w:instrText>，对碘水溶液的吸附能力为</w:instrText>
            </w:r>
            <w:r w:rsidRPr="00B50702">
              <w:rPr>
                <w:color w:val="000000"/>
                <w:sz w:val="21"/>
                <w:szCs w:val="21"/>
              </w:rPr>
              <w:instrText xml:space="preserve"> 248 mg/g</w:instrText>
            </w:r>
            <w:r w:rsidRPr="00B50702">
              <w:rPr>
                <w:color w:val="000000"/>
                <w:sz w:val="21"/>
                <w:szCs w:val="21"/>
              </w:rPr>
              <w:instrText>。通过</w:instrText>
            </w:r>
            <w:r w:rsidRPr="00B50702">
              <w:rPr>
                <w:color w:val="000000"/>
                <w:sz w:val="21"/>
                <w:szCs w:val="21"/>
              </w:rPr>
              <w:instrText>Freundlich</w:instrText>
            </w:r>
            <w:r w:rsidRPr="00B50702">
              <w:rPr>
                <w:color w:val="000000"/>
                <w:sz w:val="21"/>
                <w:szCs w:val="21"/>
              </w:rPr>
              <w:instrText>等温线和伪二阶动力学模型可以很好地预测碘水溶液中的吸附行为。当</w:instrText>
            </w:r>
            <w:r w:rsidRPr="00B50702">
              <w:rPr>
                <w:color w:val="000000"/>
                <w:sz w:val="21"/>
                <w:szCs w:val="21"/>
              </w:rPr>
              <w:instrText>pH</w:instrText>
            </w:r>
            <w:r w:rsidRPr="00B50702">
              <w:rPr>
                <w:color w:val="000000"/>
                <w:sz w:val="21"/>
                <w:szCs w:val="21"/>
              </w:rPr>
              <w:instrText>为</w:instrText>
            </w:r>
            <w:r w:rsidRPr="00B50702">
              <w:rPr>
                <w:color w:val="000000"/>
                <w:sz w:val="21"/>
                <w:szCs w:val="21"/>
              </w:rPr>
              <w:instrText>6</w:instrText>
            </w:r>
            <w:r w:rsidRPr="00B50702">
              <w:rPr>
                <w:color w:val="000000"/>
                <w:sz w:val="21"/>
                <w:szCs w:val="21"/>
              </w:rPr>
              <w:instrText>时，</w:instrText>
            </w:r>
            <w:r w:rsidRPr="00B50702">
              <w:rPr>
                <w:color w:val="000000"/>
                <w:sz w:val="21"/>
                <w:szCs w:val="21"/>
              </w:rPr>
              <w:instrText>UiO-66-NH2@WCA</w:instrText>
            </w:r>
            <w:r w:rsidRPr="00B50702">
              <w:rPr>
                <w:color w:val="000000"/>
                <w:sz w:val="21"/>
                <w:szCs w:val="21"/>
              </w:rPr>
              <w:instrText>在溶液中的吸附能力最高，而离子强度影响不大。</w:instrText>
            </w:r>
            <w:r w:rsidRPr="00B50702">
              <w:rPr>
                <w:color w:val="000000"/>
                <w:sz w:val="21"/>
                <w:szCs w:val="21"/>
              </w:rPr>
              <w:instrText>WCA</w:instrText>
            </w:r>
            <w:r w:rsidRPr="00B50702">
              <w:rPr>
                <w:color w:val="000000"/>
                <w:sz w:val="21"/>
                <w:szCs w:val="21"/>
              </w:rPr>
              <w:instrText>基质上的羟基与碘具有电荷转移效应，为碘捕获提供了额外的位点。此外，还应用了填充柱系统来证明其优异的可回收性和实际应用潜力。</w:instrText>
            </w:r>
            <w:r w:rsidRPr="00B50702">
              <w:rPr>
                <w:color w:val="000000"/>
                <w:sz w:val="21"/>
                <w:szCs w:val="21"/>
              </w:rPr>
              <w:instrText xml:space="preserve">","page":"130236","source":"DOI.org (Crossref)","title":"In situ growth of UiO-66-NH2 in wood-derived cellulose for iodine adsorption","volume":"443","author":[{"family":"Tian","given":"Shenglong"},{"family":"Yi","given":"Zede"},{"family":"Chen","given":"Junqing"},{"family":"Fu","given":"Shiyu"}],"issued":{"date-parts":[["2023",2]]}}}],"schema":"https://github.com/citation-style-language/schema/raw/master/csl-citation.json"} </w:instrText>
            </w:r>
            <w:r w:rsidRPr="00B50702">
              <w:rPr>
                <w:color w:val="000000"/>
                <w:sz w:val="21"/>
                <w:szCs w:val="21"/>
              </w:rPr>
              <w:fldChar w:fldCharType="separate"/>
            </w:r>
            <w:r w:rsidRPr="00B50702">
              <w:rPr>
                <w:sz w:val="21"/>
              </w:rPr>
              <w:t>[27]</w:t>
            </w:r>
            <w:r w:rsidRPr="00B50702">
              <w:rPr>
                <w:color w:val="000000"/>
                <w:sz w:val="21"/>
                <w:szCs w:val="21"/>
              </w:rPr>
              <w:fldChar w:fldCharType="end"/>
            </w:r>
          </w:p>
        </w:tc>
      </w:tr>
      <w:tr w:rsidR="007E3433" w:rsidRPr="00B50702" w14:paraId="105C5905" w14:textId="77777777" w:rsidTr="003534D2">
        <w:trPr>
          <w:jc w:val="center"/>
        </w:trPr>
        <w:tc>
          <w:tcPr>
            <w:tcW w:w="724" w:type="pct"/>
            <w:shd w:val="clear" w:color="auto" w:fill="FFFFFF"/>
            <w:vAlign w:val="center"/>
          </w:tcPr>
          <w:p w14:paraId="3F8F655A"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m</w:t>
            </w:r>
          </w:p>
        </w:tc>
        <w:tc>
          <w:tcPr>
            <w:tcW w:w="1326" w:type="pct"/>
            <w:shd w:val="clear" w:color="auto" w:fill="FFFFFF"/>
            <w:vAlign w:val="center"/>
          </w:tcPr>
          <w:p w14:paraId="7B301398" w14:textId="77777777" w:rsidR="007E3433" w:rsidRPr="00B50702" w:rsidRDefault="007E3433" w:rsidP="003534D2">
            <w:pPr>
              <w:tabs>
                <w:tab w:val="left" w:pos="0"/>
              </w:tabs>
              <w:spacing w:line="440" w:lineRule="exact"/>
              <w:ind w:left="1" w:firstLineChars="0" w:hanging="1"/>
              <w:rPr>
                <w:color w:val="000000"/>
                <w:sz w:val="21"/>
                <w:szCs w:val="21"/>
              </w:rPr>
            </w:pPr>
            <w:r w:rsidRPr="00B50702">
              <w:rPr>
                <w:color w:val="000000"/>
                <w:sz w:val="21"/>
                <w:szCs w:val="21"/>
              </w:rPr>
              <w:t>NH</w:t>
            </w:r>
            <w:r w:rsidRPr="00B50702">
              <w:rPr>
                <w:color w:val="000000"/>
                <w:sz w:val="21"/>
                <w:szCs w:val="21"/>
                <w:vertAlign w:val="subscript"/>
              </w:rPr>
              <w:t>2</w:t>
            </w:r>
            <w:r w:rsidRPr="00B50702">
              <w:rPr>
                <w:color w:val="000000"/>
                <w:sz w:val="21"/>
                <w:szCs w:val="21"/>
              </w:rPr>
              <w:t>-MIL-101-on-NH</w:t>
            </w:r>
            <w:r w:rsidRPr="00B50702">
              <w:rPr>
                <w:color w:val="000000"/>
                <w:sz w:val="21"/>
                <w:szCs w:val="21"/>
                <w:vertAlign w:val="subscript"/>
              </w:rPr>
              <w:t>2</w:t>
            </w:r>
            <w:r w:rsidRPr="00B50702">
              <w:rPr>
                <w:color w:val="000000"/>
                <w:sz w:val="21"/>
                <w:szCs w:val="21"/>
              </w:rPr>
              <w:t>-UiO-66</w:t>
            </w:r>
          </w:p>
        </w:tc>
        <w:tc>
          <w:tcPr>
            <w:tcW w:w="591" w:type="pct"/>
            <w:shd w:val="clear" w:color="auto" w:fill="FFFFFF"/>
            <w:vAlign w:val="center"/>
          </w:tcPr>
          <w:p w14:paraId="7E6CAF9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80</w:t>
            </w:r>
          </w:p>
        </w:tc>
        <w:tc>
          <w:tcPr>
            <w:tcW w:w="609" w:type="pct"/>
            <w:shd w:val="clear" w:color="auto" w:fill="FFFFFF"/>
            <w:vAlign w:val="center"/>
          </w:tcPr>
          <w:p w14:paraId="2A9A34EA"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25</w:t>
            </w:r>
          </w:p>
        </w:tc>
        <w:tc>
          <w:tcPr>
            <w:tcW w:w="685" w:type="pct"/>
            <w:shd w:val="clear" w:color="auto" w:fill="FFFFFF"/>
            <w:vAlign w:val="center"/>
          </w:tcPr>
          <w:p w14:paraId="78ECB9D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1.93</w:t>
            </w:r>
          </w:p>
        </w:tc>
        <w:tc>
          <w:tcPr>
            <w:tcW w:w="1065" w:type="pct"/>
            <w:shd w:val="clear" w:color="auto" w:fill="FFFFFF"/>
            <w:vAlign w:val="center"/>
          </w:tcPr>
          <w:p w14:paraId="2CA350B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{"citationID":"Z5quwzdB","properties":{"formattedCitation":"[28]","plainCitation":"[28]","noteIndex":0},"citationItems":[{"id":631,"uris":["http://zotero.org/users/14169885/items/79CDDHFE"],"itemData":{"id":631,"type":"article-journal","abstract":"The effective capture of radioactive iodine vapor is crucial for radiation safety during spent fuel reprocessing. However, current materials used for iodine vapor capture have limitations such as low adsorption efficiency and poor stability, which hinder the effectiveness. To address this issue, an efficient, stable, recoverable and heterogeneous MOF-on-MOF [NH2-MIL-101-on-NH2-UiO-66] adsorbent was prepared using the epitaxial growth strategy. The adsorbent was extensively characterized with various technologies including FT-IR, XPS and XRD, and batch experiments were conducted to evaluate the performance in iodine gas adsorption. Results showed that the adsorption capacity of NH2-MIL-101-on-NH2-UiO-66 reached 1930 mg/g at 80 ◦C and ambient pressure, outperforming the parent MOFs, with a 20–33% higher adsorption rate and a 1.52–2.74 times higher adsorption capacity. Notably, the adsorbent exhibited superior performance compared to commercial silver-exchanged zeolite and other MOFs adsorbents. The excellent adsorption performance of this adsorbent can be attributed to its abundant adsorption sites and well-defined pore structure. Additionally, the adsorbent displayed good thermal stability, withstanding temperatures up to 360℃. Overall, this study provides a highly effective material for iodine vapor adsorption and contributes to the understanding of novel MOF-on-MOF architectures and the applications.","container-title":"Chemical Engineering Journal","DOI":"10.1016/j.cej.2023.145858","ISSN":"13858947","journalAbbreviation":"Chemical Engineering Journal","language":"en","note":"abstractTranslation: </w:instrText>
            </w:r>
            <w:r w:rsidRPr="00B50702">
              <w:rPr>
                <w:color w:val="000000"/>
                <w:sz w:val="21"/>
                <w:szCs w:val="21"/>
              </w:rPr>
              <w:instrText>有效捕获放射性碘蒸气对于乏燃料后处理过程中的辐射安全至关重要。然而，目前用于碘蒸气捕获的材料存在吸附效率低、稳定性差等局限性，这阻碍了其有效性。为了解决这个问题，使用外延生长策略制备了一种高效、稳定、可回收和异质的</w:instrText>
            </w:r>
            <w:r w:rsidRPr="00B50702">
              <w:rPr>
                <w:color w:val="000000"/>
                <w:sz w:val="21"/>
                <w:szCs w:val="21"/>
              </w:rPr>
              <w:instrText>MOF</w:instrText>
            </w:r>
            <w:r w:rsidRPr="00B50702">
              <w:rPr>
                <w:color w:val="000000"/>
                <w:sz w:val="21"/>
                <w:szCs w:val="21"/>
              </w:rPr>
              <w:instrText>吸附剂</w:instrText>
            </w:r>
            <w:r w:rsidRPr="00B50702">
              <w:rPr>
                <w:color w:val="000000"/>
                <w:sz w:val="21"/>
                <w:szCs w:val="21"/>
              </w:rPr>
              <w:instrText>[NH2-MIL-101-on-NH2-UiO-66]</w:instrText>
            </w:r>
            <w:r w:rsidRPr="00B50702">
              <w:rPr>
                <w:color w:val="000000"/>
                <w:sz w:val="21"/>
                <w:szCs w:val="21"/>
              </w:rPr>
              <w:instrText>。通过傅里叶变换红外光谱、</w:instrText>
            </w:r>
            <w:r w:rsidRPr="00B50702">
              <w:rPr>
                <w:color w:val="000000"/>
                <w:sz w:val="21"/>
                <w:szCs w:val="21"/>
              </w:rPr>
              <w:instrText>X</w:instrText>
            </w:r>
            <w:r w:rsidRPr="00B50702">
              <w:rPr>
                <w:color w:val="000000"/>
                <w:sz w:val="21"/>
                <w:szCs w:val="21"/>
              </w:rPr>
              <w:instrText>射线光电子能谱和</w:instrText>
            </w:r>
            <w:r w:rsidRPr="00B50702">
              <w:rPr>
                <w:color w:val="000000"/>
                <w:sz w:val="21"/>
                <w:szCs w:val="21"/>
              </w:rPr>
              <w:instrText>X</w:instrText>
            </w:r>
            <w:r w:rsidRPr="00B50702">
              <w:rPr>
                <w:color w:val="000000"/>
                <w:sz w:val="21"/>
                <w:szCs w:val="21"/>
              </w:rPr>
              <w:instrText>射线衍射等多种技术对吸附剂进行了广泛表征，并进行了批量实验以评估其在碘气吸附中的性能。结果表明，在</w:instrText>
            </w:r>
            <w:r w:rsidRPr="00B50702">
              <w:rPr>
                <w:color w:val="000000"/>
                <w:sz w:val="21"/>
                <w:szCs w:val="21"/>
              </w:rPr>
              <w:instrText>80℃</w:instrText>
            </w:r>
            <w:r w:rsidRPr="00B50702">
              <w:rPr>
                <w:color w:val="000000"/>
                <w:sz w:val="21"/>
                <w:szCs w:val="21"/>
              </w:rPr>
              <w:instrText>下，</w:instrText>
            </w:r>
            <w:r w:rsidRPr="00B50702">
              <w:rPr>
                <w:color w:val="000000"/>
                <w:sz w:val="21"/>
                <w:szCs w:val="21"/>
              </w:rPr>
              <w:instrText>NH2-MIL-101</w:instrText>
            </w:r>
            <w:r w:rsidRPr="00B50702">
              <w:rPr>
                <w:color w:val="000000"/>
                <w:sz w:val="21"/>
                <w:szCs w:val="21"/>
              </w:rPr>
              <w:instrText>在</w:instrText>
            </w:r>
            <w:r w:rsidRPr="00B50702">
              <w:rPr>
                <w:color w:val="000000"/>
                <w:sz w:val="21"/>
                <w:szCs w:val="21"/>
              </w:rPr>
              <w:instrText>NH2-UiO-66</w:instrText>
            </w:r>
            <w:r w:rsidRPr="00B50702">
              <w:rPr>
                <w:color w:val="000000"/>
                <w:sz w:val="21"/>
                <w:szCs w:val="21"/>
              </w:rPr>
              <w:instrText>上的吸附容量达到</w:instrText>
            </w:r>
            <w:r w:rsidRPr="00B50702">
              <w:rPr>
                <w:color w:val="000000"/>
                <w:sz w:val="21"/>
                <w:szCs w:val="21"/>
              </w:rPr>
              <w:instrText>1930mg/g◦C</w:instrText>
            </w:r>
            <w:r w:rsidRPr="00B50702">
              <w:rPr>
                <w:color w:val="000000"/>
                <w:sz w:val="21"/>
                <w:szCs w:val="21"/>
              </w:rPr>
              <w:instrText>和环境压力，优于母体</w:instrText>
            </w:r>
            <w:r w:rsidRPr="00B50702">
              <w:rPr>
                <w:color w:val="000000"/>
                <w:sz w:val="21"/>
                <w:szCs w:val="21"/>
              </w:rPr>
              <w:instrText>MOF</w:instrText>
            </w:r>
            <w:r w:rsidRPr="00B50702">
              <w:rPr>
                <w:color w:val="000000"/>
                <w:sz w:val="21"/>
                <w:szCs w:val="21"/>
              </w:rPr>
              <w:instrText>，吸附率提高</w:instrText>
            </w:r>
            <w:r w:rsidRPr="00B50702">
              <w:rPr>
                <w:color w:val="000000"/>
                <w:sz w:val="21"/>
                <w:szCs w:val="21"/>
              </w:rPr>
              <w:instrText>20-33%</w:instrText>
            </w:r>
            <w:r w:rsidRPr="00B50702">
              <w:rPr>
                <w:color w:val="000000"/>
                <w:sz w:val="21"/>
                <w:szCs w:val="21"/>
              </w:rPr>
              <w:instrText>，吸附容量提高</w:instrText>
            </w:r>
            <w:r w:rsidRPr="00B50702">
              <w:rPr>
                <w:color w:val="000000"/>
                <w:sz w:val="21"/>
                <w:szCs w:val="21"/>
              </w:rPr>
              <w:instrText>1.52-2.74</w:instrText>
            </w:r>
            <w:r w:rsidRPr="00B50702">
              <w:rPr>
                <w:color w:val="000000"/>
                <w:sz w:val="21"/>
                <w:szCs w:val="21"/>
              </w:rPr>
              <w:instrText>倍。值得注意的是，与商业银交换沸石和其他</w:instrText>
            </w:r>
            <w:r w:rsidRPr="00B50702">
              <w:rPr>
                <w:color w:val="000000"/>
                <w:sz w:val="21"/>
                <w:szCs w:val="21"/>
              </w:rPr>
              <w:instrText>MOF</w:instrText>
            </w:r>
            <w:r w:rsidRPr="00B50702">
              <w:rPr>
                <w:color w:val="000000"/>
                <w:sz w:val="21"/>
                <w:szCs w:val="21"/>
              </w:rPr>
              <w:instrText>吸附剂相比，该吸附剂表现出优异的性能。这种吸附剂的优异吸附性能可归因于其丰富的吸附位点和明确的孔结构。此外，吸附剂表现出良好的热稳定性，可承受高达</w:instrText>
            </w:r>
            <w:r w:rsidRPr="00B50702">
              <w:rPr>
                <w:color w:val="000000"/>
                <w:sz w:val="21"/>
                <w:szCs w:val="21"/>
              </w:rPr>
              <w:instrText>360°C</w:instrText>
            </w:r>
            <w:r w:rsidRPr="00B50702">
              <w:rPr>
                <w:color w:val="000000"/>
                <w:sz w:val="21"/>
                <w:szCs w:val="21"/>
              </w:rPr>
              <w:instrText>的温度。总的来说，这项研究为碘蒸气吸附提供了一种高效的材料，并有助于理解新型</w:instrText>
            </w:r>
            <w:r w:rsidRPr="00B50702">
              <w:rPr>
                <w:color w:val="000000"/>
                <w:sz w:val="21"/>
                <w:szCs w:val="21"/>
              </w:rPr>
              <w:instrText>MOF</w:instrText>
            </w:r>
            <w:r w:rsidRPr="00B50702">
              <w:rPr>
                <w:color w:val="000000"/>
                <w:sz w:val="21"/>
                <w:szCs w:val="21"/>
              </w:rPr>
              <w:instrText>的</w:instrText>
            </w:r>
            <w:r w:rsidRPr="00B50702">
              <w:rPr>
                <w:color w:val="000000"/>
                <w:sz w:val="21"/>
                <w:szCs w:val="21"/>
              </w:rPr>
              <w:instrText>MOF</w:instrText>
            </w:r>
            <w:r w:rsidRPr="00B50702">
              <w:rPr>
                <w:color w:val="000000"/>
                <w:sz w:val="21"/>
                <w:szCs w:val="21"/>
              </w:rPr>
              <w:instrText>结构和应用。</w:instrText>
            </w:r>
            <w:r w:rsidRPr="00B50702">
              <w:rPr>
                <w:color w:val="000000"/>
                <w:sz w:val="21"/>
                <w:szCs w:val="21"/>
              </w:rPr>
              <w:instrText xml:space="preserve">\ntitleTranslation: </w:instrText>
            </w:r>
            <w:r w:rsidRPr="00B50702">
              <w:rPr>
                <w:color w:val="000000"/>
                <w:sz w:val="21"/>
                <w:szCs w:val="21"/>
              </w:rPr>
              <w:instrText>用于放射性碘高效吸附的</w:instrText>
            </w:r>
            <w:r w:rsidRPr="00B50702">
              <w:rPr>
                <w:color w:val="000000"/>
                <w:sz w:val="21"/>
                <w:szCs w:val="21"/>
              </w:rPr>
              <w:instrText>MOF</w:instrText>
            </w:r>
            <w:r w:rsidRPr="00B50702">
              <w:rPr>
                <w:color w:val="000000"/>
                <w:sz w:val="21"/>
                <w:szCs w:val="21"/>
              </w:rPr>
              <w:instrText>建筑纳米复合物上的氨基官能化</w:instrText>
            </w:r>
            <w:r w:rsidRPr="00B50702">
              <w:rPr>
                <w:color w:val="000000"/>
                <w:sz w:val="21"/>
                <w:szCs w:val="21"/>
              </w:rPr>
              <w:instrText xml:space="preserve">MOF","page":"145858","source":"DOI.org (Crossref)","title":"Amino-functionalized MOF-on-MOF architectural nanocomplexes composed for radioactive-iodine efficient adsorption","volume":"474","author":[{"family":"Liu","given":"Linshuai"},{"family":"Chen","given":"Lifeng"},{"family":"Thummavichai","given":"Kunyapat"},{"family":"Ye","given":"Zhenxiong"},{"family":"Wang","given":"Youbin"},{"family":"Fujita","given":"Toyohisa"},{"family":"Wang","given":"Xinpeng"}],"issued":{"date-parts":[["2023",10]]}}}],"schema":"https://github.com/citation-style-language/schema/raw/master/csl-citation.json"} </w:instrText>
            </w:r>
            <w:r w:rsidRPr="00B50702">
              <w:rPr>
                <w:color w:val="000000"/>
                <w:sz w:val="21"/>
                <w:szCs w:val="21"/>
              </w:rPr>
              <w:fldChar w:fldCharType="separate"/>
            </w:r>
            <w:r w:rsidRPr="00B50702">
              <w:rPr>
                <w:sz w:val="21"/>
              </w:rPr>
              <w:t>[28]</w:t>
            </w:r>
            <w:r w:rsidRPr="00B50702">
              <w:rPr>
                <w:color w:val="000000"/>
                <w:sz w:val="21"/>
                <w:szCs w:val="21"/>
              </w:rPr>
              <w:fldChar w:fldCharType="end"/>
            </w:r>
          </w:p>
        </w:tc>
      </w:tr>
      <w:tr w:rsidR="007E3433" w:rsidRPr="00B50702" w14:paraId="095AE171" w14:textId="77777777" w:rsidTr="003534D2">
        <w:trPr>
          <w:jc w:val="center"/>
        </w:trPr>
        <w:tc>
          <w:tcPr>
            <w:tcW w:w="724" w:type="pct"/>
            <w:shd w:val="clear" w:color="auto" w:fill="FFFFFF"/>
            <w:vAlign w:val="center"/>
          </w:tcPr>
          <w:p w14:paraId="41CFD4C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n</w:t>
            </w:r>
          </w:p>
        </w:tc>
        <w:tc>
          <w:tcPr>
            <w:tcW w:w="1326" w:type="pct"/>
            <w:shd w:val="clear" w:color="auto" w:fill="FFFFFF"/>
            <w:vAlign w:val="center"/>
          </w:tcPr>
          <w:p w14:paraId="5D23C152"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Zn-Vlm6</w:t>
            </w:r>
          </w:p>
        </w:tc>
        <w:tc>
          <w:tcPr>
            <w:tcW w:w="591" w:type="pct"/>
            <w:shd w:val="clear" w:color="auto" w:fill="FFFFFF"/>
            <w:vAlign w:val="center"/>
          </w:tcPr>
          <w:p w14:paraId="3FBC4280"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200</w:t>
            </w:r>
          </w:p>
        </w:tc>
        <w:tc>
          <w:tcPr>
            <w:tcW w:w="609" w:type="pct"/>
            <w:shd w:val="clear" w:color="auto" w:fill="FFFFFF"/>
            <w:vAlign w:val="center"/>
          </w:tcPr>
          <w:p w14:paraId="34500EE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10</w:t>
            </w:r>
          </w:p>
        </w:tc>
        <w:tc>
          <w:tcPr>
            <w:tcW w:w="685" w:type="pct"/>
            <w:shd w:val="clear" w:color="auto" w:fill="FFFFFF"/>
            <w:vAlign w:val="center"/>
          </w:tcPr>
          <w:p w14:paraId="7E597F8C"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2.47</w:t>
            </w:r>
          </w:p>
        </w:tc>
        <w:tc>
          <w:tcPr>
            <w:tcW w:w="1065" w:type="pct"/>
            <w:shd w:val="clear" w:color="auto" w:fill="FFFFFF"/>
            <w:vAlign w:val="center"/>
          </w:tcPr>
          <w:p w14:paraId="4A7F1BD0"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{"citationID":"1tErzS0V","properties":{"formattedCitation":"[29]","plainCitation":"[29]","noteIndex":0},"citationItems":[{"id":627,"uris":["http://zotero.org/users/14169885/items/84JLFGSU"],"itemData":{"id":627,"type":"article-journal","abstract":"Rationally designing a new adsorbent with highly selective and high adsorption capacity for removing I3 from water is still a significant challenge. Herein, we report an imidazole group-rich coordination polymer (CP) named Zn-Vlm6, which was constructed by the reaction of the 1-vinylimidazole (Vlm) and Zn2+ ions. Zn-Vlm6 showed excellent thermal and chemical stability (1 M HCl and 0.1 M NaOH). The abundance of positively charged imidazole groups and the free anti-anion NO3 in the backbone of Zn-Vlm6 results in strong electrostatic interactions and ion exchange between the material and the guest, in return, a high adsorption capacity for I3 (1680.7 mg g 1). In addition, the kinetics of I3 adsorption on Zn-Vlm6 followed the pseudo-second-order kinetic model and reached adsorption equilibrium within 3 min. More importantly, Zn-Vlm6 can selectively capture I3 in the presence of competing anions and selectively remove high up to 96.4% of I3 from different environments (e. g., lake water, seawater). Moreover, Zn-Vlm6 can also adsorb gaseous iodine up to 2470 mg g 1. This study shows that Zn-Vlm6 has promising applications for removing iodine in the gaseous state and from different aqueous phases.","container-title":"Chemical Engineering Journal","DOI":"10.1016/j.cej.2023.143838","ISSN":"13858947","journalAbbreviation":"Chemical Engineering Journal","language":"en","note":"abstractTranslation: </w:instrText>
            </w:r>
            <w:r w:rsidRPr="00B50702">
              <w:rPr>
                <w:color w:val="000000"/>
                <w:sz w:val="21"/>
                <w:szCs w:val="21"/>
              </w:rPr>
              <w:instrText>合理设计一种具有高选择性和高吸附能力的新型吸附剂来去除水中的</w:instrText>
            </w:r>
            <w:r w:rsidRPr="00B50702">
              <w:rPr>
                <w:color w:val="000000"/>
                <w:sz w:val="21"/>
                <w:szCs w:val="21"/>
              </w:rPr>
              <w:instrText>I3</w:instrText>
            </w:r>
            <w:r w:rsidRPr="00B50702">
              <w:rPr>
                <w:color w:val="000000"/>
                <w:sz w:val="21"/>
                <w:szCs w:val="21"/>
              </w:rPr>
              <w:instrText>仍然是一个重大挑战。本文报道了一种名为</w:instrText>
            </w:r>
            <w:r w:rsidRPr="00B50702">
              <w:rPr>
                <w:color w:val="000000"/>
                <w:sz w:val="21"/>
                <w:szCs w:val="21"/>
              </w:rPr>
              <w:instrText>Zn-V1m6</w:instrText>
            </w:r>
            <w:r w:rsidRPr="00B50702">
              <w:rPr>
                <w:color w:val="000000"/>
                <w:sz w:val="21"/>
                <w:szCs w:val="21"/>
              </w:rPr>
              <w:instrText>的富咪唑基配位聚合物（</w:instrText>
            </w:r>
            <w:r w:rsidRPr="00B50702">
              <w:rPr>
                <w:color w:val="000000"/>
                <w:sz w:val="21"/>
                <w:szCs w:val="21"/>
              </w:rPr>
              <w:instrText>CP</w:instrText>
            </w:r>
            <w:r w:rsidRPr="00B50702">
              <w:rPr>
                <w:color w:val="000000"/>
                <w:sz w:val="21"/>
                <w:szCs w:val="21"/>
              </w:rPr>
              <w:instrText>），它是由</w:instrText>
            </w:r>
            <w:r w:rsidRPr="00B50702">
              <w:rPr>
                <w:color w:val="000000"/>
                <w:sz w:val="21"/>
                <w:szCs w:val="21"/>
              </w:rPr>
              <w:instrText>1-</w:instrText>
            </w:r>
            <w:r w:rsidRPr="00B50702">
              <w:rPr>
                <w:color w:val="000000"/>
                <w:sz w:val="21"/>
                <w:szCs w:val="21"/>
              </w:rPr>
              <w:instrText>乙烯基咪唑（</w:instrText>
            </w:r>
            <w:r w:rsidRPr="00B50702">
              <w:rPr>
                <w:color w:val="000000"/>
                <w:sz w:val="21"/>
                <w:szCs w:val="21"/>
              </w:rPr>
              <w:instrText>Vlm</w:instrText>
            </w:r>
            <w:r w:rsidRPr="00B50702">
              <w:rPr>
                <w:color w:val="000000"/>
                <w:sz w:val="21"/>
                <w:szCs w:val="21"/>
              </w:rPr>
              <w:instrText>）和</w:instrText>
            </w:r>
            <w:r w:rsidRPr="00B50702">
              <w:rPr>
                <w:color w:val="000000"/>
                <w:sz w:val="21"/>
                <w:szCs w:val="21"/>
              </w:rPr>
              <w:instrText>Zn2+</w:instrText>
            </w:r>
            <w:r w:rsidRPr="00B50702">
              <w:rPr>
                <w:color w:val="000000"/>
                <w:sz w:val="21"/>
                <w:szCs w:val="21"/>
              </w:rPr>
              <w:instrText>离子反应构建的。</w:instrText>
            </w:r>
            <w:r w:rsidRPr="00B50702">
              <w:rPr>
                <w:color w:val="000000"/>
                <w:sz w:val="21"/>
                <w:szCs w:val="21"/>
              </w:rPr>
              <w:instrText>Zn-V1m6</w:instrText>
            </w:r>
            <w:r w:rsidRPr="00B50702">
              <w:rPr>
                <w:color w:val="000000"/>
                <w:sz w:val="21"/>
                <w:szCs w:val="21"/>
              </w:rPr>
              <w:instrText>显示出优异的热稳定性和化学稳定性（</w:instrText>
            </w:r>
            <w:r w:rsidRPr="00B50702">
              <w:rPr>
                <w:color w:val="000000"/>
                <w:sz w:val="21"/>
                <w:szCs w:val="21"/>
              </w:rPr>
              <w:instrText>1M HCl</w:instrText>
            </w:r>
            <w:r w:rsidRPr="00B50702">
              <w:rPr>
                <w:color w:val="000000"/>
                <w:sz w:val="21"/>
                <w:szCs w:val="21"/>
              </w:rPr>
              <w:instrText>和</w:instrText>
            </w:r>
            <w:r w:rsidRPr="00B50702">
              <w:rPr>
                <w:color w:val="000000"/>
                <w:sz w:val="21"/>
                <w:szCs w:val="21"/>
              </w:rPr>
              <w:instrText>0.1M NaOH</w:instrText>
            </w:r>
            <w:r w:rsidRPr="00B50702">
              <w:rPr>
                <w:color w:val="000000"/>
                <w:sz w:val="21"/>
                <w:szCs w:val="21"/>
              </w:rPr>
              <w:instrText>）。</w:instrText>
            </w:r>
            <w:r w:rsidRPr="00B50702">
              <w:rPr>
                <w:color w:val="000000"/>
                <w:sz w:val="21"/>
                <w:szCs w:val="21"/>
              </w:rPr>
              <w:instrText>Zn-V1m6</w:instrText>
            </w:r>
            <w:r w:rsidRPr="00B50702">
              <w:rPr>
                <w:color w:val="000000"/>
                <w:sz w:val="21"/>
                <w:szCs w:val="21"/>
              </w:rPr>
              <w:instrText>骨架中带正电的咪唑基团和自由的反阴离子</w:instrText>
            </w:r>
            <w:r w:rsidRPr="00B50702">
              <w:rPr>
                <w:color w:val="000000"/>
                <w:sz w:val="21"/>
                <w:szCs w:val="21"/>
              </w:rPr>
              <w:instrText>NO3</w:instrText>
            </w:r>
            <w:r w:rsidRPr="00B50702">
              <w:rPr>
                <w:color w:val="000000"/>
                <w:sz w:val="21"/>
                <w:szCs w:val="21"/>
              </w:rPr>
              <w:instrText>的丰度导致材料和客体之间强烈的静电相互作用和离子交换，反过来，对</w:instrText>
            </w:r>
            <w:r w:rsidRPr="00B50702">
              <w:rPr>
                <w:color w:val="000000"/>
                <w:sz w:val="21"/>
                <w:szCs w:val="21"/>
              </w:rPr>
              <w:instrText>I3</w:instrText>
            </w:r>
            <w:r w:rsidRPr="00B50702">
              <w:rPr>
                <w:color w:val="000000"/>
                <w:sz w:val="21"/>
                <w:szCs w:val="21"/>
              </w:rPr>
              <w:instrText>的高吸附容量（</w:instrText>
            </w:r>
            <w:r w:rsidRPr="00B50702">
              <w:rPr>
                <w:color w:val="000000"/>
                <w:sz w:val="21"/>
                <w:szCs w:val="21"/>
              </w:rPr>
              <w:instrText>1680.7mg g 1</w:instrText>
            </w:r>
            <w:r w:rsidRPr="00B50702">
              <w:rPr>
                <w:color w:val="000000"/>
                <w:sz w:val="21"/>
                <w:szCs w:val="21"/>
              </w:rPr>
              <w:instrText>）。此外，</w:instrText>
            </w:r>
            <w:r w:rsidRPr="00B50702">
              <w:rPr>
                <w:color w:val="000000"/>
                <w:sz w:val="21"/>
                <w:szCs w:val="21"/>
              </w:rPr>
              <w:instrText>Zn-V1m6</w:instrText>
            </w:r>
            <w:r w:rsidRPr="00B50702">
              <w:rPr>
                <w:color w:val="000000"/>
                <w:sz w:val="21"/>
                <w:szCs w:val="21"/>
              </w:rPr>
              <w:instrText>对</w:instrText>
            </w:r>
            <w:r w:rsidRPr="00B50702">
              <w:rPr>
                <w:color w:val="000000"/>
                <w:sz w:val="21"/>
                <w:szCs w:val="21"/>
              </w:rPr>
              <w:instrText>I3</w:instrText>
            </w:r>
            <w:r w:rsidRPr="00B50702">
              <w:rPr>
                <w:color w:val="000000"/>
                <w:sz w:val="21"/>
                <w:szCs w:val="21"/>
              </w:rPr>
              <w:instrText>的吸附动力学遵循伪二级动力学模型，并在</w:instrText>
            </w:r>
            <w:r w:rsidRPr="00B50702">
              <w:rPr>
                <w:color w:val="000000"/>
                <w:sz w:val="21"/>
                <w:szCs w:val="21"/>
              </w:rPr>
              <w:instrText>3</w:instrText>
            </w:r>
            <w:r w:rsidRPr="00B50702">
              <w:rPr>
                <w:color w:val="000000"/>
                <w:sz w:val="21"/>
                <w:szCs w:val="21"/>
              </w:rPr>
              <w:instrText>分钟内达到吸附平衡。更重要的是，</w:instrText>
            </w:r>
            <w:r w:rsidRPr="00B50702">
              <w:rPr>
                <w:color w:val="000000"/>
                <w:sz w:val="21"/>
                <w:szCs w:val="21"/>
              </w:rPr>
              <w:instrText>Zn-V1m16</w:instrText>
            </w:r>
            <w:r w:rsidRPr="00B50702">
              <w:rPr>
                <w:color w:val="000000"/>
                <w:sz w:val="21"/>
                <w:szCs w:val="21"/>
              </w:rPr>
              <w:instrText>可以在竞争阴离子存在的情况下选择性地捕获</w:instrText>
            </w:r>
            <w:r w:rsidRPr="00B50702">
              <w:rPr>
                <w:color w:val="000000"/>
                <w:sz w:val="21"/>
                <w:szCs w:val="21"/>
              </w:rPr>
              <w:instrText>I3</w:instrText>
            </w:r>
            <w:r w:rsidRPr="00B50702">
              <w:rPr>
                <w:color w:val="000000"/>
                <w:sz w:val="21"/>
                <w:szCs w:val="21"/>
              </w:rPr>
              <w:instrText>，并从不同环境（如湖水、海水）中选择性地去除高达</w:instrText>
            </w:r>
            <w:r w:rsidRPr="00B50702">
              <w:rPr>
                <w:color w:val="000000"/>
                <w:sz w:val="21"/>
                <w:szCs w:val="21"/>
              </w:rPr>
              <w:instrText>96.4%</w:instrText>
            </w:r>
            <w:r w:rsidRPr="00B50702">
              <w:rPr>
                <w:color w:val="000000"/>
                <w:sz w:val="21"/>
                <w:szCs w:val="21"/>
              </w:rPr>
              <w:instrText>的</w:instrText>
            </w:r>
            <w:r w:rsidRPr="00B50702">
              <w:rPr>
                <w:color w:val="000000"/>
                <w:sz w:val="21"/>
                <w:szCs w:val="21"/>
              </w:rPr>
              <w:instrText>I3</w:instrText>
            </w:r>
            <w:r w:rsidRPr="00B50702">
              <w:rPr>
                <w:color w:val="000000"/>
                <w:sz w:val="21"/>
                <w:szCs w:val="21"/>
              </w:rPr>
              <w:instrText>。此外，</w:instrText>
            </w:r>
            <w:r w:rsidRPr="00B50702">
              <w:rPr>
                <w:color w:val="000000"/>
                <w:sz w:val="21"/>
                <w:szCs w:val="21"/>
              </w:rPr>
              <w:instrText>Zn-V1m6</w:instrText>
            </w:r>
            <w:r w:rsidRPr="00B50702">
              <w:rPr>
                <w:color w:val="000000"/>
                <w:sz w:val="21"/>
                <w:szCs w:val="21"/>
              </w:rPr>
              <w:instrText>还可以吸附高达</w:instrText>
            </w:r>
            <w:r w:rsidRPr="00B50702">
              <w:rPr>
                <w:color w:val="000000"/>
                <w:sz w:val="21"/>
                <w:szCs w:val="21"/>
              </w:rPr>
              <w:instrText>2470mg g 1</w:instrText>
            </w:r>
            <w:r w:rsidRPr="00B50702">
              <w:rPr>
                <w:color w:val="000000"/>
                <w:sz w:val="21"/>
                <w:szCs w:val="21"/>
              </w:rPr>
              <w:instrText>的气态碘。本研究表明，</w:instrText>
            </w:r>
            <w:r w:rsidRPr="00B50702">
              <w:rPr>
                <w:color w:val="000000"/>
                <w:sz w:val="21"/>
                <w:szCs w:val="21"/>
              </w:rPr>
              <w:instrText>Zn-V1m6</w:instrText>
            </w:r>
            <w:r w:rsidRPr="00B50702">
              <w:rPr>
                <w:color w:val="000000"/>
                <w:sz w:val="21"/>
                <w:szCs w:val="21"/>
              </w:rPr>
              <w:instrText>在去除气态和不同水相中的碘方面具有广阔的应用前景。</w:instrText>
            </w:r>
            <w:r w:rsidRPr="00B50702">
              <w:rPr>
                <w:color w:val="000000"/>
                <w:sz w:val="21"/>
                <w:szCs w:val="21"/>
              </w:rPr>
              <w:instrText xml:space="preserve">\ntitleTranslation: </w:instrText>
            </w:r>
            <w:r w:rsidRPr="00B50702">
              <w:rPr>
                <w:color w:val="000000"/>
                <w:sz w:val="21"/>
                <w:szCs w:val="21"/>
              </w:rPr>
              <w:instrText>合理设计咪唑基高吸附碘配位聚合物</w:instrText>
            </w:r>
            <w:r w:rsidRPr="00B50702">
              <w:rPr>
                <w:color w:val="000000"/>
                <w:sz w:val="21"/>
                <w:szCs w:val="21"/>
              </w:rPr>
              <w:instrText xml:space="preserve">","page":"143838","source":"DOI.org (Crossref)","title":"Rationally designing imidazole-based coordination polymers with high adsorption capacity for removing iodine","volume":"468","author":[{"family":"Gao","given":"Xin"},{"family":"Hu","given":"Qing-Hua"},{"family":"Shi","given":"Yu-Zhen"},{"family":"Liang","given":"Ru-Ping"},{"family":"Qiu","given":"Jian-Ding"}],"issued":{"date-parts":[["2023",7]]}}}],"schema":"https://github.com/citation-style-language/schema/raw/master/csl-citation.json"} </w:instrText>
            </w:r>
            <w:r w:rsidRPr="00B50702">
              <w:rPr>
                <w:color w:val="000000"/>
                <w:sz w:val="21"/>
                <w:szCs w:val="21"/>
              </w:rPr>
              <w:fldChar w:fldCharType="separate"/>
            </w:r>
            <w:r w:rsidRPr="00B50702">
              <w:rPr>
                <w:sz w:val="21"/>
              </w:rPr>
              <w:t>[29]</w:t>
            </w:r>
            <w:r w:rsidRPr="00B50702">
              <w:rPr>
                <w:color w:val="000000"/>
                <w:sz w:val="21"/>
                <w:szCs w:val="21"/>
              </w:rPr>
              <w:fldChar w:fldCharType="end"/>
            </w:r>
          </w:p>
        </w:tc>
      </w:tr>
      <w:tr w:rsidR="007E3433" w:rsidRPr="00B50702" w14:paraId="63B7C2D8" w14:textId="77777777" w:rsidTr="003534D2">
        <w:trPr>
          <w:jc w:val="center"/>
        </w:trPr>
        <w:tc>
          <w:tcPr>
            <w:tcW w:w="724" w:type="pct"/>
            <w:shd w:val="clear" w:color="auto" w:fill="FFFFFF"/>
            <w:vAlign w:val="center"/>
          </w:tcPr>
          <w:p w14:paraId="7E876E9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o</w:t>
            </w:r>
          </w:p>
        </w:tc>
        <w:tc>
          <w:tcPr>
            <w:tcW w:w="1326" w:type="pct"/>
            <w:shd w:val="clear" w:color="auto" w:fill="FFFFFF"/>
            <w:vAlign w:val="center"/>
          </w:tcPr>
          <w:p w14:paraId="2CAA55B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POP-T</w:t>
            </w:r>
          </w:p>
        </w:tc>
        <w:tc>
          <w:tcPr>
            <w:tcW w:w="591" w:type="pct"/>
            <w:shd w:val="clear" w:color="auto" w:fill="FFFFFF"/>
            <w:vAlign w:val="center"/>
          </w:tcPr>
          <w:p w14:paraId="1DA75CF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75</w:t>
            </w:r>
          </w:p>
        </w:tc>
        <w:tc>
          <w:tcPr>
            <w:tcW w:w="609" w:type="pct"/>
            <w:shd w:val="clear" w:color="auto" w:fill="FFFFFF"/>
            <w:vAlign w:val="center"/>
          </w:tcPr>
          <w:p w14:paraId="38A669DD"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 xml:space="preserve">20 </w:t>
            </w:r>
          </w:p>
        </w:tc>
        <w:tc>
          <w:tcPr>
            <w:tcW w:w="685" w:type="pct"/>
            <w:shd w:val="clear" w:color="auto" w:fill="FFFFFF"/>
            <w:vAlign w:val="center"/>
          </w:tcPr>
          <w:p w14:paraId="63381FF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0.394</w:t>
            </w:r>
          </w:p>
        </w:tc>
        <w:tc>
          <w:tcPr>
            <w:tcW w:w="1065" w:type="pct"/>
            <w:shd w:val="clear" w:color="auto" w:fill="FFFFFF"/>
            <w:vAlign w:val="center"/>
          </w:tcPr>
          <w:p w14:paraId="7B2F616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{"citationID":"k4SIPPcK","properties":{"formattedCitation":"[30]","plainCitation":"[30]","noteIndex":0},"citationItems":[{"id":14,"uris":["http://zotero.org/users/14169885/items/JJXJDCS9"],"itemData":{"id":14,"type":"article-journal","abstract":"As one of the main nuclear wastes generated in the process of nuclear ﬁssion, radioactive iodine has attracted worldwide attention due to its harm to public safety and environmental pollution. Therefore, it is of crucial importance to develop materials that can rapidly and efﬁciently capture radioactive iodine. Herein, we report the construction of three electron-rich porous organic polymers (POPs), denoted as POP-E, POP-T and POP-P via Schiff base polycondensations reactions between Td-symmetric adamantane knot and four-branched “linkage” molecules. We demonstrated that all the three POPs showed high iodine adsorption capability, among which the adsorption capacity of POP-T for iodine vapor reached up to 3.94 g·g−1 and the removal rate of iodine in n-hexane solution was up to 99%. The efﬁcient iodine capture mechanism of the POP-T was investigated through systematic comparison of Fourier transform infrared spectroscopy (FT-IR), Raman spectroscopy and X-ray photoelectron spectroscopy (XPS) before and after iodine adsorption. The unique π-π conjugated system between imine bonds linked aromatic rings with iodine result in charge-transfer complexes, which explains the exceptional iodine capture capacity. Additionally, the introduction of heteroatoms into the framework would also enhance the iodine adsorption capability of POPs. Good retention behavior and recycling capacity were also observed for the POPs.","container-title":"Molecules","DOI":"10.3390/molecules27165161","ISSN":"1420-3049","issue":"16","journalAbbreviation":"Molecules","language":"en","license":"https://creativecommons.org/licenses/by/4.0/","note":"titleTranslation: </w:instrText>
            </w:r>
            <w:r w:rsidRPr="00B50702">
              <w:rPr>
                <w:color w:val="000000"/>
                <w:sz w:val="21"/>
                <w:szCs w:val="21"/>
              </w:rPr>
              <w:instrText>通过席夫碱化学合成富电子的多孔有机聚合物用于高效的碘捕获</w:instrText>
            </w:r>
            <w:r w:rsidRPr="00B50702">
              <w:rPr>
                <w:color w:val="000000"/>
                <w:sz w:val="21"/>
                <w:szCs w:val="21"/>
              </w:rPr>
              <w:instrText xml:space="preserve">\nabstractTranslation: </w:instrText>
            </w:r>
            <w:r w:rsidRPr="00B50702">
              <w:rPr>
                <w:color w:val="000000"/>
                <w:sz w:val="21"/>
                <w:szCs w:val="21"/>
              </w:rPr>
              <w:instrText>放射性碘作为核裂变过程中产生的主要核废料之一，因其对公共安全和环境污染的危害而受到全世界的关注。因此，开发能够快速有效地捕获放射性碘的材料至关重要。在此，我们报告了通过</w:instrText>
            </w:r>
            <w:r w:rsidRPr="00B50702">
              <w:rPr>
                <w:color w:val="000000"/>
                <w:sz w:val="21"/>
                <w:szCs w:val="21"/>
              </w:rPr>
              <w:instrText>Td</w:instrText>
            </w:r>
            <w:r w:rsidRPr="00B50702">
              <w:rPr>
                <w:color w:val="000000"/>
                <w:sz w:val="21"/>
                <w:szCs w:val="21"/>
              </w:rPr>
              <w:instrText>对称金刚烷结和四支链</w:instrText>
            </w:r>
            <w:r w:rsidRPr="00B50702">
              <w:rPr>
                <w:color w:val="000000"/>
                <w:sz w:val="21"/>
                <w:szCs w:val="21"/>
              </w:rPr>
              <w:instrText>“</w:instrText>
            </w:r>
            <w:r w:rsidRPr="00B50702">
              <w:rPr>
                <w:color w:val="000000"/>
                <w:sz w:val="21"/>
                <w:szCs w:val="21"/>
              </w:rPr>
              <w:instrText>键</w:instrText>
            </w:r>
            <w:r w:rsidRPr="00B50702">
              <w:rPr>
                <w:color w:val="000000"/>
                <w:sz w:val="21"/>
                <w:szCs w:val="21"/>
              </w:rPr>
              <w:instrText>”</w:instrText>
            </w:r>
            <w:r w:rsidRPr="00B50702">
              <w:rPr>
                <w:color w:val="000000"/>
                <w:sz w:val="21"/>
                <w:szCs w:val="21"/>
              </w:rPr>
              <w:instrText>分子之间的希夫碱缩聚反应构建了三种富电子多孔有机聚合物（</w:instrText>
            </w:r>
            <w:r w:rsidRPr="00B50702">
              <w:rPr>
                <w:color w:val="000000"/>
                <w:sz w:val="21"/>
                <w:szCs w:val="21"/>
              </w:rPr>
              <w:instrText>POP</w:instrText>
            </w:r>
            <w:r w:rsidRPr="00B50702">
              <w:rPr>
                <w:color w:val="000000"/>
                <w:sz w:val="21"/>
                <w:szCs w:val="21"/>
              </w:rPr>
              <w:instrText>），表示为</w:instrText>
            </w:r>
            <w:r w:rsidRPr="00B50702">
              <w:rPr>
                <w:color w:val="000000"/>
                <w:sz w:val="21"/>
                <w:szCs w:val="21"/>
              </w:rPr>
              <w:instrText>POP-E</w:instrText>
            </w:r>
            <w:r w:rsidRPr="00B50702">
              <w:rPr>
                <w:color w:val="000000"/>
                <w:sz w:val="21"/>
                <w:szCs w:val="21"/>
              </w:rPr>
              <w:instrText>，</w:instrText>
            </w:r>
            <w:r w:rsidRPr="00B50702">
              <w:rPr>
                <w:color w:val="000000"/>
                <w:sz w:val="21"/>
                <w:szCs w:val="21"/>
              </w:rPr>
              <w:instrText>POP-T</w:instrText>
            </w:r>
            <w:r w:rsidRPr="00B50702">
              <w:rPr>
                <w:color w:val="000000"/>
                <w:sz w:val="21"/>
                <w:szCs w:val="21"/>
              </w:rPr>
              <w:instrText>和</w:instrText>
            </w:r>
            <w:r w:rsidRPr="00B50702">
              <w:rPr>
                <w:color w:val="000000"/>
                <w:sz w:val="21"/>
                <w:szCs w:val="21"/>
              </w:rPr>
              <w:instrText>POP-P</w:instrText>
            </w:r>
            <w:r w:rsidRPr="00B50702">
              <w:rPr>
                <w:color w:val="000000"/>
                <w:sz w:val="21"/>
                <w:szCs w:val="21"/>
              </w:rPr>
              <w:instrText>。结果表明，</w:instrText>
            </w:r>
            <w:r w:rsidRPr="00B50702">
              <w:rPr>
                <w:color w:val="000000"/>
                <w:sz w:val="21"/>
                <w:szCs w:val="21"/>
              </w:rPr>
              <w:instrText>3</w:instrText>
            </w:r>
            <w:r w:rsidRPr="00B50702">
              <w:rPr>
                <w:color w:val="000000"/>
                <w:sz w:val="21"/>
                <w:szCs w:val="21"/>
              </w:rPr>
              <w:instrText>种</w:instrText>
            </w:r>
            <w:r w:rsidRPr="00B50702">
              <w:rPr>
                <w:color w:val="000000"/>
                <w:sz w:val="21"/>
                <w:szCs w:val="21"/>
              </w:rPr>
              <w:instrText>POPs</w:instrText>
            </w:r>
            <w:r w:rsidRPr="00B50702">
              <w:rPr>
                <w:color w:val="000000"/>
                <w:sz w:val="21"/>
                <w:szCs w:val="21"/>
              </w:rPr>
              <w:instrText>均表现出较高的碘吸附能力，其中</w:instrText>
            </w:r>
            <w:r w:rsidRPr="00B50702">
              <w:rPr>
                <w:color w:val="000000"/>
                <w:sz w:val="21"/>
                <w:szCs w:val="21"/>
              </w:rPr>
              <w:instrText>POP-T</w:instrText>
            </w:r>
            <w:r w:rsidRPr="00B50702">
              <w:rPr>
                <w:color w:val="000000"/>
                <w:sz w:val="21"/>
                <w:szCs w:val="21"/>
              </w:rPr>
              <w:instrText>对碘蒸气的吸附能力高达</w:instrText>
            </w:r>
            <w:r w:rsidRPr="00B50702">
              <w:rPr>
                <w:color w:val="000000"/>
                <w:sz w:val="21"/>
                <w:szCs w:val="21"/>
              </w:rPr>
              <w:instrText>3.94 g·g−1</w:instrText>
            </w:r>
            <w:r w:rsidRPr="00B50702">
              <w:rPr>
                <w:color w:val="000000"/>
                <w:sz w:val="21"/>
                <w:szCs w:val="21"/>
              </w:rPr>
              <w:instrText>，正己烷溶液中碘的去除率高达</w:instrText>
            </w:r>
            <w:r w:rsidRPr="00B50702">
              <w:rPr>
                <w:color w:val="000000"/>
                <w:sz w:val="21"/>
                <w:szCs w:val="21"/>
              </w:rPr>
              <w:instrText>99%</w:instrText>
            </w:r>
            <w:r w:rsidRPr="00B50702">
              <w:rPr>
                <w:color w:val="000000"/>
                <w:sz w:val="21"/>
                <w:szCs w:val="21"/>
              </w:rPr>
              <w:instrText>。通过对碘吸附前后的傅里叶变换红外光谱（</w:instrText>
            </w:r>
            <w:r w:rsidRPr="00B50702">
              <w:rPr>
                <w:color w:val="000000"/>
                <w:sz w:val="21"/>
                <w:szCs w:val="21"/>
              </w:rPr>
              <w:instrText>FT-IR</w:instrText>
            </w:r>
            <w:r w:rsidRPr="00B50702">
              <w:rPr>
                <w:color w:val="000000"/>
                <w:sz w:val="21"/>
                <w:szCs w:val="21"/>
              </w:rPr>
              <w:instrText>）、拉曼光谱和</w:instrText>
            </w:r>
            <w:r w:rsidRPr="00B50702">
              <w:rPr>
                <w:color w:val="000000"/>
                <w:sz w:val="21"/>
                <w:szCs w:val="21"/>
              </w:rPr>
              <w:instrText>X</w:instrText>
            </w:r>
            <w:r w:rsidRPr="00B50702">
              <w:rPr>
                <w:color w:val="000000"/>
                <w:sz w:val="21"/>
                <w:szCs w:val="21"/>
              </w:rPr>
              <w:instrText>射线光电子能谱（</w:instrText>
            </w:r>
            <w:r w:rsidRPr="00B50702">
              <w:rPr>
                <w:color w:val="000000"/>
                <w:sz w:val="21"/>
                <w:szCs w:val="21"/>
              </w:rPr>
              <w:instrText>XPS</w:instrText>
            </w:r>
            <w:r w:rsidRPr="00B50702">
              <w:rPr>
                <w:color w:val="000000"/>
                <w:sz w:val="21"/>
                <w:szCs w:val="21"/>
              </w:rPr>
              <w:instrText>）进行系统比较，研究了</w:instrText>
            </w:r>
            <w:r w:rsidRPr="00B50702">
              <w:rPr>
                <w:color w:val="000000"/>
                <w:sz w:val="21"/>
                <w:szCs w:val="21"/>
              </w:rPr>
              <w:instrText>POP-T</w:instrText>
            </w:r>
            <w:r w:rsidRPr="00B50702">
              <w:rPr>
                <w:color w:val="000000"/>
                <w:sz w:val="21"/>
                <w:szCs w:val="21"/>
              </w:rPr>
              <w:instrText>的高效碘捕获机理。亚胺键与碘连接的亚胺键之间独特的</w:instrText>
            </w:r>
            <w:r w:rsidRPr="00B50702">
              <w:rPr>
                <w:color w:val="000000"/>
                <w:sz w:val="21"/>
                <w:szCs w:val="21"/>
              </w:rPr>
              <w:instrText>π π</w:instrText>
            </w:r>
            <w:r w:rsidRPr="00B50702">
              <w:rPr>
                <w:color w:val="000000"/>
                <w:sz w:val="21"/>
                <w:szCs w:val="21"/>
              </w:rPr>
              <w:instrText>共轭系统产生电荷转移络合物，这解释了卓越的碘捕获能力。此外，在框架中引入杂原子也将增强持久性有机污染物的碘吸附能力。</w:instrText>
            </w:r>
            <w:r w:rsidRPr="00B50702">
              <w:rPr>
                <w:color w:val="000000"/>
                <w:sz w:val="21"/>
                <w:szCs w:val="21"/>
              </w:rPr>
              <w:instrText>POPs</w:instrText>
            </w:r>
            <w:r w:rsidRPr="00B50702">
              <w:rPr>
                <w:color w:val="000000"/>
                <w:sz w:val="21"/>
                <w:szCs w:val="21"/>
              </w:rPr>
              <w:instrText>的保留行为和回收能力也很好。</w:instrText>
            </w:r>
            <w:r w:rsidRPr="00B50702">
              <w:rPr>
                <w:color w:val="000000"/>
                <w:sz w:val="21"/>
                <w:szCs w:val="21"/>
              </w:rPr>
              <w:instrText xml:space="preserve">","page":"5161","source":"DOI.org (Crossref)","title":"Synthesis of Electron-Rich Porous Organic Polymers via Schiff-Base Chemistry for Efficient Iodine Capture","volume":"27","author":[{"family":"Tian","given":"Peng"},{"family":"Ai","given":"Zhiting"},{"family":"Hu","given":"Hui"},{"family":"Wang","given":"Ming"},{"family":"Li","given":"Yaling"},{"family":"Gao","given":"Xinpei"},{"family":"Qian","given":"Jiaying"},{"family":"Su","given":"Xiaofang"},{"family":"Xiao","given":"Songtao"},{"family":"Xu","given":"Huanjun"},{"family":"Lu","given":"Fei"},{"family":"Gao","given":"Yanan"}],"issued":{"date-parts":[["2022",8,12]]}}}],"schema":"https://github.com/citation-style-language/schema/raw/master/csl-citation.json"} </w:instrText>
            </w:r>
            <w:r w:rsidRPr="00B50702">
              <w:rPr>
                <w:color w:val="000000"/>
                <w:sz w:val="21"/>
                <w:szCs w:val="21"/>
              </w:rPr>
              <w:fldChar w:fldCharType="separate"/>
            </w:r>
            <w:r w:rsidRPr="00B50702">
              <w:rPr>
                <w:sz w:val="21"/>
              </w:rPr>
              <w:t>[30]</w:t>
            </w:r>
            <w:r w:rsidRPr="00B50702">
              <w:rPr>
                <w:color w:val="000000"/>
                <w:sz w:val="21"/>
                <w:szCs w:val="21"/>
              </w:rPr>
              <w:fldChar w:fldCharType="end"/>
            </w:r>
          </w:p>
        </w:tc>
      </w:tr>
      <w:tr w:rsidR="007E3433" w:rsidRPr="00B50702" w14:paraId="77E4A785" w14:textId="77777777" w:rsidTr="003534D2">
        <w:trPr>
          <w:jc w:val="center"/>
        </w:trPr>
        <w:tc>
          <w:tcPr>
            <w:tcW w:w="724" w:type="pct"/>
            <w:shd w:val="clear" w:color="auto" w:fill="FFFFFF"/>
            <w:vAlign w:val="center"/>
          </w:tcPr>
          <w:p w14:paraId="1BBAB502"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p</w:t>
            </w:r>
          </w:p>
        </w:tc>
        <w:tc>
          <w:tcPr>
            <w:tcW w:w="1326" w:type="pct"/>
            <w:shd w:val="clear" w:color="auto" w:fill="FFFFFF"/>
            <w:vAlign w:val="center"/>
          </w:tcPr>
          <w:p w14:paraId="64BECDB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H</w:t>
            </w:r>
            <w:r w:rsidRPr="00B50702">
              <w:rPr>
                <w:color w:val="000000"/>
                <w:sz w:val="21"/>
                <w:szCs w:val="21"/>
                <w:vertAlign w:val="subscript"/>
              </w:rPr>
              <w:t>2</w:t>
            </w:r>
            <w:r w:rsidRPr="00B50702">
              <w:rPr>
                <w:color w:val="000000"/>
                <w:sz w:val="21"/>
                <w:szCs w:val="21"/>
              </w:rPr>
              <w:t>CuY</w:t>
            </w:r>
          </w:p>
        </w:tc>
        <w:tc>
          <w:tcPr>
            <w:tcW w:w="591" w:type="pct"/>
            <w:shd w:val="clear" w:color="auto" w:fill="FFFFFF"/>
            <w:vAlign w:val="center"/>
          </w:tcPr>
          <w:p w14:paraId="06E6C3F8"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75</w:t>
            </w:r>
          </w:p>
        </w:tc>
        <w:tc>
          <w:tcPr>
            <w:tcW w:w="609" w:type="pct"/>
            <w:shd w:val="clear" w:color="auto" w:fill="FFFFFF"/>
            <w:vAlign w:val="center"/>
          </w:tcPr>
          <w:p w14:paraId="5DF8B67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23</w:t>
            </w:r>
          </w:p>
        </w:tc>
        <w:tc>
          <w:tcPr>
            <w:tcW w:w="685" w:type="pct"/>
            <w:shd w:val="clear" w:color="auto" w:fill="FFFFFF"/>
            <w:vAlign w:val="center"/>
          </w:tcPr>
          <w:p w14:paraId="297BF37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0.450</w:t>
            </w:r>
          </w:p>
        </w:tc>
        <w:tc>
          <w:tcPr>
            <w:tcW w:w="1065" w:type="pct"/>
            <w:shd w:val="clear" w:color="auto" w:fill="FFFFFF"/>
            <w:vAlign w:val="center"/>
          </w:tcPr>
          <w:p w14:paraId="133874C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{"citationID":"E0CquLCI","properties":{"formattedCitation":"[31]","plainCitation":"[31]","noteIndex":0},"citationItems":[{"id":13,"uris":["http://zotero.org/users/14169885/items/A9MLT4Q4"],"itemData":{"id":13,"type":"article-journal","abstract":"Capturing volatile radionuclide iodine produced in the nuclear industry is a crucial environmental issue. In previous studies, the principal eﬃcient adsorbent for iodine capture was silver-containing zeolite. As silvercontaining zeolites are expensive, alternate copper-loaded porous zeolites, including CuCl loaded NaY reduced by H2 (denoted as H2CuY) and CO (denoted as COCuY), were studied for iodine adsorption at moderate temperatures. The current work also discusses the inﬂuence of copper valency on iodine adsorption. Due to the copper sites and nanosized pore structure, H2CuY and COCuY showed high iodine adsorption capacities of 450 and 219 mg/g, respectively. The iodine adsorption capacity of H2CuY was higher than that of silver-loaded zeolites. Moreover, H2CuY and COCuY adsorbed volatile iodine through a chemical mechanism involving the copper sites of diﬀerent valencies, and the Cu0 was more eﬀective in adsorbing iodine than Cu+. These copper-loaded zeolites with strong chemical interactions with iodine and high iodine adsorption capacities provided the possibility for iodine adsorption application in the nuclear industry.","container-title":"Inorganic Chemistry","DOI":"10.1021/acs.inorgchem.1c03986","ISSN":"0020-1669, 1520-510X","issue":"20","journalAbbreviation":"Inorg. Chem.","language":"en","license":"https://doi.org/10.15223/policy-029","note":"titleTranslation: </w:instrText>
            </w:r>
            <w:r w:rsidRPr="00B50702">
              <w:rPr>
                <w:color w:val="000000"/>
                <w:sz w:val="21"/>
                <w:szCs w:val="21"/>
              </w:rPr>
              <w:instrText>多孔铜负载沸石高效捕集乏燃料后处理尾气中的碘</w:instrText>
            </w:r>
            <w:r w:rsidRPr="00B50702">
              <w:rPr>
                <w:color w:val="000000"/>
                <w:sz w:val="21"/>
                <w:szCs w:val="21"/>
              </w:rPr>
              <w:instrText xml:space="preserve">\nabstractTranslation: </w:instrText>
            </w:r>
            <w:r w:rsidRPr="00B50702">
              <w:rPr>
                <w:color w:val="000000"/>
                <w:sz w:val="21"/>
                <w:szCs w:val="21"/>
              </w:rPr>
              <w:instrText>捕获核工业生产的挥发性放射性核素碘是一个至关重要的环境问题。在之前的研究中，用于捕获碘的主要有效吸附剂是含银沸石。由于含银沸石价格昂贵，因此研究了替代载铜多孔沸石，包括负载</w:instrText>
            </w:r>
            <w:r w:rsidRPr="00B50702">
              <w:rPr>
                <w:color w:val="000000"/>
                <w:sz w:val="21"/>
                <w:szCs w:val="21"/>
              </w:rPr>
              <w:instrText>CuCl</w:instrText>
            </w:r>
            <w:r w:rsidRPr="00B50702">
              <w:rPr>
                <w:color w:val="000000"/>
                <w:sz w:val="21"/>
                <w:szCs w:val="21"/>
              </w:rPr>
              <w:instrText>的</w:instrText>
            </w:r>
            <w:r w:rsidRPr="00B50702">
              <w:rPr>
                <w:color w:val="000000"/>
                <w:sz w:val="21"/>
                <w:szCs w:val="21"/>
              </w:rPr>
              <w:instrText>NaY</w:instrText>
            </w:r>
            <w:r w:rsidRPr="00B50702">
              <w:rPr>
                <w:color w:val="000000"/>
                <w:sz w:val="21"/>
                <w:szCs w:val="21"/>
              </w:rPr>
              <w:instrText>还原</w:instrText>
            </w:r>
            <w:r w:rsidRPr="00B50702">
              <w:rPr>
                <w:color w:val="000000"/>
                <w:sz w:val="21"/>
                <w:szCs w:val="21"/>
              </w:rPr>
              <w:instrText>H2</w:instrText>
            </w:r>
            <w:r w:rsidRPr="00B50702">
              <w:rPr>
                <w:color w:val="000000"/>
                <w:sz w:val="21"/>
                <w:szCs w:val="21"/>
              </w:rPr>
              <w:instrText>（表示为</w:instrText>
            </w:r>
            <w:r w:rsidRPr="00B50702">
              <w:rPr>
                <w:color w:val="000000"/>
                <w:sz w:val="21"/>
                <w:szCs w:val="21"/>
              </w:rPr>
              <w:instrText>H2CuY</w:instrText>
            </w:r>
            <w:r w:rsidRPr="00B50702">
              <w:rPr>
                <w:color w:val="000000"/>
                <w:sz w:val="21"/>
                <w:szCs w:val="21"/>
              </w:rPr>
              <w:instrText>）和</w:instrText>
            </w:r>
            <w:r w:rsidRPr="00B50702">
              <w:rPr>
                <w:color w:val="000000"/>
                <w:sz w:val="21"/>
                <w:szCs w:val="21"/>
              </w:rPr>
              <w:instrText>CO</w:instrText>
            </w:r>
            <w:r w:rsidRPr="00B50702">
              <w:rPr>
                <w:color w:val="000000"/>
                <w:sz w:val="21"/>
                <w:szCs w:val="21"/>
              </w:rPr>
              <w:instrText>（表示为</w:instrText>
            </w:r>
            <w:r w:rsidRPr="00B50702">
              <w:rPr>
                <w:color w:val="000000"/>
                <w:sz w:val="21"/>
                <w:szCs w:val="21"/>
              </w:rPr>
              <w:instrText>COCuY</w:instrText>
            </w:r>
            <w:r w:rsidRPr="00B50702">
              <w:rPr>
                <w:color w:val="000000"/>
                <w:sz w:val="21"/>
                <w:szCs w:val="21"/>
              </w:rPr>
              <w:instrText>），用于中等温度下的碘吸附。目前的工作还讨论了铜价对碘吸附的影响。由于铜位点和纳米级孔隙结构，</w:instrText>
            </w:r>
            <w:r w:rsidRPr="00B50702">
              <w:rPr>
                <w:color w:val="000000"/>
                <w:sz w:val="21"/>
                <w:szCs w:val="21"/>
              </w:rPr>
              <w:instrText>H2CuY</w:instrText>
            </w:r>
            <w:r w:rsidRPr="00B50702">
              <w:rPr>
                <w:color w:val="000000"/>
                <w:sz w:val="21"/>
                <w:szCs w:val="21"/>
              </w:rPr>
              <w:instrText>和</w:instrText>
            </w:r>
            <w:r w:rsidRPr="00B50702">
              <w:rPr>
                <w:color w:val="000000"/>
                <w:sz w:val="21"/>
                <w:szCs w:val="21"/>
              </w:rPr>
              <w:instrText>COCuY</w:instrText>
            </w:r>
            <w:r w:rsidRPr="00B50702">
              <w:rPr>
                <w:color w:val="000000"/>
                <w:sz w:val="21"/>
                <w:szCs w:val="21"/>
              </w:rPr>
              <w:instrText>分别表现出</w:instrText>
            </w:r>
            <w:r w:rsidRPr="00B50702">
              <w:rPr>
                <w:color w:val="000000"/>
                <w:sz w:val="21"/>
                <w:szCs w:val="21"/>
              </w:rPr>
              <w:instrText>450</w:instrText>
            </w:r>
            <w:r w:rsidRPr="00B50702">
              <w:rPr>
                <w:color w:val="000000"/>
                <w:sz w:val="21"/>
                <w:szCs w:val="21"/>
              </w:rPr>
              <w:instrText>和</w:instrText>
            </w:r>
            <w:r w:rsidRPr="00B50702">
              <w:rPr>
                <w:color w:val="000000"/>
                <w:sz w:val="21"/>
                <w:szCs w:val="21"/>
              </w:rPr>
              <w:instrText>219 mg/g</w:instrText>
            </w:r>
            <w:r w:rsidRPr="00B50702">
              <w:rPr>
                <w:color w:val="000000"/>
                <w:sz w:val="21"/>
                <w:szCs w:val="21"/>
              </w:rPr>
              <w:instrText>的高碘吸附能力。</w:instrText>
            </w:r>
            <w:r w:rsidRPr="00B50702">
              <w:rPr>
                <w:color w:val="000000"/>
                <w:sz w:val="21"/>
                <w:szCs w:val="21"/>
              </w:rPr>
              <w:instrText>H2CuY</w:instrText>
            </w:r>
            <w:r w:rsidRPr="00B50702">
              <w:rPr>
                <w:color w:val="000000"/>
                <w:sz w:val="21"/>
                <w:szCs w:val="21"/>
              </w:rPr>
              <w:instrText>的碘吸附能力高于载银沸石。此外，</w:instrText>
            </w:r>
            <w:r w:rsidRPr="00B50702">
              <w:rPr>
                <w:color w:val="000000"/>
                <w:sz w:val="21"/>
                <w:szCs w:val="21"/>
              </w:rPr>
              <w:instrText>H2CuY</w:instrText>
            </w:r>
            <w:r w:rsidRPr="00B50702">
              <w:rPr>
                <w:color w:val="000000"/>
                <w:sz w:val="21"/>
                <w:szCs w:val="21"/>
              </w:rPr>
              <w:instrText>和</w:instrText>
            </w:r>
            <w:r w:rsidRPr="00B50702">
              <w:rPr>
                <w:color w:val="000000"/>
                <w:sz w:val="21"/>
                <w:szCs w:val="21"/>
              </w:rPr>
              <w:instrText>COCuY</w:instrText>
            </w:r>
            <w:r w:rsidRPr="00B50702">
              <w:rPr>
                <w:color w:val="000000"/>
                <w:sz w:val="21"/>
                <w:szCs w:val="21"/>
              </w:rPr>
              <w:instrText>通过涉及不同价位点的铜位点的化学机制吸附挥发性碘，</w:instrText>
            </w:r>
            <w:r w:rsidRPr="00B50702">
              <w:rPr>
                <w:color w:val="000000"/>
                <w:sz w:val="21"/>
                <w:szCs w:val="21"/>
              </w:rPr>
              <w:instrText>Cu0</w:instrText>
            </w:r>
            <w:r w:rsidRPr="00B50702">
              <w:rPr>
                <w:color w:val="000000"/>
                <w:sz w:val="21"/>
                <w:szCs w:val="21"/>
              </w:rPr>
              <w:instrText>对碘的吸附效果优于</w:instrText>
            </w:r>
            <w:r w:rsidRPr="00B50702">
              <w:rPr>
                <w:color w:val="000000"/>
                <w:sz w:val="21"/>
                <w:szCs w:val="21"/>
              </w:rPr>
              <w:instrText>Cu+</w:instrText>
            </w:r>
            <w:r w:rsidRPr="00B50702">
              <w:rPr>
                <w:color w:val="000000"/>
                <w:sz w:val="21"/>
                <w:szCs w:val="21"/>
              </w:rPr>
              <w:instrText>。这些载铜沸石与碘具有很强的化学相互作用和高碘吸附能力，为碘吸附在核工业中的应用提供了可能性。</w:instrText>
            </w:r>
            <w:r w:rsidRPr="00B50702">
              <w:rPr>
                <w:color w:val="000000"/>
                <w:sz w:val="21"/>
                <w:szCs w:val="21"/>
              </w:rPr>
              <w:instrText xml:space="preserve">","page":"7746-7753","source":"DOI.org (Crossref)","title":"Porous Copper-Loaded Zeolites for High-Efficiency Capture of Iodine from Spent Fuel Reprocessing Off-Gas","volume":"61","author":[{"family":"Zhou","given":"Jia"},{"family":"Chen","given":"Qi"},{"family":"Li","given":"Tianchi"},{"family":"Lan","given":"Tian"},{"family":"Bai","given":"Pu"},{"family":"Liu","given":"Fang"},{"family":"Yuan","given":"Zhongwei"},{"family":"Zheng","given":"Weifang"},{"family":"Yan","given":"Wenfu"},{"family":"Yan","given":"Taihong"}],"issued":{"date-parts":[["2022",5,23]]}}}],"schema":"https://github.com/citation-style-language/schema/raw/master/csl-citation.json"} </w:instrText>
            </w:r>
            <w:r w:rsidRPr="00B50702">
              <w:rPr>
                <w:color w:val="000000"/>
                <w:sz w:val="21"/>
                <w:szCs w:val="21"/>
              </w:rPr>
              <w:fldChar w:fldCharType="separate"/>
            </w:r>
            <w:r w:rsidRPr="00B50702">
              <w:rPr>
                <w:sz w:val="21"/>
              </w:rPr>
              <w:t>[31]</w:t>
            </w:r>
            <w:r w:rsidRPr="00B50702">
              <w:rPr>
                <w:color w:val="000000"/>
                <w:sz w:val="21"/>
                <w:szCs w:val="21"/>
              </w:rPr>
              <w:fldChar w:fldCharType="end"/>
            </w:r>
          </w:p>
        </w:tc>
      </w:tr>
      <w:tr w:rsidR="007E3433" w:rsidRPr="00B50702" w14:paraId="63BFA1DF" w14:textId="77777777" w:rsidTr="003534D2">
        <w:trPr>
          <w:jc w:val="center"/>
        </w:trPr>
        <w:tc>
          <w:tcPr>
            <w:tcW w:w="724" w:type="pct"/>
            <w:shd w:val="clear" w:color="auto" w:fill="FFFFFF"/>
            <w:vAlign w:val="center"/>
          </w:tcPr>
          <w:p w14:paraId="19FB801F"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q</w:t>
            </w:r>
          </w:p>
        </w:tc>
        <w:tc>
          <w:tcPr>
            <w:tcW w:w="1326" w:type="pct"/>
            <w:shd w:val="clear" w:color="auto" w:fill="FFFFFF"/>
            <w:vAlign w:val="center"/>
          </w:tcPr>
          <w:p w14:paraId="606EE0D4" w14:textId="77777777" w:rsidR="007E3433" w:rsidRPr="00B50702" w:rsidRDefault="007E3433" w:rsidP="003534D2">
            <w:pPr>
              <w:tabs>
                <w:tab w:val="left" w:pos="426"/>
              </w:tabs>
              <w:spacing w:line="440" w:lineRule="exact"/>
              <w:ind w:firstLineChars="0" w:firstLine="0"/>
              <w:rPr>
                <w:color w:val="000000"/>
                <w:sz w:val="21"/>
                <w:szCs w:val="21"/>
              </w:rPr>
            </w:pPr>
            <w:proofErr w:type="spellStart"/>
            <w:r w:rsidRPr="00B50702">
              <w:rPr>
                <w:color w:val="000000"/>
                <w:sz w:val="21"/>
                <w:szCs w:val="21"/>
              </w:rPr>
              <w:t>CoFe@CA-D</w:t>
            </w:r>
            <w:proofErr w:type="spellEnd"/>
          </w:p>
        </w:tc>
        <w:tc>
          <w:tcPr>
            <w:tcW w:w="591" w:type="pct"/>
            <w:shd w:val="clear" w:color="auto" w:fill="FFFFFF"/>
            <w:vAlign w:val="center"/>
          </w:tcPr>
          <w:p w14:paraId="18B40E5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w:t>
            </w:r>
          </w:p>
        </w:tc>
        <w:tc>
          <w:tcPr>
            <w:tcW w:w="609" w:type="pct"/>
            <w:shd w:val="clear" w:color="auto" w:fill="FFFFFF"/>
            <w:vAlign w:val="center"/>
          </w:tcPr>
          <w:p w14:paraId="4E97EE76"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100</w:t>
            </w:r>
          </w:p>
        </w:tc>
        <w:tc>
          <w:tcPr>
            <w:tcW w:w="685" w:type="pct"/>
            <w:shd w:val="clear" w:color="auto" w:fill="FFFFFF"/>
            <w:vAlign w:val="center"/>
          </w:tcPr>
          <w:p w14:paraId="35A3F531"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0.458</w:t>
            </w:r>
          </w:p>
        </w:tc>
        <w:tc>
          <w:tcPr>
            <w:tcW w:w="1065" w:type="pct"/>
            <w:shd w:val="clear" w:color="auto" w:fill="FFFFFF"/>
            <w:vAlign w:val="center"/>
          </w:tcPr>
          <w:p w14:paraId="6E0227D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{"citationID":"zxsZNh0z","properties":{"formattedCitation":"[32]","plainCitation":"[32]","noteIndex":0},"citationItems":[{"id":34,"uris":["http://zotero.org/users/14169885/items/B2QK7WTE"],"itemData":{"id":34,"type":"article-journal","abstract":"It is of great significance to capture radioiodine from nuclear-related activities. Herein, We fabricated two kinds of hybrid aerogels composed with bimetal Hofmann-type metal-organic frameworks (Co–Fe)II(pz)[NiII(CN)4] and cellulose aerogels by in-situ growth and doping method (named CoFe@CA-IS and CoFe@CA-D, respectively). The hybrid aerogels possessed excellent iodine adsorption performance. The addition of (Co–Fe)II(pz)[NiII(CN)4] increased the porosity of the hybrid aerogels. The porosities of CoFe@CA-IS and CoFe@CA-D were reached 86.7% and 87.8%, respectively, which are higher than pure cellulose aerogels. Furthermore, the doping method provide a significant improve of adsorption performance. The equilibrium adsorption capacity of CoFe@CA-D reached 457.99 mg gÀ 1 and the equilibrium adsorption capacity of CoFe@CA-IS was 194.34 mg gÀ 1. In addi­ tion, the hybrid aerogels showed excellent recycle ability, the equilibrium adsorption capacity of CoFe@CA-IS and CoFe@CA-D remained 81% and 91% after 5 cycles. The results suggested that this metal-organic frame­ work@cellulose hybrid aerogel showed great potential in iodine treatment and could be applied in a wide field.","container-title":"Microporous and Mesoporous Materials","DOI":"10.1016/j.micromeso.2020.110386","ISSN":"13871811","journalAbbreviation":"Microporous and Mesoporous Materials","language":"en","note":"abstractTranslation:\ntitleTranslation: </w:instrText>
            </w:r>
            <w:r w:rsidRPr="00B50702">
              <w:rPr>
                <w:color w:val="000000"/>
                <w:sz w:val="21"/>
                <w:szCs w:val="21"/>
              </w:rPr>
              <w:instrText>用于高效碘捕获的双金属</w:instrText>
            </w:r>
            <w:r w:rsidRPr="00B50702">
              <w:rPr>
                <w:color w:val="000000"/>
                <w:sz w:val="21"/>
                <w:szCs w:val="21"/>
              </w:rPr>
              <w:instrText>Hofmann</w:instrText>
            </w:r>
            <w:r w:rsidRPr="00B50702">
              <w:rPr>
                <w:color w:val="000000"/>
                <w:sz w:val="21"/>
                <w:szCs w:val="21"/>
              </w:rPr>
              <w:instrText>类金属有机骨架</w:instrText>
            </w:r>
            <w:r w:rsidRPr="00B50702">
              <w:rPr>
                <w:color w:val="000000"/>
                <w:sz w:val="21"/>
                <w:szCs w:val="21"/>
              </w:rPr>
              <w:instrText>@</w:instrText>
            </w:r>
            <w:r w:rsidRPr="00B50702">
              <w:rPr>
                <w:color w:val="000000"/>
                <w:sz w:val="21"/>
                <w:szCs w:val="21"/>
              </w:rPr>
              <w:instrText>纤维素气凝胶的制造</w:instrText>
            </w:r>
            <w:r w:rsidRPr="00B50702">
              <w:rPr>
                <w:color w:val="000000"/>
                <w:sz w:val="21"/>
                <w:szCs w:val="21"/>
              </w:rPr>
              <w:instrText xml:space="preserve">\nabstractTranslation: </w:instrText>
            </w:r>
            <w:r w:rsidRPr="00B50702">
              <w:rPr>
                <w:color w:val="000000"/>
                <w:sz w:val="21"/>
                <w:szCs w:val="21"/>
              </w:rPr>
              <w:instrText>从核相关活动中捕获放射性碘具有重要意义。本文采用原位生长掺杂法制备了由双金属</w:instrText>
            </w:r>
            <w:r w:rsidRPr="00B50702">
              <w:rPr>
                <w:color w:val="000000"/>
                <w:sz w:val="21"/>
                <w:szCs w:val="21"/>
              </w:rPr>
              <w:instrText>Hofmann</w:instrText>
            </w:r>
            <w:r w:rsidRPr="00B50702">
              <w:rPr>
                <w:color w:val="000000"/>
                <w:sz w:val="21"/>
                <w:szCs w:val="21"/>
              </w:rPr>
              <w:instrText>型金属有机骨架（</w:instrText>
            </w:r>
            <w:r w:rsidRPr="00B50702">
              <w:rPr>
                <w:color w:val="000000"/>
                <w:sz w:val="21"/>
                <w:szCs w:val="21"/>
              </w:rPr>
              <w:instrText>Co-Fe</w:instrText>
            </w:r>
            <w:r w:rsidRPr="00B50702">
              <w:rPr>
                <w:color w:val="000000"/>
                <w:sz w:val="21"/>
                <w:szCs w:val="21"/>
              </w:rPr>
              <w:instrText>）</w:instrText>
            </w:r>
            <w:r w:rsidRPr="00B50702">
              <w:rPr>
                <w:color w:val="000000"/>
                <w:sz w:val="21"/>
                <w:szCs w:val="21"/>
              </w:rPr>
              <w:instrText>II</w:instrText>
            </w:r>
            <w:r w:rsidRPr="00B50702">
              <w:rPr>
                <w:color w:val="000000"/>
                <w:sz w:val="21"/>
                <w:szCs w:val="21"/>
              </w:rPr>
              <w:instrText>（</w:instrText>
            </w:r>
            <w:r w:rsidRPr="00B50702">
              <w:rPr>
                <w:color w:val="000000"/>
                <w:sz w:val="21"/>
                <w:szCs w:val="21"/>
              </w:rPr>
              <w:instrText>pz</w:instrText>
            </w:r>
            <w:r w:rsidRPr="00B50702">
              <w:rPr>
                <w:color w:val="000000"/>
                <w:sz w:val="21"/>
                <w:szCs w:val="21"/>
              </w:rPr>
              <w:instrText>）</w:instrText>
            </w:r>
            <w:r w:rsidRPr="00B50702">
              <w:rPr>
                <w:color w:val="000000"/>
                <w:sz w:val="21"/>
                <w:szCs w:val="21"/>
              </w:rPr>
              <w:instrText>[NiII</w:instrText>
            </w:r>
            <w:r w:rsidRPr="00B50702">
              <w:rPr>
                <w:color w:val="000000"/>
                <w:sz w:val="21"/>
                <w:szCs w:val="21"/>
              </w:rPr>
              <w:instrText>（</w:instrText>
            </w:r>
            <w:r w:rsidRPr="00B50702">
              <w:rPr>
                <w:color w:val="000000"/>
                <w:sz w:val="21"/>
                <w:szCs w:val="21"/>
              </w:rPr>
              <w:instrText>CN</w:instrText>
            </w:r>
            <w:r w:rsidRPr="00B50702">
              <w:rPr>
                <w:color w:val="000000"/>
                <w:sz w:val="21"/>
                <w:szCs w:val="21"/>
              </w:rPr>
              <w:instrText>）</w:instrText>
            </w:r>
            <w:r w:rsidRPr="00B50702">
              <w:rPr>
                <w:color w:val="000000"/>
                <w:sz w:val="21"/>
                <w:szCs w:val="21"/>
              </w:rPr>
              <w:instrText>4]</w:instrText>
            </w:r>
            <w:r w:rsidRPr="00B50702">
              <w:rPr>
                <w:color w:val="000000"/>
                <w:sz w:val="21"/>
                <w:szCs w:val="21"/>
              </w:rPr>
              <w:instrText>和纤维素气凝胶组成的两种混合气凝胶（分别命名为</w:instrText>
            </w:r>
            <w:r w:rsidRPr="00B50702">
              <w:rPr>
                <w:color w:val="000000"/>
                <w:sz w:val="21"/>
                <w:szCs w:val="21"/>
              </w:rPr>
              <w:instrText>CoFe@CA-IS</w:instrText>
            </w:r>
            <w:r w:rsidRPr="00B50702">
              <w:rPr>
                <w:color w:val="000000"/>
                <w:sz w:val="21"/>
                <w:szCs w:val="21"/>
              </w:rPr>
              <w:instrText>和</w:instrText>
            </w:r>
            <w:r w:rsidRPr="00B50702">
              <w:rPr>
                <w:color w:val="000000"/>
                <w:sz w:val="21"/>
                <w:szCs w:val="21"/>
              </w:rPr>
              <w:instrText>CoFe@CA-D</w:instrText>
            </w:r>
            <w:r w:rsidRPr="00B50702">
              <w:rPr>
                <w:color w:val="000000"/>
                <w:sz w:val="21"/>
                <w:szCs w:val="21"/>
              </w:rPr>
              <w:instrText>）。混合气凝胶具有优异的碘吸附性能。（</w:instrText>
            </w:r>
            <w:r w:rsidRPr="00B50702">
              <w:rPr>
                <w:color w:val="000000"/>
                <w:sz w:val="21"/>
                <w:szCs w:val="21"/>
              </w:rPr>
              <w:instrText>Co-Fe</w:instrText>
            </w:r>
            <w:r w:rsidRPr="00B50702">
              <w:rPr>
                <w:color w:val="000000"/>
                <w:sz w:val="21"/>
                <w:szCs w:val="21"/>
              </w:rPr>
              <w:instrText>）</w:instrText>
            </w:r>
            <w:r w:rsidRPr="00B50702">
              <w:rPr>
                <w:color w:val="000000"/>
                <w:sz w:val="21"/>
                <w:szCs w:val="21"/>
              </w:rPr>
              <w:instrText>II</w:instrText>
            </w:r>
            <w:r w:rsidRPr="00B50702">
              <w:rPr>
                <w:color w:val="000000"/>
                <w:sz w:val="21"/>
                <w:szCs w:val="21"/>
              </w:rPr>
              <w:instrText>（</w:instrText>
            </w:r>
            <w:r w:rsidRPr="00B50702">
              <w:rPr>
                <w:color w:val="000000"/>
                <w:sz w:val="21"/>
                <w:szCs w:val="21"/>
              </w:rPr>
              <w:instrText>pz</w:instrText>
            </w:r>
            <w:r w:rsidRPr="00B50702">
              <w:rPr>
                <w:color w:val="000000"/>
                <w:sz w:val="21"/>
                <w:szCs w:val="21"/>
              </w:rPr>
              <w:instrText>）</w:instrText>
            </w:r>
            <w:r w:rsidRPr="00B50702">
              <w:rPr>
                <w:color w:val="000000"/>
                <w:sz w:val="21"/>
                <w:szCs w:val="21"/>
              </w:rPr>
              <w:instrText>[NiII</w:instrText>
            </w:r>
            <w:r w:rsidRPr="00B50702">
              <w:rPr>
                <w:color w:val="000000"/>
                <w:sz w:val="21"/>
                <w:szCs w:val="21"/>
              </w:rPr>
              <w:instrText>（</w:instrText>
            </w:r>
            <w:r w:rsidRPr="00B50702">
              <w:rPr>
                <w:color w:val="000000"/>
                <w:sz w:val="21"/>
                <w:szCs w:val="21"/>
              </w:rPr>
              <w:instrText>CN</w:instrText>
            </w:r>
            <w:r w:rsidRPr="00B50702">
              <w:rPr>
                <w:color w:val="000000"/>
                <w:sz w:val="21"/>
                <w:szCs w:val="21"/>
              </w:rPr>
              <w:instrText>）</w:instrText>
            </w:r>
            <w:r w:rsidRPr="00B50702">
              <w:rPr>
                <w:color w:val="000000"/>
                <w:sz w:val="21"/>
                <w:szCs w:val="21"/>
              </w:rPr>
              <w:instrText>4]</w:instrText>
            </w:r>
            <w:r w:rsidRPr="00B50702">
              <w:rPr>
                <w:color w:val="000000"/>
                <w:sz w:val="21"/>
                <w:szCs w:val="21"/>
              </w:rPr>
              <w:instrText>的加入增加了杂化气凝胶的孔隙率。</w:instrText>
            </w:r>
            <w:r w:rsidRPr="00B50702">
              <w:rPr>
                <w:color w:val="000000"/>
                <w:sz w:val="21"/>
                <w:szCs w:val="21"/>
              </w:rPr>
              <w:instrText>CoFe@CA-IS</w:instrText>
            </w:r>
            <w:r w:rsidRPr="00B50702">
              <w:rPr>
                <w:color w:val="000000"/>
                <w:sz w:val="21"/>
                <w:szCs w:val="21"/>
              </w:rPr>
              <w:instrText>和</w:instrText>
            </w:r>
            <w:r w:rsidRPr="00B50702">
              <w:rPr>
                <w:color w:val="000000"/>
                <w:sz w:val="21"/>
                <w:szCs w:val="21"/>
              </w:rPr>
              <w:instrText>CoFe@CA-D</w:instrText>
            </w:r>
            <w:r w:rsidRPr="00B50702">
              <w:rPr>
                <w:color w:val="000000"/>
                <w:sz w:val="21"/>
                <w:szCs w:val="21"/>
              </w:rPr>
              <w:instrText>的孔隙率分别达到</w:instrText>
            </w:r>
            <w:r w:rsidRPr="00B50702">
              <w:rPr>
                <w:color w:val="000000"/>
                <w:sz w:val="21"/>
                <w:szCs w:val="21"/>
              </w:rPr>
              <w:instrText>86.7%</w:instrText>
            </w:r>
            <w:r w:rsidRPr="00B50702">
              <w:rPr>
                <w:color w:val="000000"/>
                <w:sz w:val="21"/>
                <w:szCs w:val="21"/>
              </w:rPr>
              <w:instrText>和</w:instrText>
            </w:r>
            <w:r w:rsidRPr="00B50702">
              <w:rPr>
                <w:color w:val="000000"/>
                <w:sz w:val="21"/>
                <w:szCs w:val="21"/>
              </w:rPr>
              <w:instrText>87.8%</w:instrText>
            </w:r>
            <w:r w:rsidRPr="00B50702">
              <w:rPr>
                <w:color w:val="000000"/>
                <w:sz w:val="21"/>
                <w:szCs w:val="21"/>
              </w:rPr>
              <w:instrText>，高于纯纤维素气凝胶。此外，掺杂方法显着提高了吸附性能。</w:instrText>
            </w:r>
            <w:r w:rsidRPr="00B50702">
              <w:rPr>
                <w:color w:val="000000"/>
                <w:sz w:val="21"/>
                <w:szCs w:val="21"/>
              </w:rPr>
              <w:instrText>CoFe@CA-D</w:instrText>
            </w:r>
            <w:r w:rsidRPr="00B50702">
              <w:rPr>
                <w:color w:val="000000"/>
                <w:sz w:val="21"/>
                <w:szCs w:val="21"/>
              </w:rPr>
              <w:instrText>的平衡吸附量达到</w:instrText>
            </w:r>
            <w:r w:rsidRPr="00B50702">
              <w:rPr>
                <w:color w:val="000000"/>
                <w:sz w:val="21"/>
                <w:szCs w:val="21"/>
              </w:rPr>
              <w:instrText>457.99 mg gÀ 1</w:instrText>
            </w:r>
            <w:r w:rsidRPr="00B50702">
              <w:rPr>
                <w:color w:val="000000"/>
                <w:sz w:val="21"/>
                <w:szCs w:val="21"/>
              </w:rPr>
              <w:instrText>，</w:instrText>
            </w:r>
            <w:r w:rsidRPr="00B50702">
              <w:rPr>
                <w:color w:val="000000"/>
                <w:sz w:val="21"/>
                <w:szCs w:val="21"/>
              </w:rPr>
              <w:instrText>CoFe@CA-IS</w:instrText>
            </w:r>
            <w:r w:rsidRPr="00B50702">
              <w:rPr>
                <w:color w:val="000000"/>
                <w:sz w:val="21"/>
                <w:szCs w:val="21"/>
              </w:rPr>
              <w:instrText>的平衡吸附量为</w:instrText>
            </w:r>
            <w:r w:rsidRPr="00B50702">
              <w:rPr>
                <w:color w:val="000000"/>
                <w:sz w:val="21"/>
                <w:szCs w:val="21"/>
              </w:rPr>
              <w:instrText>194.34 mg gÀ 1</w:instrText>
            </w:r>
            <w:r w:rsidRPr="00B50702">
              <w:rPr>
                <w:color w:val="000000"/>
                <w:sz w:val="21"/>
                <w:szCs w:val="21"/>
              </w:rPr>
              <w:instrText>。此外，杂化气凝胶表现出优异的回收能力，</w:instrText>
            </w:r>
            <w:r w:rsidRPr="00B50702">
              <w:rPr>
                <w:color w:val="000000"/>
                <w:sz w:val="21"/>
                <w:szCs w:val="21"/>
              </w:rPr>
              <w:instrText>5</w:instrText>
            </w:r>
            <w:r w:rsidRPr="00B50702">
              <w:rPr>
                <w:color w:val="000000"/>
                <w:sz w:val="21"/>
                <w:szCs w:val="21"/>
              </w:rPr>
              <w:instrText>个循环后，</w:instrText>
            </w:r>
            <w:r w:rsidRPr="00B50702">
              <w:rPr>
                <w:color w:val="000000"/>
                <w:sz w:val="21"/>
                <w:szCs w:val="21"/>
              </w:rPr>
              <w:instrText>CoFe@CA-IS</w:instrText>
            </w:r>
            <w:r w:rsidRPr="00B50702">
              <w:rPr>
                <w:color w:val="000000"/>
                <w:sz w:val="21"/>
                <w:szCs w:val="21"/>
              </w:rPr>
              <w:instrText>和</w:instrText>
            </w:r>
            <w:r w:rsidRPr="00B50702">
              <w:rPr>
                <w:color w:val="000000"/>
                <w:sz w:val="21"/>
                <w:szCs w:val="21"/>
              </w:rPr>
              <w:instrText>CoFe@CA-D</w:instrText>
            </w:r>
            <w:r w:rsidRPr="00B50702">
              <w:rPr>
                <w:color w:val="000000"/>
                <w:sz w:val="21"/>
                <w:szCs w:val="21"/>
              </w:rPr>
              <w:instrText>的平衡吸附能力保持在</w:instrText>
            </w:r>
            <w:r w:rsidRPr="00B50702">
              <w:rPr>
                <w:color w:val="000000"/>
                <w:sz w:val="21"/>
                <w:szCs w:val="21"/>
              </w:rPr>
              <w:instrText>81%</w:instrText>
            </w:r>
            <w:r w:rsidRPr="00B50702">
              <w:rPr>
                <w:color w:val="000000"/>
                <w:sz w:val="21"/>
                <w:szCs w:val="21"/>
              </w:rPr>
              <w:instrText>和</w:instrText>
            </w:r>
            <w:r w:rsidRPr="00B50702">
              <w:rPr>
                <w:color w:val="000000"/>
                <w:sz w:val="21"/>
                <w:szCs w:val="21"/>
              </w:rPr>
              <w:instrText>91%</w:instrText>
            </w:r>
            <w:r w:rsidRPr="00B50702">
              <w:rPr>
                <w:color w:val="000000"/>
                <w:sz w:val="21"/>
                <w:szCs w:val="21"/>
              </w:rPr>
              <w:instrText>。结果表明，这种金属有机框架</w:instrText>
            </w:r>
            <w:r w:rsidRPr="00B50702">
              <w:rPr>
                <w:color w:val="000000"/>
                <w:sz w:val="21"/>
                <w:szCs w:val="21"/>
              </w:rPr>
              <w:instrText>work@cellulose</w:instrText>
            </w:r>
            <w:r w:rsidRPr="00B50702">
              <w:rPr>
                <w:color w:val="000000"/>
                <w:sz w:val="21"/>
                <w:szCs w:val="21"/>
              </w:rPr>
              <w:instrText>混合气凝胶在碘处理中显示出巨大的潜力，可以广泛应用于领域。</w:instrText>
            </w:r>
            <w:r w:rsidRPr="00B50702">
              <w:rPr>
                <w:color w:val="000000"/>
                <w:sz w:val="21"/>
                <w:szCs w:val="21"/>
              </w:rPr>
              <w:instrText xml:space="preserve">","page":"110386","source":"DOI.org (Crossref)","title":"Fabrication of bimetallic Hofmann-type metal-organic Frameworks@Cellulose aerogels for efficient iodine capture","volume":"306","author":[{"family":"Wu","given":"Yuhang"},{"family":"Xie","given":"Yuanbo"},{"family":"Zhong","given":"Fangyuan"},{"family":"Gao","given":"Junkuo"},{"family":"Yao","given":"Juming"}],"issued":{"date-parts":[["2020",10]]}}}],"schema":"https://github.com/citation-style-language/schema/raw/master/csl-citation.json"} </w:instrText>
            </w:r>
            <w:r w:rsidRPr="00B50702">
              <w:rPr>
                <w:color w:val="000000"/>
                <w:sz w:val="21"/>
                <w:szCs w:val="21"/>
              </w:rPr>
              <w:fldChar w:fldCharType="separate"/>
            </w:r>
            <w:r w:rsidRPr="00B50702">
              <w:rPr>
                <w:sz w:val="21"/>
              </w:rPr>
              <w:t>[32]</w:t>
            </w:r>
            <w:r w:rsidRPr="00B50702">
              <w:rPr>
                <w:color w:val="000000"/>
                <w:sz w:val="21"/>
                <w:szCs w:val="21"/>
              </w:rPr>
              <w:fldChar w:fldCharType="end"/>
            </w:r>
          </w:p>
        </w:tc>
      </w:tr>
      <w:tr w:rsidR="007E3433" w:rsidRPr="00B50702" w14:paraId="31133AFD" w14:textId="77777777" w:rsidTr="003534D2">
        <w:trPr>
          <w:jc w:val="center"/>
        </w:trPr>
        <w:tc>
          <w:tcPr>
            <w:tcW w:w="724" w:type="pct"/>
            <w:shd w:val="clear" w:color="auto" w:fill="FFFFFF"/>
            <w:vAlign w:val="center"/>
          </w:tcPr>
          <w:p w14:paraId="49B1D38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r</w:t>
            </w:r>
          </w:p>
        </w:tc>
        <w:tc>
          <w:tcPr>
            <w:tcW w:w="1326" w:type="pct"/>
            <w:shd w:val="clear" w:color="auto" w:fill="FFFFFF"/>
            <w:vAlign w:val="center"/>
          </w:tcPr>
          <w:p w14:paraId="460CFB59"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TTA-TTB COF</w:t>
            </w:r>
          </w:p>
        </w:tc>
        <w:tc>
          <w:tcPr>
            <w:tcW w:w="591" w:type="pct"/>
            <w:shd w:val="clear" w:color="auto" w:fill="FFFFFF"/>
            <w:vAlign w:val="center"/>
          </w:tcPr>
          <w:p w14:paraId="7B13513B"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77</w:t>
            </w:r>
          </w:p>
        </w:tc>
        <w:tc>
          <w:tcPr>
            <w:tcW w:w="609" w:type="pct"/>
            <w:shd w:val="clear" w:color="auto" w:fill="FFFFFF"/>
            <w:vAlign w:val="center"/>
          </w:tcPr>
          <w:p w14:paraId="2F2044B6"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 xml:space="preserve">100 </w:t>
            </w:r>
          </w:p>
        </w:tc>
        <w:tc>
          <w:tcPr>
            <w:tcW w:w="685" w:type="pct"/>
            <w:shd w:val="clear" w:color="auto" w:fill="FFFFFF"/>
            <w:vAlign w:val="center"/>
          </w:tcPr>
          <w:p w14:paraId="03F8D2C3"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0.626</w:t>
            </w:r>
          </w:p>
        </w:tc>
        <w:tc>
          <w:tcPr>
            <w:tcW w:w="1065" w:type="pct"/>
            <w:shd w:val="clear" w:color="auto" w:fill="FFFFFF"/>
            <w:vAlign w:val="center"/>
          </w:tcPr>
          <w:p w14:paraId="7BBA31BE"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{"citationID":"cKm1HeyM","properties":{"formattedCitation":"[16]","plainCitation":"[16]","noteIndex":0},"citationItems":[{"id":272,"uris":["http://zotero.org/users/14169885/items/SIAYCMS8"],"itemData":{"id":272,"type":"article-journal","abstract":"Abstract\n            Progress in chemistry over the past four decades has generated a variety of porous materials for removing iodine—a radioactive emission accompanying nuclear fission. However, most studies are still based on the notion that entangled pores together with specific binding sites are essential for iodine capture. Here, an unraveled physical picture of iodine capture that overturns the preconception by exploring 1D channeled porous materials is disclosed. 2D covalent organic frameworks are constructed in a way so that they are free of interpenetration and binding sites but consist of 1D open channels. As verified with different channels shaping from hexagonal to tetragonal and trigonal and ranging from micropores to mesopores, all the 1D channels enable a full access to iodine, generalizing a new paradigm that the pore volume determines the uptake capacity. These results are of fundamental importance to understanding iodine uptake and designing materials to treat coagulative toxic vapors.","container-title":"Advanced Materials","DOI":"10.1002/adma.201801991","ISSN":"0935-9648, 1521-4095","issue":"29","journalAbbreviation":"Advanced Materials","language":"en","note":"titleTranslation: 2d</w:instrText>
            </w:r>
            <w:r w:rsidRPr="00B50702">
              <w:rPr>
                <w:color w:val="000000"/>
                <w:sz w:val="21"/>
                <w:szCs w:val="21"/>
              </w:rPr>
              <w:instrText>共价有机框架中异常的碘捕获</w:instrText>
            </w:r>
            <w:r w:rsidRPr="00B50702">
              <w:rPr>
                <w:color w:val="000000"/>
                <w:sz w:val="21"/>
                <w:szCs w:val="21"/>
              </w:rPr>
              <w:instrText xml:space="preserve">\nabstractTranslation: </w:instrText>
            </w:r>
            <w:r w:rsidRPr="00B50702">
              <w:rPr>
                <w:color w:val="000000"/>
                <w:sz w:val="21"/>
                <w:szCs w:val="21"/>
              </w:rPr>
              <w:instrText>摘要</w:instrText>
            </w:r>
            <w:r w:rsidRPr="00B50702">
              <w:rPr>
                <w:color w:val="000000"/>
                <w:sz w:val="21"/>
                <w:szCs w:val="21"/>
              </w:rPr>
              <w:instrText xml:space="preserve"> </w:instrText>
            </w:r>
            <w:r w:rsidRPr="00B50702">
              <w:rPr>
                <w:color w:val="000000"/>
                <w:sz w:val="21"/>
                <w:szCs w:val="21"/>
              </w:rPr>
              <w:instrText>过去四十年来化学的进步已经产生了各种多孔材料来去除碘</w:instrText>
            </w:r>
            <w:r w:rsidRPr="00B50702">
              <w:rPr>
                <w:color w:val="000000"/>
                <w:sz w:val="21"/>
                <w:szCs w:val="21"/>
              </w:rPr>
              <w:instrText>——</w:instrText>
            </w:r>
            <w:r w:rsidRPr="00B50702">
              <w:rPr>
                <w:color w:val="000000"/>
                <w:sz w:val="21"/>
                <w:szCs w:val="21"/>
              </w:rPr>
              <w:instrText>碘是伴随核裂变的放射性排放。然而，大多数研究仍然基于这样一种观念，即缠结的孔隙和特定的结合位点对于碘捕获至关重要。在这里，揭示了碘捕获的解开物理图景，通过探索一维通道多孔材料推翻了先入之见。二维共价有机框架的构造方式使其没有相互渗透和结合位点，但由一维开放通道组成。正如从六边形到四方形和三角形以及从微孔到中孔的不同通道所验证的那样，所有一维通道都可以完全获取碘，从而概括了孔体积决定摄取能力的新范式。这些结果对于了解碘的吸收和设计处理凝血性有毒蒸气的材料具有至关重要的意义。</w:instrText>
            </w:r>
            <w:r w:rsidRPr="00B50702">
              <w:rPr>
                <w:color w:val="000000"/>
                <w:sz w:val="21"/>
                <w:szCs w:val="21"/>
              </w:rPr>
              <w:instrText xml:space="preserve">","page":"1801991","source":"DOI.org (Crossref)","title":"Exceptional Iodine Capture in 2D Covalent Organic Frameworks","volume":"30","author":[{"family":"Wang","given":"Ping"},{"family":"Xu","given":"Qing"},{"family":"Li","given":"Zhongping"},{"family":"Jiang","given":"Weiming"},{"family":"Jiang","given":"Qiuhong"},{"family":"Jiang","given":"Donglin"}],"issued":{"date-parts":[["2018",7]]}}}],"schema":"https://github.com/citation-style-language/schema/raw/master/csl-citation.json"} </w:instrText>
            </w:r>
            <w:r w:rsidRPr="00B50702">
              <w:rPr>
                <w:color w:val="000000"/>
                <w:sz w:val="21"/>
                <w:szCs w:val="21"/>
              </w:rPr>
              <w:fldChar w:fldCharType="separate"/>
            </w:r>
            <w:r w:rsidRPr="00B50702">
              <w:rPr>
                <w:sz w:val="21"/>
              </w:rPr>
              <w:t>[16]</w:t>
            </w:r>
            <w:r w:rsidRPr="00B50702">
              <w:rPr>
                <w:color w:val="000000"/>
                <w:sz w:val="21"/>
                <w:szCs w:val="21"/>
              </w:rPr>
              <w:fldChar w:fldCharType="end"/>
            </w:r>
          </w:p>
        </w:tc>
      </w:tr>
      <w:tr w:rsidR="007E3433" w:rsidRPr="00B50702" w14:paraId="66CDAA2D" w14:textId="77777777" w:rsidTr="003534D2">
        <w:trPr>
          <w:jc w:val="center"/>
        </w:trPr>
        <w:tc>
          <w:tcPr>
            <w:tcW w:w="724" w:type="pct"/>
            <w:shd w:val="clear" w:color="auto" w:fill="FFFFFF"/>
            <w:vAlign w:val="center"/>
          </w:tcPr>
          <w:p w14:paraId="49CAC43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s</w:t>
            </w:r>
          </w:p>
        </w:tc>
        <w:tc>
          <w:tcPr>
            <w:tcW w:w="1326" w:type="pct"/>
            <w:shd w:val="clear" w:color="auto" w:fill="FFFFFF"/>
            <w:vAlign w:val="center"/>
          </w:tcPr>
          <w:p w14:paraId="02D656B0" w14:textId="77777777" w:rsidR="007E3433" w:rsidRPr="00B50702" w:rsidRDefault="007E3433" w:rsidP="003534D2">
            <w:pPr>
              <w:tabs>
                <w:tab w:val="left" w:pos="426"/>
              </w:tabs>
              <w:spacing w:line="440" w:lineRule="exact"/>
              <w:ind w:firstLineChars="0" w:firstLine="0"/>
              <w:rPr>
                <w:color w:val="000000"/>
                <w:sz w:val="21"/>
                <w:szCs w:val="21"/>
              </w:rPr>
            </w:pPr>
            <w:proofErr w:type="spellStart"/>
            <w:r w:rsidRPr="00B50702">
              <w:rPr>
                <w:color w:val="000000"/>
                <w:sz w:val="21"/>
                <w:szCs w:val="21"/>
              </w:rPr>
              <w:t>AzoPPN</w:t>
            </w:r>
            <w:proofErr w:type="spellEnd"/>
          </w:p>
        </w:tc>
        <w:tc>
          <w:tcPr>
            <w:tcW w:w="591" w:type="pct"/>
            <w:shd w:val="clear" w:color="auto" w:fill="FFFFFF"/>
            <w:vAlign w:val="center"/>
          </w:tcPr>
          <w:p w14:paraId="73C85635"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77</w:t>
            </w:r>
          </w:p>
        </w:tc>
        <w:tc>
          <w:tcPr>
            <w:tcW w:w="609" w:type="pct"/>
            <w:shd w:val="clear" w:color="auto" w:fill="FFFFFF"/>
            <w:vAlign w:val="center"/>
          </w:tcPr>
          <w:p w14:paraId="67A018E7"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12</w:t>
            </w:r>
          </w:p>
        </w:tc>
        <w:tc>
          <w:tcPr>
            <w:tcW w:w="685" w:type="pct"/>
            <w:shd w:val="clear" w:color="auto" w:fill="FFFFFF"/>
            <w:vAlign w:val="center"/>
          </w:tcPr>
          <w:p w14:paraId="03E84B2F"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t>0.290</w:t>
            </w:r>
          </w:p>
        </w:tc>
        <w:tc>
          <w:tcPr>
            <w:tcW w:w="1065" w:type="pct"/>
            <w:shd w:val="clear" w:color="auto" w:fill="FFFFFF"/>
            <w:vAlign w:val="center"/>
          </w:tcPr>
          <w:p w14:paraId="019907D2" w14:textId="77777777" w:rsidR="007E3433" w:rsidRPr="00B50702" w:rsidRDefault="007E3433" w:rsidP="003534D2">
            <w:pPr>
              <w:tabs>
                <w:tab w:val="left" w:pos="426"/>
              </w:tabs>
              <w:spacing w:line="440" w:lineRule="exact"/>
              <w:ind w:firstLineChars="0" w:firstLine="0"/>
              <w:rPr>
                <w:color w:val="000000"/>
                <w:sz w:val="21"/>
                <w:szCs w:val="21"/>
              </w:rPr>
            </w:pPr>
            <w:r w:rsidRPr="00B50702">
              <w:rPr>
                <w:color w:val="000000"/>
                <w:sz w:val="21"/>
                <w:szCs w:val="21"/>
              </w:rPr>
              <w:fldChar w:fldCharType="begin"/>
            </w:r>
            <w:r w:rsidRPr="00B50702">
              <w:rPr>
                <w:color w:val="000000"/>
                <w:sz w:val="21"/>
                <w:szCs w:val="21"/>
              </w:rPr>
              <w:instrText xml:space="preserve"> ADDIN ZOTERO_ITEM CSL_CITATION {"citationID":"Xbbhfgw0","properties":{"formattedCitation":"[17]","plainCitation":"[17]","noteIndex":0},"citationItems":[{"id":280,"uris":["http://zotero.org/users/14169885/items/ALDTIN78"],"itemData":{"id":280,"type":"article-journal","abstract":"Abstract\n            We report a highly efficient iodine adsorbent achieved by rational design of a porous azo‐bridged porphyrin–phthalocyanine network (AzoPPN), which was synthesized by a catalyst‐free coupling reaction between free‐base 5,10,15,20‐tetrakis(4‐nitrophenyl)‐porphyrin and nickel tetraaminophthlocyanine. AzoPPN has a permanent porous structure and plenty of porphyrin and phthalocyanine units in the skeleton as effective sorption sites. It displays excellent adsorption of iodine vapor up to 290 wt. % and also shows remarkable capability as adsorbent for iodine in solution. This strategy of combining physisorption with chemisorption in one adsorbent will pave the way for the development of new materials for iodine capture.","container-title":"Chemistry – A European Journal","DOI":"10.1002/chem.201602337","ISSN":"0947-6539, 1521-3765","issue":"33","journalAbbreviation":"Chemistry A European J","language":"en","license":"http://onlinelibrary.wiley.com/termsAndConditions#vor","note":"titleTranslation: </w:instrText>
            </w:r>
            <w:r w:rsidRPr="00B50702">
              <w:rPr>
                <w:color w:val="000000"/>
                <w:sz w:val="21"/>
                <w:szCs w:val="21"/>
              </w:rPr>
              <w:instrText>具有高碘捕获能力的多孔偶氮桥联卟啉</w:instrText>
            </w:r>
            <w:r w:rsidRPr="00B50702">
              <w:rPr>
                <w:color w:val="000000"/>
                <w:sz w:val="21"/>
                <w:szCs w:val="21"/>
              </w:rPr>
              <w:instrText>-</w:instrText>
            </w:r>
            <w:r w:rsidRPr="00B50702">
              <w:rPr>
                <w:color w:val="000000"/>
                <w:sz w:val="21"/>
                <w:szCs w:val="21"/>
              </w:rPr>
              <w:instrText>酞菁网络</w:instrText>
            </w:r>
            <w:r w:rsidRPr="00B50702">
              <w:rPr>
                <w:color w:val="000000"/>
                <w:sz w:val="21"/>
                <w:szCs w:val="21"/>
              </w:rPr>
              <w:instrText xml:space="preserve">\nabstractTranslation: </w:instrText>
            </w:r>
            <w:r w:rsidRPr="00B50702">
              <w:rPr>
                <w:color w:val="000000"/>
                <w:sz w:val="21"/>
                <w:szCs w:val="21"/>
              </w:rPr>
              <w:instrText>摘要</w:instrText>
            </w:r>
            <w:r w:rsidRPr="00B50702">
              <w:rPr>
                <w:color w:val="000000"/>
                <w:sz w:val="21"/>
                <w:szCs w:val="21"/>
              </w:rPr>
              <w:instrText xml:space="preserve"> </w:instrText>
            </w:r>
            <w:r w:rsidRPr="00B50702">
              <w:rPr>
                <w:color w:val="000000"/>
                <w:sz w:val="21"/>
                <w:szCs w:val="21"/>
              </w:rPr>
              <w:instrText>本文报道了通过游离碱</w:instrText>
            </w:r>
            <w:r w:rsidRPr="00B50702">
              <w:rPr>
                <w:color w:val="000000"/>
                <w:sz w:val="21"/>
                <w:szCs w:val="21"/>
              </w:rPr>
              <w:instrText>5,10,15,20-</w:instrText>
            </w:r>
            <w:r w:rsidRPr="00B50702">
              <w:rPr>
                <w:color w:val="000000"/>
                <w:sz w:val="21"/>
                <w:szCs w:val="21"/>
              </w:rPr>
              <w:instrText>四（</w:instrText>
            </w:r>
            <w:r w:rsidRPr="00B50702">
              <w:rPr>
                <w:color w:val="000000"/>
                <w:sz w:val="21"/>
                <w:szCs w:val="21"/>
              </w:rPr>
              <w:instrText>4-</w:instrText>
            </w:r>
            <w:r w:rsidRPr="00B50702">
              <w:rPr>
                <w:color w:val="000000"/>
                <w:sz w:val="21"/>
                <w:szCs w:val="21"/>
              </w:rPr>
              <w:instrText>硝基苯基）</w:instrText>
            </w:r>
            <w:r w:rsidRPr="00B50702">
              <w:rPr>
                <w:color w:val="000000"/>
                <w:sz w:val="21"/>
                <w:szCs w:val="21"/>
              </w:rPr>
              <w:instrText>-</w:instrText>
            </w:r>
            <w:r w:rsidRPr="00B50702">
              <w:rPr>
                <w:color w:val="000000"/>
                <w:sz w:val="21"/>
                <w:szCs w:val="21"/>
              </w:rPr>
              <w:instrText>卟啉与镍四氨基苯菁之间的无催化剂偶联反应，合理设计多孔偶氮桥卟啉</w:instrText>
            </w:r>
            <w:r w:rsidRPr="00B50702">
              <w:rPr>
                <w:color w:val="000000"/>
                <w:sz w:val="21"/>
                <w:szCs w:val="21"/>
              </w:rPr>
              <w:instrText>-</w:instrText>
            </w:r>
            <w:r w:rsidRPr="00B50702">
              <w:rPr>
                <w:color w:val="000000"/>
                <w:sz w:val="21"/>
                <w:szCs w:val="21"/>
              </w:rPr>
              <w:instrText>酞菁网络（</w:instrText>
            </w:r>
            <w:r w:rsidRPr="00B50702">
              <w:rPr>
                <w:color w:val="000000"/>
                <w:sz w:val="21"/>
                <w:szCs w:val="21"/>
              </w:rPr>
              <w:instrText>AzoPPN</w:instrText>
            </w:r>
            <w:r w:rsidRPr="00B50702">
              <w:rPr>
                <w:color w:val="000000"/>
                <w:sz w:val="21"/>
                <w:szCs w:val="21"/>
              </w:rPr>
              <w:instrText>）实现了一种高效的碘吸附剂。偶氮</w:instrText>
            </w:r>
            <w:r w:rsidRPr="00B50702">
              <w:rPr>
                <w:color w:val="000000"/>
                <w:sz w:val="21"/>
                <w:szCs w:val="21"/>
              </w:rPr>
              <w:instrText>PPN</w:instrText>
            </w:r>
            <w:r w:rsidRPr="00B50702">
              <w:rPr>
                <w:color w:val="000000"/>
                <w:sz w:val="21"/>
                <w:szCs w:val="21"/>
              </w:rPr>
              <w:instrText>具有永久性的多孔结构，骨架中有大量的卟啉和酞菁单元作为有效的吸附位点。它对碘蒸气的吸附能力高达</w:instrText>
            </w:r>
            <w:r w:rsidRPr="00B50702">
              <w:rPr>
                <w:color w:val="000000"/>
                <w:sz w:val="21"/>
                <w:szCs w:val="21"/>
              </w:rPr>
              <w:instrText xml:space="preserve"> 290 wt.%</w:instrText>
            </w:r>
            <w:r w:rsidRPr="00B50702">
              <w:rPr>
                <w:color w:val="000000"/>
                <w:sz w:val="21"/>
                <w:szCs w:val="21"/>
              </w:rPr>
              <w:instrText>，并且作为溶液中碘的吸附剂也表现出卓越的能力。这种将物理吸附与化学吸附结合在一种吸附剂中的策略将为开发用于碘捕获的新材料铺平道路。</w:instrText>
            </w:r>
            <w:r w:rsidRPr="00B50702">
              <w:rPr>
                <w:color w:val="000000"/>
                <w:sz w:val="21"/>
                <w:szCs w:val="21"/>
              </w:rPr>
              <w:instrText xml:space="preserve">","page":"11863-11868","source":"DOI.org (Crossref)","title":"Porous Azo‐Bridged Porphyrin–Phthalocyanine Network with High Iodine Capture Capability","volume":"22","author":[{"family":"Li","given":"Hui"},{"family":"Ding","given":"Xuesong"},{"family":"Han","given":"Bao‐Hang"}],"issued":{"date-parts":[["2016",8,8]]}}}],"schema":"https://github.com/citation-style-language/schema/raw/master/csl-citation.json"} </w:instrText>
            </w:r>
            <w:r w:rsidRPr="00B50702">
              <w:rPr>
                <w:color w:val="000000"/>
                <w:sz w:val="21"/>
                <w:szCs w:val="21"/>
              </w:rPr>
              <w:fldChar w:fldCharType="separate"/>
            </w:r>
            <w:r w:rsidRPr="00B50702">
              <w:rPr>
                <w:sz w:val="21"/>
              </w:rPr>
              <w:t>[17]</w:t>
            </w:r>
            <w:r w:rsidRPr="00B50702">
              <w:rPr>
                <w:color w:val="000000"/>
                <w:sz w:val="21"/>
                <w:szCs w:val="21"/>
              </w:rPr>
              <w:fldChar w:fldCharType="end"/>
            </w:r>
          </w:p>
        </w:tc>
      </w:tr>
      <w:tr w:rsidR="007E3433" w:rsidRPr="00B50702" w14:paraId="1A4FB7C6" w14:textId="77777777" w:rsidTr="003534D2">
        <w:trPr>
          <w:jc w:val="center"/>
        </w:trPr>
        <w:tc>
          <w:tcPr>
            <w:tcW w:w="724" w:type="pct"/>
            <w:shd w:val="clear" w:color="auto" w:fill="FFFFFF"/>
            <w:vAlign w:val="center"/>
          </w:tcPr>
          <w:p w14:paraId="7B066499" w14:textId="77777777" w:rsidR="007E3433" w:rsidRPr="00B50702" w:rsidRDefault="007E3433" w:rsidP="003534D2">
            <w:pPr>
              <w:tabs>
                <w:tab w:val="left" w:pos="426"/>
              </w:tabs>
              <w:spacing w:line="440" w:lineRule="exact"/>
              <w:ind w:firstLineChars="0" w:firstLine="0"/>
              <w:rPr>
                <w:b/>
                <w:bCs/>
                <w:color w:val="000000"/>
                <w:sz w:val="21"/>
                <w:szCs w:val="21"/>
              </w:rPr>
            </w:pPr>
            <w:r>
              <w:rPr>
                <w:rFonts w:hint="eastAsia"/>
                <w:b/>
                <w:bCs/>
                <w:color w:val="000000"/>
                <w:sz w:val="21"/>
                <w:szCs w:val="21"/>
              </w:rPr>
              <w:t>t</w:t>
            </w:r>
          </w:p>
        </w:tc>
        <w:tc>
          <w:tcPr>
            <w:tcW w:w="1326" w:type="pct"/>
            <w:shd w:val="clear" w:color="auto" w:fill="FFFFFF"/>
            <w:vAlign w:val="center"/>
          </w:tcPr>
          <w:p w14:paraId="3F4E4E99"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PEI@PAA</w:t>
            </w:r>
          </w:p>
        </w:tc>
        <w:tc>
          <w:tcPr>
            <w:tcW w:w="591" w:type="pct"/>
            <w:shd w:val="clear" w:color="auto" w:fill="FFFFFF"/>
            <w:vAlign w:val="center"/>
          </w:tcPr>
          <w:p w14:paraId="3A2A17BA"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80</w:t>
            </w:r>
          </w:p>
        </w:tc>
        <w:tc>
          <w:tcPr>
            <w:tcW w:w="609" w:type="pct"/>
            <w:shd w:val="clear" w:color="auto" w:fill="FFFFFF"/>
            <w:vAlign w:val="center"/>
          </w:tcPr>
          <w:p w14:paraId="7BDD13BB"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4</w:t>
            </w:r>
          </w:p>
        </w:tc>
        <w:tc>
          <w:tcPr>
            <w:tcW w:w="685" w:type="pct"/>
            <w:shd w:val="clear" w:color="auto" w:fill="FFFFFF"/>
            <w:vAlign w:val="center"/>
          </w:tcPr>
          <w:p w14:paraId="6B4AF2FA"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6.8</w:t>
            </w:r>
          </w:p>
        </w:tc>
        <w:tc>
          <w:tcPr>
            <w:tcW w:w="1065" w:type="pct"/>
            <w:shd w:val="clear" w:color="auto" w:fill="FFFFFF"/>
            <w:vAlign w:val="center"/>
          </w:tcPr>
          <w:p w14:paraId="35585F60" w14:textId="77777777" w:rsidR="007E3433" w:rsidRPr="00B50702" w:rsidRDefault="007E3433" w:rsidP="003534D2">
            <w:pPr>
              <w:tabs>
                <w:tab w:val="left" w:pos="426"/>
              </w:tabs>
              <w:spacing w:line="440" w:lineRule="exact"/>
              <w:ind w:firstLineChars="0" w:firstLine="0"/>
              <w:rPr>
                <w:b/>
                <w:bCs/>
                <w:color w:val="000000"/>
                <w:sz w:val="21"/>
                <w:szCs w:val="21"/>
              </w:rPr>
            </w:pPr>
            <w:r w:rsidRPr="00B50702">
              <w:rPr>
                <w:b/>
                <w:bCs/>
                <w:color w:val="000000"/>
                <w:sz w:val="21"/>
                <w:szCs w:val="21"/>
              </w:rPr>
              <w:t>This work</w:t>
            </w:r>
          </w:p>
        </w:tc>
      </w:tr>
    </w:tbl>
    <w:p w14:paraId="7F49EEDB" w14:textId="77777777" w:rsidR="007E3433" w:rsidRPr="00B50702" w:rsidRDefault="007E3433" w:rsidP="007E3433">
      <w:pPr>
        <w:pStyle w:val="ac"/>
        <w:ind w:firstLineChars="0" w:firstLine="0"/>
        <w:jc w:val="both"/>
        <w:rPr>
          <w:rFonts w:cs="Times New Roman"/>
        </w:rPr>
      </w:pPr>
      <w:r w:rsidRPr="00B50702">
        <w:rPr>
          <w:rFonts w:cs="Times New Roman"/>
        </w:rPr>
        <w:br w:type="page"/>
      </w:r>
    </w:p>
    <w:p w14:paraId="525D5625" w14:textId="77777777" w:rsidR="007E3433" w:rsidRPr="00103A6F" w:rsidRDefault="007E3433" w:rsidP="007E3433">
      <w:pPr>
        <w:pStyle w:val="ac"/>
        <w:spacing w:afterLines="100" w:after="326"/>
        <w:ind w:left="0" w:firstLineChars="0" w:firstLine="0"/>
        <w:rPr>
          <w:rFonts w:cs="Times New Roman"/>
          <w:b/>
          <w:bCs/>
          <w:sz w:val="28"/>
          <w:szCs w:val="24"/>
        </w:rPr>
      </w:pPr>
      <w:r w:rsidRPr="00103A6F">
        <w:rPr>
          <w:rFonts w:cs="Times New Roman"/>
          <w:b/>
          <w:bCs/>
          <w:sz w:val="28"/>
          <w:szCs w:val="24"/>
        </w:rPr>
        <w:lastRenderedPageBreak/>
        <w:t>References</w:t>
      </w:r>
    </w:p>
    <w:p w14:paraId="61BEBCC1"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fldChar w:fldCharType="begin"/>
      </w:r>
      <w:r w:rsidRPr="00B50702">
        <w:rPr>
          <w:rFonts w:cs="Times New Roman"/>
        </w:rPr>
        <w:instrText xml:space="preserve"> ADDIN ZOTERO_BIBL {"uncited":[],"omitted":[],"custom":[]} CSL_BIBLIOGRAPHY </w:instrText>
      </w:r>
      <w:r w:rsidRPr="00B50702">
        <w:rPr>
          <w:rFonts w:cs="Times New Roman"/>
        </w:rPr>
        <w:fldChar w:fldCharType="separate"/>
      </w:r>
      <w:r w:rsidRPr="00B50702">
        <w:rPr>
          <w:rFonts w:cs="Times New Roman"/>
        </w:rPr>
        <w:t>[1]</w:t>
      </w:r>
      <w:r w:rsidRPr="00B50702">
        <w:rPr>
          <w:rFonts w:cs="Times New Roman"/>
        </w:rPr>
        <w:tab/>
        <w:t>Frisch M J , Trucks G W , Schlegel H B, et al., Gaussian 16 Revision A.03, Wallingford CT: Gaussian Inc, 2016.</w:t>
      </w:r>
    </w:p>
    <w:p w14:paraId="6D5C26DB"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w:t>
      </w:r>
      <w:r w:rsidRPr="00B50702">
        <w:rPr>
          <w:rFonts w:cs="Times New Roman"/>
        </w:rPr>
        <w:tab/>
        <w:t>F. Weigend, R. Ahlrichs, Balanced basis sets of split valence, triple zeta valence and quadruple zeta valence quality for H to Rn: Design and assessment of accuracy, Phys. Chem. Chem. Phys. 7 (2005) 3297. https://doi.org/10.1039/b508541a.</w:t>
      </w:r>
    </w:p>
    <w:p w14:paraId="034B8B3C"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[3]</w:t>
      </w:r>
      <w:r w:rsidRPr="00B50702">
        <w:rPr>
          <w:rFonts w:cs="Times New Roman"/>
        </w:rPr>
        <w:tab/>
        <w:t>Y. Zhao, D.G. Truhlar, The M06 suite of density functionals for main group thermochemistry, thermochemical kinetics, noncovalent interactions, excited states, and transition elements: two new functionals and systematic testing of four M06-class functionals and 12 other functionals, Theor. Chem. Acc. 120 (2008) 215–241. https://doi.org/10.1007/s00214-007-0310-x.</w:t>
      </w:r>
    </w:p>
    <w:p w14:paraId="04293107"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[4]</w:t>
      </w:r>
      <w:r w:rsidRPr="00B50702">
        <w:rPr>
          <w:rFonts w:cs="Times New Roman"/>
        </w:rPr>
        <w:tab/>
        <w:t>L. Goerigk, S. Grimme, A thorough benchmark of density functional methods for general main group thermochemistry, kinetics, and noncovalent interactions, Phys. Chem. Chem. Phys. 13 (2011) 6670. https://doi.org/10.1039/c0cp02984j.</w:t>
      </w:r>
    </w:p>
    <w:p w14:paraId="3B4A7DD0"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[5]</w:t>
      </w:r>
      <w:r w:rsidRPr="00B50702">
        <w:rPr>
          <w:rFonts w:cs="Times New Roman"/>
        </w:rPr>
        <w:tab/>
        <w:t>S. Grimme, J. Antony, S. Ehrlich, H. Krieg, A consistent and accurate ab initio parametrization of density functional dispersion correction (DFT-D) for the 94 elements H-Pu, J. Chem. Phys. 132 (2010) 154104. https://doi.org/10.1063/1.3382344.</w:t>
      </w:r>
    </w:p>
    <w:p w14:paraId="33C95BBC"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[6]</w:t>
      </w:r>
      <w:r w:rsidRPr="00B50702">
        <w:rPr>
          <w:rFonts w:cs="Times New Roman"/>
        </w:rPr>
        <w:tab/>
        <w:t>T. Lu, Q. Chen, Interaction Region Indicator: A Simple Real Space Function Clearly Revealing Both Chemical Bonds and Weak Interactions**, Chemistry–Methods 1 (2021) 231–239. https://doi.org/10.1002/cmtd.202100007.</w:t>
      </w:r>
    </w:p>
    <w:p w14:paraId="4ED11B48"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[7]</w:t>
      </w:r>
      <w:r w:rsidRPr="00B50702">
        <w:rPr>
          <w:rFonts w:cs="Times New Roman"/>
        </w:rPr>
        <w:tab/>
        <w:t>W. Humphrey, A. Dalke, K. Schulten, VMD: Visual molecular dynamics, J. Mol. Graph. 14 (1996) 33–38. https://doi.org/10.1016/0263-7855(96)00018-5.</w:t>
      </w:r>
    </w:p>
    <w:p w14:paraId="471066C8"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[8]</w:t>
      </w:r>
      <w:r w:rsidRPr="00B50702">
        <w:rPr>
          <w:rFonts w:cs="Times New Roman"/>
        </w:rPr>
        <w:tab/>
        <w:t>J. Zhang, T. Lu, Efficient evaluation of electrostatic potential with computerized optimized code, Phys. Chem. Chem. Phys. 23 (2021) 20323–20328. https://doi.org/10.1039/d1cp02805g.</w:t>
      </w:r>
    </w:p>
    <w:p w14:paraId="5B43E763"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[9]</w:t>
      </w:r>
      <w:r w:rsidRPr="00B50702">
        <w:rPr>
          <w:rFonts w:cs="Times New Roman"/>
        </w:rPr>
        <w:tab/>
        <w:t>T. Lu, F. Chen, Multiwfn: A multifunctional wavefunction analyzer, J. Comput. Chem. 33 (2012) 580–592. https://doi.org/10.1002/jcc.22885.</w:t>
      </w:r>
    </w:p>
    <w:p w14:paraId="5710ADE9"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[10]</w:t>
      </w:r>
      <w:r w:rsidRPr="00B50702">
        <w:rPr>
          <w:rFonts w:cs="Times New Roman"/>
        </w:rPr>
        <w:tab/>
        <w:t>Macklin Reagent, (n.d.). https://www.macklin.cn/ (accessed August 8, 2025).</w:t>
      </w:r>
    </w:p>
    <w:p w14:paraId="35ECA188"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[11]</w:t>
      </w:r>
      <w:r w:rsidRPr="00B50702">
        <w:rPr>
          <w:rFonts w:cs="Times New Roman"/>
        </w:rPr>
        <w:tab/>
        <w:t>Z. Shen, A.I. Wiechert, A.P. Ladshaw, A. Greaney, C. Tsouris, S. Yiacoumi, Adsorption of molecular iodine and alkyl iodides from spent-nuclear-fuel-</w:t>
      </w:r>
      <w:r w:rsidRPr="00B50702">
        <w:rPr>
          <w:rFonts w:cs="Times New Roman"/>
        </w:rPr>
        <w:lastRenderedPageBreak/>
        <w:t>reprocessing off-gas using reduced silver mordenite, Chem. Eng. J. 482 (2024) 149083. https://doi.org/10.1016/j.cej.2024.149083.</w:t>
      </w:r>
    </w:p>
    <w:p w14:paraId="51FDA8BC"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[12]</w:t>
      </w:r>
      <w:r w:rsidRPr="00B50702">
        <w:rPr>
          <w:rFonts w:cs="Times New Roman"/>
        </w:rPr>
        <w:tab/>
        <w:t>Y. Xie, T. Pan, Q. Lei, C. Chen, X. Dong, Y. Yuan, W.A. Maksoud, L. Zhao, L. Cavallo, I. Pinnau, Y. Han, Efficient and simultaneous capture of iodine and methyl iodide achieved by a covalent organic framework, Nat. Commun. 13 (2022) 2878. https://doi.org/10.1038/s41467-022-30663-3.</w:t>
      </w:r>
    </w:p>
    <w:p w14:paraId="0B3F1555"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[13]</w:t>
      </w:r>
      <w:r w:rsidRPr="00B50702">
        <w:rPr>
          <w:rFonts w:cs="Times New Roman"/>
        </w:rPr>
        <w:tab/>
        <w:t>H. Zhu, Y. Qin, Y. Guo, Z. Shen, M. Imran, M. Asim Mushtaq, Z. Zhang, C. Ni, Y. Chen, Y. Ding, H. Gul, J. Zou, P. Tsiakaras, H.-Y. Hsu, J. Zhao, Covalent organic polymers for efficient removal of iodine from gas- and liquid-phase environments, Chem. Eng. J. 484 (2024) 149739. https://doi.org/10.1016/j.cej.2024.149739.</w:t>
      </w:r>
    </w:p>
    <w:p w14:paraId="0E2219FA"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[14]</w:t>
      </w:r>
      <w:r w:rsidRPr="00B50702">
        <w:rPr>
          <w:rFonts w:cs="Times New Roman"/>
        </w:rPr>
        <w:tab/>
        <w:t>L.-Y. Ren, T.-M. Geng, Constructing cationic flexible covalent organic frameworks through post-functionalization for enhancing the iodine adsorption capacity, Chem. Eng. J. 480 (2024) 148076. https://doi.org/10.1016/j.cej.2023.148076.</w:t>
      </w:r>
    </w:p>
    <w:p w14:paraId="4D4B32DC"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[15]</w:t>
      </w:r>
      <w:r w:rsidRPr="00B50702">
        <w:rPr>
          <w:rFonts w:cs="Times New Roman"/>
        </w:rPr>
        <w:tab/>
        <w:t>Z. Duan, Y. Zhang, L. Li, M. Wang, Synthesis of One Covalent Organic Framework (COF) Based on C=N Bonds and Its Excellent Performance of Iodine Adsorption, HETEROCYCLES 102 (2021) 1395. https://doi.org/10.3987/COM-21-14463.</w:t>
      </w:r>
    </w:p>
    <w:p w14:paraId="58EAEDC0"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[16]</w:t>
      </w:r>
      <w:r w:rsidRPr="00B50702">
        <w:rPr>
          <w:rFonts w:cs="Times New Roman"/>
        </w:rPr>
        <w:tab/>
        <w:t>P. Wang, Q. Xu, Z. Li, W. Jiang, Q. Jiang, D. Jiang, Exceptional Iodine Capture in 2D Covalent Organic Frameworks, Adv. Mater. 30 (2018) 1801991. https://doi.org/10.1002/adma.201801991.</w:t>
      </w:r>
    </w:p>
    <w:p w14:paraId="47AFB1B2"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[17]</w:t>
      </w:r>
      <w:r w:rsidRPr="00B50702">
        <w:rPr>
          <w:rFonts w:cs="Times New Roman"/>
        </w:rPr>
        <w:tab/>
        <w:t>H. Li, X. Ding, B. Han, Porous Azo‐Bridged Porphyrin–Phthalocyanine Network with High Iodine Capture Capability, Chem. – Eur. J. 22 (2016) 11863–11868. https://doi.org/10.1002/chem.201602337.</w:t>
      </w:r>
    </w:p>
    <w:p w14:paraId="3A40D66D"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[18]</w:t>
      </w:r>
      <w:r w:rsidRPr="00B50702">
        <w:rPr>
          <w:rFonts w:cs="Times New Roman"/>
        </w:rPr>
        <w:tab/>
        <w:t>S. Zhang, D. Mei, K. Li, B. Yan, Constructing fluorescent nitrogen-containing covalent organic frameworks for visual monitoring and efficient adsorbing iodine with increasing adsorption capacity by post-synthesis ionic modification, Chem. Eng. J. 510 (2025) 161825. https://doi.org/10.1016/j.cej.2025.161825.</w:t>
      </w:r>
    </w:p>
    <w:p w14:paraId="646EE87D"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[19]</w:t>
      </w:r>
      <w:r w:rsidRPr="00B50702">
        <w:rPr>
          <w:rFonts w:cs="Times New Roman"/>
        </w:rPr>
        <w:tab/>
        <w:t>Y. Zhu, Y. Li, D. Luo, Y. He, J. Zhou, D. Jiang, X. Zhang, X. Chi, Enhanced high-temperature iodine capture through band-edge control in covalent organic frameworks, Chem. Eng. J. 496 (2024) 153777. https://doi.org/10.1016/j.cej.2024.153777.</w:t>
      </w:r>
    </w:p>
    <w:p w14:paraId="0DD9FBE6"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[20]</w:t>
      </w:r>
      <w:r w:rsidRPr="00B50702">
        <w:rPr>
          <w:rFonts w:cs="Times New Roman"/>
        </w:rPr>
        <w:tab/>
        <w:t xml:space="preserve">Z. Wang, J. Li, Z. Du, L. Pang, C. Liu, Metal-free porphyrin porous organic cage </w:t>
      </w:r>
      <w:r w:rsidRPr="00B50702">
        <w:rPr>
          <w:rFonts w:cs="Times New Roman"/>
        </w:rPr>
        <w:lastRenderedPageBreak/>
        <w:t>for efficient iodine capture, Chem. Eng. J. 509 (2025) 161326. https://doi.org/10.1016/j.cej.2025.161326.</w:t>
      </w:r>
    </w:p>
    <w:p w14:paraId="7EA15D06"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[21]</w:t>
      </w:r>
      <w:r w:rsidRPr="00B50702">
        <w:rPr>
          <w:rFonts w:cs="Times New Roman"/>
        </w:rPr>
        <w:tab/>
        <w:t>B. Qiao, W. Li, C. Wang, Z. Song, C. Miao, S. Ma, H. Yao, Fan-shaped polypyrrole(Ppy)-Sb2S3 composite for synergistic capture of iodine vapor via complexation and REDOX reactions, Chem. Eng. J. 506 (2025) 160096. https://doi.org/10.1016/j.cej.2025.160096.</w:t>
      </w:r>
    </w:p>
    <w:p w14:paraId="0F7AB169"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[22]</w:t>
      </w:r>
      <w:r w:rsidRPr="00B50702">
        <w:rPr>
          <w:rFonts w:cs="Times New Roman"/>
        </w:rPr>
        <w:tab/>
        <w:t>S. Li, X. Wang, X. Liu, Y. Zhang, C. Wang, J. Yang, Y. Hao, Z. Zhu, X. Yan, T. Chang, Applied investigation of novel dual-anionic imidazolium-based organic polymers for CO2 conversion and iodine vapor adsorption, Chem. Eng. J. 507 (2025) 160676. https://doi.org/10.1016/j.cej.2025.160676.</w:t>
      </w:r>
    </w:p>
    <w:p w14:paraId="70F4B0EE"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[23]</w:t>
      </w:r>
      <w:r w:rsidRPr="00B50702">
        <w:rPr>
          <w:rFonts w:cs="Times New Roman"/>
        </w:rPr>
        <w:tab/>
        <w:t>G. Chen, L. Wu, Z. Wang, R. Liu, C. Tan, Y. Tan, Y. Liu, M. He, H. Zhang, Y. Huang, J. Zhu, T. Duan, L. Zhu, Aluminum-based MOF for efficient iodine and methyl iodide capture from NO2-containing gas streams, Chem. Eng. J. 507 (2025) 160829. https://doi.org/10.1016/j.cej.2025.160829.</w:t>
      </w:r>
    </w:p>
    <w:p w14:paraId="7634859B"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[24]</w:t>
      </w:r>
      <w:r w:rsidRPr="00B50702">
        <w:rPr>
          <w:rFonts w:cs="Times New Roman"/>
        </w:rPr>
        <w:tab/>
        <w:t>L. Zhang, M. Li, X. Liu, J. Feng, Y. Liu, Y. Tu, S. Li, T. Duan, Fabrication of amidoxime grafted polyacrylonitrile for iodine vapor capture from off-gas, Chem. Eng. J. 493 (2024) 152618. https://doi.org/10.1016/j.cej.2024.152618.</w:t>
      </w:r>
    </w:p>
    <w:p w14:paraId="57F681EB"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[25]</w:t>
      </w:r>
      <w:r w:rsidRPr="00B50702">
        <w:rPr>
          <w:rFonts w:cs="Times New Roman"/>
        </w:rPr>
        <w:tab/>
        <w:t>C. Wang, H. Yao, J. Sun, T. Tong, Z. Ye, H. Dong, C. Li, S. Ma, Nanoscale assembly of MoS</w:t>
      </w:r>
      <w:r w:rsidRPr="0099315A">
        <w:rPr>
          <w:rFonts w:cs="Times New Roman"/>
          <w:vertAlign w:val="subscript"/>
        </w:rPr>
        <w:t>2</w:t>
      </w:r>
      <w:r w:rsidRPr="00B50702">
        <w:rPr>
          <w:rFonts w:cs="Times New Roman"/>
        </w:rPr>
        <w:t>/CoS</w:t>
      </w:r>
      <w:r w:rsidRPr="0099315A">
        <w:rPr>
          <w:rFonts w:cs="Times New Roman"/>
          <w:vertAlign w:val="subscript"/>
        </w:rPr>
        <w:t>2</w:t>
      </w:r>
      <w:r w:rsidRPr="00B50702">
        <w:rPr>
          <w:rFonts w:cs="Times New Roman"/>
        </w:rPr>
        <w:t>/Ni</w:t>
      </w:r>
      <w:r w:rsidRPr="0099315A">
        <w:rPr>
          <w:rFonts w:cs="Times New Roman"/>
          <w:vertAlign w:val="subscript"/>
        </w:rPr>
        <w:t>3</w:t>
      </w:r>
      <w:r w:rsidRPr="00B50702">
        <w:rPr>
          <w:rFonts w:cs="Times New Roman"/>
        </w:rPr>
        <w:t>S</w:t>
      </w:r>
      <w:r w:rsidRPr="0099315A">
        <w:rPr>
          <w:rFonts w:cs="Times New Roman"/>
          <w:vertAlign w:val="subscript"/>
        </w:rPr>
        <w:t>2</w:t>
      </w:r>
      <w:r w:rsidRPr="00B50702">
        <w:rPr>
          <w:rFonts w:cs="Times New Roman"/>
        </w:rPr>
        <w:t xml:space="preserve"> grown on Ni foam for synergistic capture of iodine, Chem. Eng. J. 493 (2024) 152514. https://doi.org/10.1016/j.cej.2024.152514.</w:t>
      </w:r>
    </w:p>
    <w:p w14:paraId="26E302E4"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[26]</w:t>
      </w:r>
      <w:r w:rsidRPr="00B50702">
        <w:rPr>
          <w:rFonts w:cs="Times New Roman"/>
        </w:rPr>
        <w:tab/>
        <w:t>B. Qiao, H. Yao, J. Sun, Z. Wang, Y. Guo, C. Miao, C. Wang, Y. Li, S. Ma, Highly efficient capture of iodine vapor by S</w:t>
      </w:r>
      <w:r w:rsidRPr="00A6465C">
        <w:rPr>
          <w:rFonts w:cs="Times New Roman"/>
          <w:vertAlign w:val="subscript"/>
        </w:rPr>
        <w:t>2</w:t>
      </w:r>
      <w:r w:rsidRPr="00B50702">
        <w:rPr>
          <w:rFonts w:cs="Times New Roman"/>
        </w:rPr>
        <w:t>O</w:t>
      </w:r>
      <w:r w:rsidRPr="00A6465C">
        <w:rPr>
          <w:rFonts w:cs="Times New Roman"/>
          <w:vertAlign w:val="subscript"/>
        </w:rPr>
        <w:t>3</w:t>
      </w:r>
      <w:r w:rsidRPr="00A6465C">
        <w:rPr>
          <w:rFonts w:cs="Times New Roman"/>
          <w:vertAlign w:val="superscript"/>
        </w:rPr>
        <w:t>2−</w:t>
      </w:r>
      <w:r w:rsidRPr="00B50702">
        <w:rPr>
          <w:rFonts w:cs="Times New Roman"/>
        </w:rPr>
        <w:t xml:space="preserve"> intercalated MgAl-LDH and facile insertion of I</w:t>
      </w:r>
      <w:r w:rsidRPr="00A6465C">
        <w:rPr>
          <w:rFonts w:cs="Times New Roman"/>
          <w:vertAlign w:val="subscript"/>
        </w:rPr>
        <w:t>3</w:t>
      </w:r>
      <w:r w:rsidRPr="00A6465C">
        <w:rPr>
          <w:rFonts w:cs="Times New Roman"/>
          <w:vertAlign w:val="superscript"/>
        </w:rPr>
        <w:t>−</w:t>
      </w:r>
      <w:r w:rsidRPr="00B50702">
        <w:rPr>
          <w:rFonts w:cs="Times New Roman"/>
        </w:rPr>
        <w:t>/I</w:t>
      </w:r>
      <w:r w:rsidRPr="00A6465C">
        <w:rPr>
          <w:rFonts w:cs="Times New Roman"/>
          <w:vertAlign w:val="subscript"/>
        </w:rPr>
        <w:t>5</w:t>
      </w:r>
      <w:r w:rsidRPr="00A6465C">
        <w:rPr>
          <w:rFonts w:cs="Times New Roman"/>
          <w:vertAlign w:val="superscript"/>
        </w:rPr>
        <w:t>−</w:t>
      </w:r>
      <w:r w:rsidRPr="00B50702">
        <w:rPr>
          <w:rFonts w:cs="Times New Roman"/>
        </w:rPr>
        <w:t xml:space="preserve"> anions into LDH gallery, Chem. Eng. J. 498 (2024) 155493. https://doi.org/10.1016/j.cej.2024.155493.</w:t>
      </w:r>
    </w:p>
    <w:p w14:paraId="6DF2BB98"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[27]</w:t>
      </w:r>
      <w:r w:rsidRPr="00B50702">
        <w:rPr>
          <w:rFonts w:cs="Times New Roman"/>
        </w:rPr>
        <w:tab/>
        <w:t>S. Tian, Z. Yi, J. Chen, S. Fu, In situ growth of UiO-66-NH</w:t>
      </w:r>
      <w:r w:rsidRPr="00A6465C">
        <w:rPr>
          <w:rFonts w:cs="Times New Roman"/>
          <w:vertAlign w:val="subscript"/>
        </w:rPr>
        <w:t>2</w:t>
      </w:r>
      <w:r w:rsidRPr="00B50702">
        <w:rPr>
          <w:rFonts w:cs="Times New Roman"/>
        </w:rPr>
        <w:t xml:space="preserve"> in wood-derived cellulose for iodine adsorption, J. Hazard. Mater. 443 (2023) 130236. https://doi.org/10.1016/j.jhazmat.2022.130236.</w:t>
      </w:r>
    </w:p>
    <w:p w14:paraId="14139D19"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[28]</w:t>
      </w:r>
      <w:r w:rsidRPr="00B50702">
        <w:rPr>
          <w:rFonts w:cs="Times New Roman"/>
        </w:rPr>
        <w:tab/>
        <w:t>L. Liu, L. Chen, K. Thummavichai, Z. Ye, Y. Wang, T. Fujita, X. Wang, Amino-functionalized MOF-on-MOF architectural nanocomplexes composed for radioactive-iodine efficient adsorption, Chem. Eng. J. 474 (2023) 145858. https://doi.org/10.1016/j.cej.2023.145858.</w:t>
      </w:r>
    </w:p>
    <w:p w14:paraId="4F7E8AB1"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[29]</w:t>
      </w:r>
      <w:r w:rsidRPr="00B50702">
        <w:rPr>
          <w:rFonts w:cs="Times New Roman"/>
        </w:rPr>
        <w:tab/>
        <w:t xml:space="preserve">X. Gao, Q.-H. Hu, Y.-Z. Shi, R.-P. Liang, J.-D. Qiu, Rationally designing imidazole-based coordination polymers with high adsorption capacity for removing </w:t>
      </w:r>
      <w:r w:rsidRPr="00B50702">
        <w:rPr>
          <w:rFonts w:cs="Times New Roman"/>
        </w:rPr>
        <w:lastRenderedPageBreak/>
        <w:t>iodine, Chem. Eng. J. 468 (2023) 143838. https://doi.org/10.1016/j.cej.2023.143838.</w:t>
      </w:r>
    </w:p>
    <w:p w14:paraId="449B947F"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[30]</w:t>
      </w:r>
      <w:r w:rsidRPr="00B50702">
        <w:rPr>
          <w:rFonts w:cs="Times New Roman"/>
        </w:rPr>
        <w:tab/>
        <w:t>P. Tian, Z. Ai, H. Hu, M. Wang, Y. Li, X. Gao, J. Qian, X. Su, S. Xiao, H. Xu, F. Lu, Y. Gao, Synthesis of Electron-Rich Porous Organic Polymers via Schiff-Base Chemistry for Efficient Iodine Capture, Molecules 27 (2022) 5161. https://doi.org/10.3390/molecules27165161.</w:t>
      </w:r>
    </w:p>
    <w:p w14:paraId="1F9CB111"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[31]</w:t>
      </w:r>
      <w:r w:rsidRPr="00B50702">
        <w:rPr>
          <w:rFonts w:cs="Times New Roman"/>
        </w:rPr>
        <w:tab/>
        <w:t>J. Zhou, Q. Chen, T. Li, T. Lan, P. Bai, F. Liu, Z. Yuan, W. Zheng, W. Yan, T. Yan, Porous Copper-Loaded Zeolites for High-Efficiency Capture of Iodine from Spent Fuel Reprocessing Off-Gas, Inorg. Chem. 61 (2022) 7746–7753. https://doi.org/10.1021/acs.inorgchem.1c03986.</w:t>
      </w:r>
    </w:p>
    <w:p w14:paraId="5941A65A" w14:textId="77777777" w:rsidR="007E3433" w:rsidRPr="00B50702" w:rsidRDefault="007E3433" w:rsidP="007E3433">
      <w:pPr>
        <w:pStyle w:val="ac"/>
        <w:spacing w:afterLines="100" w:after="326"/>
        <w:ind w:left="0" w:firstLineChars="0" w:firstLine="0"/>
        <w:rPr>
          <w:rFonts w:cs="Times New Roman"/>
        </w:rPr>
      </w:pPr>
      <w:r w:rsidRPr="00B50702">
        <w:rPr>
          <w:rFonts w:cs="Times New Roman"/>
        </w:rPr>
        <w:t>[32]</w:t>
      </w:r>
      <w:r w:rsidRPr="00B50702">
        <w:rPr>
          <w:rFonts w:cs="Times New Roman"/>
        </w:rPr>
        <w:tab/>
        <w:t>Y. Wu, Y. Xie, F. Zhong, J. Gao, J. Yao, Fabrication of bimetallic Hofmann-type metal-organic Frameworks@Cellulose aerogels for efficient iodine capture, Microporous Mesoporous Mater. 306 (2020) 110386. https://doi.org/10.1016/j.micromeso.2020.110386.</w:t>
      </w:r>
      <w:r w:rsidRPr="00B50702">
        <w:rPr>
          <w:rFonts w:cs="Times New Roman"/>
        </w:rPr>
        <w:fldChar w:fldCharType="end"/>
      </w:r>
    </w:p>
    <w:p w14:paraId="3B2D4459" w14:textId="77777777" w:rsidR="007E3433" w:rsidRPr="007E3433" w:rsidRDefault="007E3433" w:rsidP="007E3433">
      <w:pPr>
        <w:ind w:firstLine="240"/>
        <w:jc w:val="both"/>
      </w:pPr>
    </w:p>
    <w:sectPr w:rsidR="007E3433" w:rsidRPr="007E3433" w:rsidSect="00160905">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18B95" w14:textId="77777777" w:rsidR="002158B7" w:rsidRDefault="002158B7" w:rsidP="007E3433">
      <w:pPr>
        <w:spacing w:line="240" w:lineRule="auto"/>
        <w:ind w:firstLine="240"/>
      </w:pPr>
      <w:r>
        <w:separator/>
      </w:r>
    </w:p>
  </w:endnote>
  <w:endnote w:type="continuationSeparator" w:id="0">
    <w:p w14:paraId="17C34D20" w14:textId="77777777" w:rsidR="002158B7" w:rsidRDefault="002158B7" w:rsidP="007E3433">
      <w:pPr>
        <w:spacing w:line="240" w:lineRule="auto"/>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jaVu Math TeX Gyre">
    <w:panose1 w:val="02000503000000000000"/>
    <w:charset w:val="00"/>
    <w:family w:val="auto"/>
    <w:pitch w:val="variable"/>
    <w:sig w:usb0="A10000EF" w:usb1="4201F9EE" w:usb2="02000000" w:usb3="00000000" w:csb0="00000193" w:csb1="00000000"/>
  </w:font>
  <w:font w:name="Geist Fallback">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B210" w14:textId="77777777" w:rsidR="00160905" w:rsidRDefault="00160905">
    <w:pPr>
      <w:pStyle w:val="a5"/>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F789" w14:textId="77777777" w:rsidR="00160905" w:rsidRDefault="00160905">
    <w:pPr>
      <w:pStyle w:val="a5"/>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4CB5" w14:textId="77777777" w:rsidR="00160905" w:rsidRDefault="00160905">
    <w:pPr>
      <w:pStyle w:val="a5"/>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13C7" w14:textId="77777777" w:rsidR="002158B7" w:rsidRDefault="002158B7" w:rsidP="007E3433">
      <w:pPr>
        <w:spacing w:line="240" w:lineRule="auto"/>
        <w:ind w:firstLine="240"/>
      </w:pPr>
      <w:r>
        <w:separator/>
      </w:r>
    </w:p>
  </w:footnote>
  <w:footnote w:type="continuationSeparator" w:id="0">
    <w:p w14:paraId="1D5FA3DA" w14:textId="77777777" w:rsidR="002158B7" w:rsidRDefault="002158B7" w:rsidP="007E3433">
      <w:pPr>
        <w:spacing w:line="240" w:lineRule="auto"/>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1F5B" w14:textId="77777777" w:rsidR="00160905" w:rsidRDefault="00160905">
    <w:pPr>
      <w:pStyle w:val="a3"/>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D070" w14:textId="77777777" w:rsidR="00160905" w:rsidRDefault="00160905">
    <w:pPr>
      <w:pStyle w:val="a3"/>
      <w:ind w:firstLine="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489D" w14:textId="77777777" w:rsidR="00160905" w:rsidRDefault="00160905">
    <w:pPr>
      <w:pStyle w:val="a3"/>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3067EB"/>
    <w:multiLevelType w:val="multilevel"/>
    <w:tmpl w:val="EF3067EB"/>
    <w:lvl w:ilvl="0">
      <w:start w:val="1"/>
      <w:numFmt w:val="decimal"/>
      <w:pStyle w:val="1"/>
      <w:lvlText w:val="%1."/>
      <w:lvlJc w:val="left"/>
      <w:pPr>
        <w:ind w:left="574" w:hanging="432"/>
      </w:pPr>
      <w:rPr>
        <w:rFonts w:hint="default"/>
      </w:rPr>
    </w:lvl>
    <w:lvl w:ilvl="1">
      <w:start w:val="1"/>
      <w:numFmt w:val="decimal"/>
      <w:pStyle w:val="2"/>
      <w:lvlText w:val="%1.%2."/>
      <w:lvlJc w:val="left"/>
      <w:pPr>
        <w:ind w:left="1285" w:hanging="575"/>
      </w:pPr>
      <w:rPr>
        <w:rFonts w:hint="default"/>
      </w:rPr>
    </w:lvl>
    <w:lvl w:ilvl="2">
      <w:start w:val="1"/>
      <w:numFmt w:val="decimal"/>
      <w:pStyle w:val="3"/>
      <w:lvlText w:val="%1.%2.%3."/>
      <w:lvlJc w:val="left"/>
      <w:pPr>
        <w:ind w:left="862" w:hanging="720"/>
      </w:pPr>
      <w:rPr>
        <w:rFonts w:hint="default"/>
      </w:rPr>
    </w:lvl>
    <w:lvl w:ilvl="3">
      <w:start w:val="1"/>
      <w:numFmt w:val="decimal"/>
      <w:pStyle w:val="4"/>
      <w:lvlText w:val="%1.%2.%3.%4."/>
      <w:lvlJc w:val="left"/>
      <w:pPr>
        <w:ind w:left="1006" w:hanging="864"/>
      </w:pPr>
      <w:rPr>
        <w:rFonts w:hint="default"/>
      </w:rPr>
    </w:lvl>
    <w:lvl w:ilvl="4">
      <w:start w:val="1"/>
      <w:numFmt w:val="decimal"/>
      <w:pStyle w:val="5"/>
      <w:lvlText w:val="%1.%2.%3.%4.%5."/>
      <w:lvlJc w:val="left"/>
      <w:pPr>
        <w:ind w:left="1150" w:hanging="1008"/>
      </w:pPr>
      <w:rPr>
        <w:rFonts w:hint="default"/>
      </w:rPr>
    </w:lvl>
    <w:lvl w:ilvl="5">
      <w:start w:val="1"/>
      <w:numFmt w:val="decimal"/>
      <w:pStyle w:val="6"/>
      <w:lvlText w:val="%1.%2.%3.%4.%5.%6."/>
      <w:lvlJc w:val="left"/>
      <w:pPr>
        <w:ind w:left="1293" w:hanging="1151"/>
      </w:pPr>
      <w:rPr>
        <w:rFonts w:hint="default"/>
      </w:rPr>
    </w:lvl>
    <w:lvl w:ilvl="6">
      <w:start w:val="1"/>
      <w:numFmt w:val="decimal"/>
      <w:pStyle w:val="7"/>
      <w:lvlText w:val="%1.%2.%3.%4.%5.%6.%7."/>
      <w:lvlJc w:val="left"/>
      <w:pPr>
        <w:ind w:left="1438" w:hanging="1296"/>
      </w:pPr>
      <w:rPr>
        <w:rFonts w:hint="default"/>
      </w:rPr>
    </w:lvl>
    <w:lvl w:ilvl="7">
      <w:start w:val="1"/>
      <w:numFmt w:val="decimal"/>
      <w:pStyle w:val="8"/>
      <w:lvlText w:val="%1.%2.%3.%4.%5.%6.%7.%8."/>
      <w:lvlJc w:val="left"/>
      <w:pPr>
        <w:ind w:left="1582" w:hanging="1440"/>
      </w:pPr>
      <w:rPr>
        <w:rFonts w:hint="default"/>
      </w:rPr>
    </w:lvl>
    <w:lvl w:ilvl="8">
      <w:start w:val="1"/>
      <w:numFmt w:val="decimal"/>
      <w:pStyle w:val="9"/>
      <w:lvlText w:val="%1.%2.%3.%4.%5.%6.%7.%8.%9."/>
      <w:lvlJc w:val="left"/>
      <w:pPr>
        <w:ind w:left="1725" w:hanging="1583"/>
      </w:pPr>
      <w:rPr>
        <w:rFonts w:hint="default"/>
      </w:rPr>
    </w:lvl>
  </w:abstractNum>
  <w:abstractNum w:abstractNumId="1" w15:restartNumberingAfterBreak="0">
    <w:nsid w:val="07BA0FDE"/>
    <w:multiLevelType w:val="hybridMultilevel"/>
    <w:tmpl w:val="D292C5B4"/>
    <w:lvl w:ilvl="0" w:tplc="2AB349E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5F1AC1"/>
    <w:multiLevelType w:val="hybridMultilevel"/>
    <w:tmpl w:val="356861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9C67831"/>
    <w:multiLevelType w:val="hybridMultilevel"/>
    <w:tmpl w:val="7AA451B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2AB349E2"/>
    <w:multiLevelType w:val="singleLevel"/>
    <w:tmpl w:val="2AB349E2"/>
    <w:lvl w:ilvl="0">
      <w:start w:val="1"/>
      <w:numFmt w:val="bullet"/>
      <w:lvlText w:val=""/>
      <w:lvlJc w:val="left"/>
      <w:pPr>
        <w:ind w:left="420" w:hanging="420"/>
      </w:pPr>
      <w:rPr>
        <w:rFonts w:ascii="Wingdings" w:hAnsi="Wingdings" w:hint="default"/>
      </w:rPr>
    </w:lvl>
  </w:abstractNum>
  <w:abstractNum w:abstractNumId="5" w15:restartNumberingAfterBreak="0">
    <w:nsid w:val="3A982013"/>
    <w:multiLevelType w:val="hybridMultilevel"/>
    <w:tmpl w:val="7DB857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7DA4A1A"/>
    <w:multiLevelType w:val="hybridMultilevel"/>
    <w:tmpl w:val="33C8E6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9FD60C3"/>
    <w:multiLevelType w:val="hybridMultilevel"/>
    <w:tmpl w:val="6DB4342C"/>
    <w:lvl w:ilvl="0" w:tplc="2F343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0"/>
  </w:num>
  <w:num w:numId="3">
    <w:abstractNumId w:val="4"/>
  </w:num>
  <w:num w:numId="4">
    <w:abstractNumId w:val="3"/>
  </w:num>
  <w:num w:numId="5">
    <w:abstractNumId w:val="1"/>
  </w:num>
  <w:num w:numId="6">
    <w:abstractNumId w:val="2"/>
  </w:num>
  <w:num w:numId="7">
    <w:abstractNumId w:val="6"/>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9D"/>
    <w:rsid w:val="000B5E07"/>
    <w:rsid w:val="000F14EB"/>
    <w:rsid w:val="00103436"/>
    <w:rsid w:val="00160905"/>
    <w:rsid w:val="002158B7"/>
    <w:rsid w:val="0022653A"/>
    <w:rsid w:val="0028394E"/>
    <w:rsid w:val="00383F6C"/>
    <w:rsid w:val="003C7979"/>
    <w:rsid w:val="00675693"/>
    <w:rsid w:val="006D4509"/>
    <w:rsid w:val="0077169B"/>
    <w:rsid w:val="007917C9"/>
    <w:rsid w:val="007E3433"/>
    <w:rsid w:val="00936418"/>
    <w:rsid w:val="0095784C"/>
    <w:rsid w:val="009F08FF"/>
    <w:rsid w:val="00A865BE"/>
    <w:rsid w:val="00B1199D"/>
    <w:rsid w:val="00B830A1"/>
    <w:rsid w:val="00B93367"/>
    <w:rsid w:val="00CD13EB"/>
    <w:rsid w:val="00DB52EC"/>
    <w:rsid w:val="00E81E1A"/>
    <w:rsid w:val="00F931A2"/>
    <w:rsid w:val="00FB2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6BB8"/>
  <w15:chartTrackingRefBased/>
  <w15:docId w15:val="{04DD0EBD-5B9C-4BF2-A096-3EF0E7C1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3433"/>
    <w:pPr>
      <w:widowControl w:val="0"/>
      <w:spacing w:line="360" w:lineRule="auto"/>
      <w:ind w:firstLineChars="100" w:firstLine="100"/>
    </w:pPr>
    <w:rPr>
      <w:rFonts w:ascii="Times New Roman" w:eastAsia="宋体" w:hAnsi="Times New Roman"/>
      <w:sz w:val="24"/>
    </w:rPr>
  </w:style>
  <w:style w:type="paragraph" w:styleId="1">
    <w:name w:val="heading 1"/>
    <w:basedOn w:val="a"/>
    <w:next w:val="a"/>
    <w:link w:val="10"/>
    <w:qFormat/>
    <w:rsid w:val="007E3433"/>
    <w:pPr>
      <w:keepNext/>
      <w:keepLines/>
      <w:numPr>
        <w:numId w:val="2"/>
      </w:numPr>
      <w:adjustRightInd w:val="0"/>
      <w:snapToGrid w:val="0"/>
      <w:spacing w:beforeLines="50" w:before="50" w:afterLines="50" w:after="50"/>
      <w:ind w:left="0" w:firstLineChars="0" w:firstLine="0"/>
      <w:outlineLvl w:val="0"/>
    </w:pPr>
    <w:rPr>
      <w:rFonts w:eastAsia="黑体"/>
      <w:b/>
      <w:kern w:val="44"/>
      <w:sz w:val="32"/>
    </w:rPr>
  </w:style>
  <w:style w:type="paragraph" w:styleId="2">
    <w:name w:val="heading 2"/>
    <w:basedOn w:val="a"/>
    <w:next w:val="a"/>
    <w:link w:val="20"/>
    <w:unhideWhenUsed/>
    <w:qFormat/>
    <w:rsid w:val="007E3433"/>
    <w:pPr>
      <w:keepNext/>
      <w:keepLines/>
      <w:numPr>
        <w:ilvl w:val="1"/>
        <w:numId w:val="2"/>
      </w:numPr>
      <w:adjustRightInd w:val="0"/>
      <w:spacing w:beforeLines="50" w:before="50" w:afterLines="50" w:after="50" w:line="413" w:lineRule="auto"/>
      <w:ind w:left="0" w:firstLineChars="0" w:firstLine="0"/>
      <w:outlineLvl w:val="1"/>
    </w:pPr>
    <w:rPr>
      <w:rFonts w:ascii="Arial" w:eastAsia="黑体" w:hAnsi="Arial"/>
      <w:b/>
      <w:sz w:val="28"/>
    </w:rPr>
  </w:style>
  <w:style w:type="paragraph" w:styleId="3">
    <w:name w:val="heading 3"/>
    <w:basedOn w:val="a"/>
    <w:next w:val="a"/>
    <w:link w:val="30"/>
    <w:unhideWhenUsed/>
    <w:qFormat/>
    <w:rsid w:val="007E3433"/>
    <w:pPr>
      <w:keepNext/>
      <w:keepLines/>
      <w:numPr>
        <w:ilvl w:val="2"/>
        <w:numId w:val="2"/>
      </w:numPr>
      <w:spacing w:before="260" w:after="260" w:line="413" w:lineRule="auto"/>
      <w:ind w:left="0" w:firstLineChars="0" w:firstLine="0"/>
      <w:outlineLvl w:val="2"/>
    </w:pPr>
    <w:rPr>
      <w:b/>
    </w:rPr>
  </w:style>
  <w:style w:type="paragraph" w:styleId="4">
    <w:name w:val="heading 4"/>
    <w:basedOn w:val="a"/>
    <w:next w:val="a"/>
    <w:link w:val="40"/>
    <w:semiHidden/>
    <w:unhideWhenUsed/>
    <w:qFormat/>
    <w:rsid w:val="007E3433"/>
    <w:pPr>
      <w:keepNext/>
      <w:keepLines/>
      <w:numPr>
        <w:ilvl w:val="3"/>
        <w:numId w:val="2"/>
      </w:numPr>
      <w:spacing w:before="280" w:after="290" w:line="372" w:lineRule="auto"/>
      <w:outlineLvl w:val="3"/>
    </w:pPr>
    <w:rPr>
      <w:rFonts w:ascii="Arial" w:eastAsia="黑体" w:hAnsi="Arial"/>
      <w:b/>
      <w:sz w:val="28"/>
    </w:rPr>
  </w:style>
  <w:style w:type="paragraph" w:styleId="5">
    <w:name w:val="heading 5"/>
    <w:basedOn w:val="a"/>
    <w:next w:val="a"/>
    <w:link w:val="50"/>
    <w:semiHidden/>
    <w:unhideWhenUsed/>
    <w:qFormat/>
    <w:rsid w:val="007E3433"/>
    <w:pPr>
      <w:keepNext/>
      <w:keepLines/>
      <w:numPr>
        <w:ilvl w:val="4"/>
        <w:numId w:val="2"/>
      </w:numPr>
      <w:spacing w:before="280" w:after="290" w:line="372" w:lineRule="auto"/>
      <w:outlineLvl w:val="4"/>
    </w:pPr>
    <w:rPr>
      <w:b/>
      <w:sz w:val="28"/>
    </w:rPr>
  </w:style>
  <w:style w:type="paragraph" w:styleId="6">
    <w:name w:val="heading 6"/>
    <w:basedOn w:val="a"/>
    <w:next w:val="a"/>
    <w:link w:val="60"/>
    <w:semiHidden/>
    <w:unhideWhenUsed/>
    <w:qFormat/>
    <w:rsid w:val="007E3433"/>
    <w:pPr>
      <w:keepNext/>
      <w:keepLines/>
      <w:numPr>
        <w:ilvl w:val="5"/>
        <w:numId w:val="2"/>
      </w:numPr>
      <w:spacing w:before="240" w:after="64" w:line="317" w:lineRule="auto"/>
      <w:outlineLvl w:val="5"/>
    </w:pPr>
    <w:rPr>
      <w:rFonts w:ascii="Arial" w:eastAsia="黑体" w:hAnsi="Arial"/>
      <w:b/>
    </w:rPr>
  </w:style>
  <w:style w:type="paragraph" w:styleId="7">
    <w:name w:val="heading 7"/>
    <w:basedOn w:val="a"/>
    <w:next w:val="a"/>
    <w:link w:val="70"/>
    <w:semiHidden/>
    <w:unhideWhenUsed/>
    <w:qFormat/>
    <w:rsid w:val="007E3433"/>
    <w:pPr>
      <w:keepNext/>
      <w:keepLines/>
      <w:numPr>
        <w:ilvl w:val="6"/>
        <w:numId w:val="2"/>
      </w:numPr>
      <w:spacing w:before="240" w:after="64" w:line="317" w:lineRule="auto"/>
      <w:outlineLvl w:val="6"/>
    </w:pPr>
    <w:rPr>
      <w:b/>
    </w:rPr>
  </w:style>
  <w:style w:type="paragraph" w:styleId="8">
    <w:name w:val="heading 8"/>
    <w:basedOn w:val="a"/>
    <w:next w:val="a"/>
    <w:link w:val="80"/>
    <w:semiHidden/>
    <w:unhideWhenUsed/>
    <w:qFormat/>
    <w:rsid w:val="007E3433"/>
    <w:pPr>
      <w:keepNext/>
      <w:keepLines/>
      <w:numPr>
        <w:ilvl w:val="7"/>
        <w:numId w:val="2"/>
      </w:numPr>
      <w:spacing w:before="240" w:after="64" w:line="317" w:lineRule="auto"/>
      <w:outlineLvl w:val="7"/>
    </w:pPr>
    <w:rPr>
      <w:rFonts w:ascii="Arial" w:eastAsia="黑体" w:hAnsi="Arial"/>
    </w:rPr>
  </w:style>
  <w:style w:type="paragraph" w:styleId="9">
    <w:name w:val="heading 9"/>
    <w:basedOn w:val="a"/>
    <w:next w:val="a"/>
    <w:link w:val="90"/>
    <w:semiHidden/>
    <w:unhideWhenUsed/>
    <w:qFormat/>
    <w:rsid w:val="007E3433"/>
    <w:pPr>
      <w:keepNext/>
      <w:keepLines/>
      <w:numPr>
        <w:ilvl w:val="8"/>
        <w:numId w:val="2"/>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4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E3433"/>
    <w:rPr>
      <w:sz w:val="18"/>
      <w:szCs w:val="18"/>
    </w:rPr>
  </w:style>
  <w:style w:type="paragraph" w:styleId="a5">
    <w:name w:val="footer"/>
    <w:basedOn w:val="a"/>
    <w:link w:val="a6"/>
    <w:unhideWhenUsed/>
    <w:rsid w:val="007E3433"/>
    <w:pPr>
      <w:tabs>
        <w:tab w:val="center" w:pos="4153"/>
        <w:tab w:val="right" w:pos="8306"/>
      </w:tabs>
      <w:snapToGrid w:val="0"/>
    </w:pPr>
    <w:rPr>
      <w:sz w:val="18"/>
      <w:szCs w:val="18"/>
    </w:rPr>
  </w:style>
  <w:style w:type="character" w:customStyle="1" w:styleId="a6">
    <w:name w:val="页脚 字符"/>
    <w:basedOn w:val="a0"/>
    <w:link w:val="a5"/>
    <w:rsid w:val="007E3433"/>
    <w:rPr>
      <w:sz w:val="18"/>
      <w:szCs w:val="18"/>
    </w:rPr>
  </w:style>
  <w:style w:type="paragraph" w:styleId="a7">
    <w:name w:val="List Paragraph"/>
    <w:basedOn w:val="a"/>
    <w:uiPriority w:val="99"/>
    <w:rsid w:val="007E3433"/>
    <w:pPr>
      <w:ind w:firstLine="420"/>
    </w:pPr>
  </w:style>
  <w:style w:type="character" w:customStyle="1" w:styleId="10">
    <w:name w:val="标题 1 字符"/>
    <w:basedOn w:val="a0"/>
    <w:link w:val="1"/>
    <w:rsid w:val="007E3433"/>
    <w:rPr>
      <w:rFonts w:ascii="Times New Roman" w:eastAsia="黑体" w:hAnsi="Times New Roman"/>
      <w:b/>
      <w:kern w:val="44"/>
      <w:sz w:val="32"/>
    </w:rPr>
  </w:style>
  <w:style w:type="character" w:customStyle="1" w:styleId="20">
    <w:name w:val="标题 2 字符"/>
    <w:basedOn w:val="a0"/>
    <w:link w:val="2"/>
    <w:rsid w:val="007E3433"/>
    <w:rPr>
      <w:rFonts w:ascii="Arial" w:eastAsia="黑体" w:hAnsi="Arial"/>
      <w:b/>
      <w:sz w:val="28"/>
    </w:rPr>
  </w:style>
  <w:style w:type="character" w:customStyle="1" w:styleId="30">
    <w:name w:val="标题 3 字符"/>
    <w:basedOn w:val="a0"/>
    <w:link w:val="3"/>
    <w:qFormat/>
    <w:rsid w:val="007E3433"/>
    <w:rPr>
      <w:rFonts w:ascii="Times New Roman" w:eastAsia="宋体" w:hAnsi="Times New Roman"/>
      <w:b/>
      <w:sz w:val="24"/>
    </w:rPr>
  </w:style>
  <w:style w:type="character" w:customStyle="1" w:styleId="40">
    <w:name w:val="标题 4 字符"/>
    <w:basedOn w:val="a0"/>
    <w:link w:val="4"/>
    <w:semiHidden/>
    <w:rsid w:val="007E3433"/>
    <w:rPr>
      <w:rFonts w:ascii="Arial" w:eastAsia="黑体" w:hAnsi="Arial"/>
      <w:b/>
      <w:sz w:val="28"/>
    </w:rPr>
  </w:style>
  <w:style w:type="character" w:customStyle="1" w:styleId="50">
    <w:name w:val="标题 5 字符"/>
    <w:basedOn w:val="a0"/>
    <w:link w:val="5"/>
    <w:semiHidden/>
    <w:rsid w:val="007E3433"/>
    <w:rPr>
      <w:rFonts w:ascii="Times New Roman" w:eastAsia="宋体" w:hAnsi="Times New Roman"/>
      <w:b/>
      <w:sz w:val="28"/>
    </w:rPr>
  </w:style>
  <w:style w:type="character" w:customStyle="1" w:styleId="60">
    <w:name w:val="标题 6 字符"/>
    <w:basedOn w:val="a0"/>
    <w:link w:val="6"/>
    <w:semiHidden/>
    <w:rsid w:val="007E3433"/>
    <w:rPr>
      <w:rFonts w:ascii="Arial" w:eastAsia="黑体" w:hAnsi="Arial"/>
      <w:b/>
      <w:sz w:val="24"/>
    </w:rPr>
  </w:style>
  <w:style w:type="character" w:customStyle="1" w:styleId="70">
    <w:name w:val="标题 7 字符"/>
    <w:basedOn w:val="a0"/>
    <w:link w:val="7"/>
    <w:semiHidden/>
    <w:rsid w:val="007E3433"/>
    <w:rPr>
      <w:rFonts w:ascii="Times New Roman" w:eastAsia="宋体" w:hAnsi="Times New Roman"/>
      <w:b/>
      <w:sz w:val="24"/>
    </w:rPr>
  </w:style>
  <w:style w:type="character" w:customStyle="1" w:styleId="80">
    <w:name w:val="标题 8 字符"/>
    <w:basedOn w:val="a0"/>
    <w:link w:val="8"/>
    <w:semiHidden/>
    <w:rsid w:val="007E3433"/>
    <w:rPr>
      <w:rFonts w:ascii="Arial" w:eastAsia="黑体" w:hAnsi="Arial"/>
      <w:sz w:val="24"/>
    </w:rPr>
  </w:style>
  <w:style w:type="character" w:customStyle="1" w:styleId="90">
    <w:name w:val="标题 9 字符"/>
    <w:basedOn w:val="a0"/>
    <w:link w:val="9"/>
    <w:semiHidden/>
    <w:rsid w:val="007E3433"/>
    <w:rPr>
      <w:rFonts w:ascii="Arial" w:eastAsia="黑体" w:hAnsi="Arial"/>
      <w:sz w:val="24"/>
    </w:rPr>
  </w:style>
  <w:style w:type="paragraph" w:styleId="a8">
    <w:name w:val="caption"/>
    <w:basedOn w:val="a"/>
    <w:next w:val="a"/>
    <w:unhideWhenUsed/>
    <w:qFormat/>
    <w:rsid w:val="007E3433"/>
    <w:pPr>
      <w:spacing w:line="240" w:lineRule="auto"/>
    </w:pPr>
    <w:rPr>
      <w:rFonts w:eastAsia="黑体" w:cs="Times New Roman"/>
      <w:b/>
      <w:sz w:val="18"/>
    </w:rPr>
  </w:style>
  <w:style w:type="paragraph" w:styleId="a9">
    <w:name w:val="Normal (Web)"/>
    <w:basedOn w:val="a"/>
    <w:uiPriority w:val="99"/>
    <w:qFormat/>
    <w:rsid w:val="007E3433"/>
    <w:pPr>
      <w:spacing w:beforeAutospacing="1" w:afterAutospacing="1"/>
    </w:pPr>
    <w:rPr>
      <w:rFonts w:cs="Times New Roman"/>
      <w:kern w:val="0"/>
    </w:rPr>
  </w:style>
  <w:style w:type="table" w:styleId="aa">
    <w:name w:val="Table Grid"/>
    <w:basedOn w:val="a1"/>
    <w:qFormat/>
    <w:rsid w:val="007E34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sid w:val="007E3433"/>
    <w:rPr>
      <w:color w:val="0000FF"/>
      <w:u w:val="single"/>
    </w:rPr>
  </w:style>
  <w:style w:type="table" w:customStyle="1" w:styleId="21">
    <w:name w:val="无格式表格 21"/>
    <w:basedOn w:val="a1"/>
    <w:uiPriority w:val="42"/>
    <w:qFormat/>
    <w:rsid w:val="007E3433"/>
    <w:rPr>
      <w:rFonts w:ascii="Times New Roman" w:eastAsia="宋体" w:hAnsi="Times New Roman" w:cs="Times New Roman"/>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网格型4"/>
    <w:basedOn w:val="a1"/>
    <w:uiPriority w:val="39"/>
    <w:qFormat/>
    <w:rsid w:val="007E3433"/>
    <w:pPr>
      <w:spacing w:line="440" w:lineRule="exact"/>
      <w:jc w:val="center"/>
    </w:pPr>
    <w:rPr>
      <w:rFonts w:ascii="Times New Roman" w:eastAsia="宋体" w:hAnsi="Times New Roman" w:cs="Times New Roman"/>
    </w:rPr>
    <w:tblPr>
      <w:tblBorders>
        <w:top w:val="single" w:sz="12" w:space="0" w:color="auto"/>
        <w:bottom w:val="single" w:sz="12" w:space="0" w:color="auto"/>
      </w:tblBorders>
    </w:tblPr>
    <w:tcPr>
      <w:vAlign w:val="center"/>
    </w:tcPr>
  </w:style>
  <w:style w:type="paragraph" w:customStyle="1" w:styleId="11">
    <w:name w:val="书目1"/>
    <w:basedOn w:val="a"/>
    <w:next w:val="a"/>
    <w:uiPriority w:val="37"/>
    <w:unhideWhenUsed/>
    <w:qFormat/>
    <w:rsid w:val="007E3433"/>
    <w:pPr>
      <w:tabs>
        <w:tab w:val="left" w:pos="384"/>
      </w:tabs>
      <w:ind w:left="384" w:hanging="384"/>
    </w:pPr>
  </w:style>
  <w:style w:type="paragraph" w:styleId="ac">
    <w:name w:val="Bibliography"/>
    <w:basedOn w:val="a"/>
    <w:next w:val="a"/>
    <w:uiPriority w:val="37"/>
    <w:unhideWhenUsed/>
    <w:rsid w:val="007E3433"/>
    <w:pPr>
      <w:tabs>
        <w:tab w:val="left" w:pos="504"/>
      </w:tabs>
      <w:spacing w:line="240" w:lineRule="auto"/>
      <w:ind w:left="504" w:hanging="504"/>
    </w:pPr>
  </w:style>
  <w:style w:type="table" w:styleId="22">
    <w:name w:val="Plain Table 2"/>
    <w:basedOn w:val="a1"/>
    <w:uiPriority w:val="42"/>
    <w:rsid w:val="007E3433"/>
    <w:rPr>
      <w:rFonts w:ascii="Times New Roman" w:eastAsia="宋体" w:hAnsi="Times New Roman" w:cs="Times New Roman"/>
      <w:kern w:val="0"/>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Strong"/>
    <w:basedOn w:val="a0"/>
    <w:uiPriority w:val="22"/>
    <w:qFormat/>
    <w:rsid w:val="007E3433"/>
    <w:rPr>
      <w:b/>
      <w:bCs/>
    </w:rPr>
  </w:style>
  <w:style w:type="paragraph" w:styleId="ae">
    <w:name w:val="Title"/>
    <w:basedOn w:val="a"/>
    <w:next w:val="a"/>
    <w:link w:val="af"/>
    <w:qFormat/>
    <w:rsid w:val="007E3433"/>
    <w:pPr>
      <w:spacing w:before="240" w:after="60"/>
      <w:jc w:val="center"/>
      <w:outlineLvl w:val="0"/>
    </w:pPr>
    <w:rPr>
      <w:rFonts w:asciiTheme="majorHAnsi" w:eastAsiaTheme="majorEastAsia" w:hAnsiTheme="majorHAnsi" w:cstheme="majorBidi"/>
      <w:b/>
      <w:bCs/>
      <w:sz w:val="32"/>
      <w:szCs w:val="32"/>
    </w:rPr>
  </w:style>
  <w:style w:type="character" w:customStyle="1" w:styleId="af">
    <w:name w:val="标题 字符"/>
    <w:basedOn w:val="a0"/>
    <w:link w:val="ae"/>
    <w:rsid w:val="007E3433"/>
    <w:rPr>
      <w:rFonts w:asciiTheme="majorHAnsi" w:eastAsiaTheme="majorEastAsia" w:hAnsiTheme="majorHAnsi" w:cstheme="majorBidi"/>
      <w:b/>
      <w:bCs/>
      <w:sz w:val="32"/>
      <w:szCs w:val="32"/>
    </w:rPr>
  </w:style>
  <w:style w:type="character" w:styleId="af0">
    <w:name w:val="Emphasis"/>
    <w:basedOn w:val="a0"/>
    <w:uiPriority w:val="20"/>
    <w:qFormat/>
    <w:rsid w:val="007E3433"/>
    <w:rPr>
      <w:i/>
      <w:iCs/>
    </w:rPr>
  </w:style>
  <w:style w:type="character" w:styleId="af1">
    <w:name w:val="line number"/>
    <w:basedOn w:val="a0"/>
    <w:rsid w:val="007E3433"/>
  </w:style>
  <w:style w:type="table" w:styleId="31">
    <w:name w:val="Plain Table 3"/>
    <w:basedOn w:val="a1"/>
    <w:uiPriority w:val="43"/>
    <w:rsid w:val="007E3433"/>
    <w:rPr>
      <w:rFonts w:ascii="Times New Roman" w:eastAsia="宋体" w:hAnsi="Times New Roman" w:cs="Times New Roman"/>
      <w:kern w:val="0"/>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Grid Table 1 Light"/>
    <w:basedOn w:val="a1"/>
    <w:uiPriority w:val="46"/>
    <w:rsid w:val="007E3433"/>
    <w:rPr>
      <w:rFonts w:ascii="Times New Roman" w:eastAsia="宋体" w:hAnsi="Times New Roman" w:cs="Times New Roman"/>
      <w:kern w:val="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2">
    <w:name w:val="Placeholder Text"/>
    <w:basedOn w:val="a0"/>
    <w:uiPriority w:val="99"/>
    <w:semiHidden/>
    <w:rsid w:val="007E3433"/>
    <w:rPr>
      <w:color w:val="808080"/>
    </w:rPr>
  </w:style>
  <w:style w:type="character" w:styleId="af3">
    <w:name w:val="Unresolved Mention"/>
    <w:basedOn w:val="a0"/>
    <w:uiPriority w:val="99"/>
    <w:semiHidden/>
    <w:unhideWhenUsed/>
    <w:rsid w:val="007E3433"/>
    <w:rPr>
      <w:color w:val="605E5C"/>
      <w:shd w:val="clear" w:color="auto" w:fill="E1DFDD"/>
    </w:rPr>
  </w:style>
  <w:style w:type="paragraph" w:styleId="af4">
    <w:name w:val="Subtitle"/>
    <w:basedOn w:val="a"/>
    <w:next w:val="a"/>
    <w:link w:val="af5"/>
    <w:qFormat/>
    <w:rsid w:val="007E3433"/>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f5">
    <w:name w:val="副标题 字符"/>
    <w:basedOn w:val="a0"/>
    <w:link w:val="af4"/>
    <w:rsid w:val="007E3433"/>
    <w:rPr>
      <w:b/>
      <w:bCs/>
      <w:kern w:val="28"/>
      <w:sz w:val="32"/>
      <w:szCs w:val="32"/>
    </w:rPr>
  </w:style>
  <w:style w:type="character" w:styleId="af6">
    <w:name w:val="annotation reference"/>
    <w:basedOn w:val="a0"/>
    <w:rsid w:val="007E3433"/>
    <w:rPr>
      <w:sz w:val="21"/>
      <w:szCs w:val="21"/>
    </w:rPr>
  </w:style>
  <w:style w:type="paragraph" w:styleId="af7">
    <w:name w:val="annotation text"/>
    <w:basedOn w:val="a"/>
    <w:link w:val="af8"/>
    <w:rsid w:val="007E3433"/>
  </w:style>
  <w:style w:type="character" w:customStyle="1" w:styleId="af8">
    <w:name w:val="批注文字 字符"/>
    <w:basedOn w:val="a0"/>
    <w:link w:val="af7"/>
    <w:rsid w:val="007E3433"/>
    <w:rPr>
      <w:rFonts w:ascii="Times New Roman" w:eastAsia="宋体" w:hAnsi="Times New Roman"/>
      <w:sz w:val="24"/>
    </w:rPr>
  </w:style>
  <w:style w:type="paragraph" w:styleId="af9">
    <w:name w:val="annotation subject"/>
    <w:basedOn w:val="af7"/>
    <w:next w:val="af7"/>
    <w:link w:val="afa"/>
    <w:rsid w:val="007E3433"/>
    <w:rPr>
      <w:b/>
      <w:bCs/>
    </w:rPr>
  </w:style>
  <w:style w:type="character" w:customStyle="1" w:styleId="afa">
    <w:name w:val="批注主题 字符"/>
    <w:basedOn w:val="af8"/>
    <w:link w:val="af9"/>
    <w:rsid w:val="007E3433"/>
    <w:rPr>
      <w:rFonts w:ascii="Times New Roman" w:eastAsia="宋体" w:hAnsi="Times New Roman"/>
      <w:b/>
      <w:bCs/>
      <w:sz w:val="24"/>
    </w:rPr>
  </w:style>
  <w:style w:type="paragraph" w:styleId="afb">
    <w:name w:val="Balloon Text"/>
    <w:basedOn w:val="a"/>
    <w:link w:val="afc"/>
    <w:rsid w:val="007E3433"/>
    <w:pPr>
      <w:spacing w:line="240" w:lineRule="auto"/>
    </w:pPr>
    <w:rPr>
      <w:sz w:val="18"/>
      <w:szCs w:val="18"/>
    </w:rPr>
  </w:style>
  <w:style w:type="character" w:customStyle="1" w:styleId="afc">
    <w:name w:val="批注框文本 字符"/>
    <w:basedOn w:val="a0"/>
    <w:link w:val="afb"/>
    <w:rsid w:val="007E3433"/>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32</Pages>
  <Words>20185</Words>
  <Characters>115058</Characters>
  <Application>Microsoft Office Word</Application>
  <DocSecurity>0</DocSecurity>
  <Lines>958</Lines>
  <Paragraphs>269</Paragraphs>
  <ScaleCrop>false</ScaleCrop>
  <Company/>
  <LinksUpToDate>false</LinksUpToDate>
  <CharactersWithSpaces>134974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托尼 船长</dc:creator>
  <cp:keywords/>
  <dc:description/>
  <cp:lastModifiedBy>托尼 船长</cp:lastModifiedBy>
  <cp:revision>11</cp:revision>
  <dcterms:created xsi:type="dcterms:W3CDTF">2026-01-07T09:21:00Z</dcterms:created>
  <dcterms:modified xsi:type="dcterms:W3CDTF">2026-01-13T02:33:00Z</dcterms:modified>
</cp:coreProperties>
</file>