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587B7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657472A9"/>
    <w:p w14:paraId="3F5FAEE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Magnetic Proximity Effect and Valley Manipulation in</w:t>
      </w:r>
      <w:r>
        <w:rPr>
          <w:rFonts w:hint="eastAsia"/>
          <w:b/>
          <w:bCs/>
          <w:sz w:val="28"/>
          <w:szCs w:val="28"/>
        </w:rPr>
        <w:t xml:space="preserve"> 2D</w:t>
      </w:r>
      <w:r>
        <w:rPr>
          <w:b/>
          <w:bCs/>
          <w:sz w:val="28"/>
          <w:szCs w:val="28"/>
        </w:rPr>
        <w:t xml:space="preserve"> CrSBr</w:t>
      </w:r>
      <w:r>
        <w:rPr>
          <w:rFonts w:hint="eastAsia"/>
          <w:b/>
          <w:bCs/>
          <w:sz w:val="28"/>
          <w:szCs w:val="28"/>
          <w:lang w:eastAsia="zh-CN"/>
        </w:rPr>
        <w:t>/</w:t>
      </w:r>
      <w:r>
        <w:rPr>
          <w:rFonts w:hint="eastAsia"/>
          <w:b/>
          <w:bCs/>
          <w:sz w:val="28"/>
          <w:szCs w:val="28"/>
        </w:rPr>
        <w:t>TMD</w:t>
      </w:r>
      <w:r>
        <w:rPr>
          <w:b/>
          <w:bCs/>
          <w:sz w:val="28"/>
          <w:szCs w:val="28"/>
        </w:rPr>
        <w:t xml:space="preserve"> Heterostructures</w:t>
      </w:r>
    </w:p>
    <w:p w14:paraId="54C6019A">
      <w:pPr>
        <w:jc w:val="center"/>
        <w:rPr>
          <w:sz w:val="28"/>
          <w:szCs w:val="28"/>
        </w:rPr>
      </w:pPr>
    </w:p>
    <w:p w14:paraId="4B384C6F">
      <w:pPr>
        <w:jc w:val="center"/>
        <w:rPr>
          <w:i/>
          <w:iCs/>
          <w:szCs w:val="24"/>
        </w:rPr>
      </w:pP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Kaixuan Zhang</w:t>
      </w:r>
      <w:r>
        <w:rPr>
          <w:szCs w:val="24"/>
        </w:rPr>
        <w:t xml:space="preserve"> </w:t>
      </w:r>
      <w:r>
        <w:rPr>
          <w:i/>
          <w:iCs/>
          <w:szCs w:val="24"/>
        </w:rPr>
        <w:t>et al.</w:t>
      </w:r>
    </w:p>
    <w:p w14:paraId="49D90FD9">
      <w:pPr>
        <w:jc w:val="center"/>
        <w:rPr>
          <w:szCs w:val="24"/>
        </w:rPr>
      </w:pPr>
    </w:p>
    <w:p w14:paraId="2741C349">
      <w:pPr>
        <w:jc w:val="center"/>
        <w:rPr>
          <w:sz w:val="20"/>
        </w:rPr>
      </w:pPr>
      <w:r>
        <w:rPr>
          <w:sz w:val="20"/>
        </w:rPr>
        <w:t xml:space="preserve">*Corresponding author. Email: </w:t>
      </w:r>
      <w:r>
        <w:rPr>
          <w:rFonts w:hint="eastAsia"/>
          <w:sz w:val="20"/>
        </w:rPr>
        <w:t>zhaowj@seu.edu.cn; phtan@semi.ac.cn; jlwang@seu.edu.cn</w:t>
      </w:r>
    </w:p>
    <w:p w14:paraId="20ED9DFD">
      <w:pPr>
        <w:pStyle w:val="147"/>
        <w:jc w:val="both"/>
        <w:rPr>
          <w:lang w:eastAsia="zh-CN"/>
        </w:rPr>
      </w:pPr>
    </w:p>
    <w:p w14:paraId="214FE5CD">
      <w:pPr>
        <w:pStyle w:val="147"/>
        <w:jc w:val="both"/>
        <w:rPr>
          <w:lang w:eastAsia="zh-CN"/>
        </w:rPr>
      </w:pPr>
    </w:p>
    <w:p w14:paraId="2A6B0442">
      <w:pPr>
        <w:spacing w:line="480" w:lineRule="auto"/>
        <w:jc w:val="both"/>
        <w:rPr>
          <w:b/>
        </w:rPr>
      </w:pPr>
      <w:r>
        <w:rPr>
          <w:b/>
        </w:rPr>
        <w:t>This PDF file includes:</w:t>
      </w:r>
    </w:p>
    <w:p w14:paraId="1DCA785C">
      <w:pPr>
        <w:spacing w:line="480" w:lineRule="auto"/>
        <w:ind w:left="720"/>
        <w:jc w:val="both"/>
      </w:pPr>
      <w:r>
        <w:t>Supplementary Text</w:t>
      </w:r>
    </w:p>
    <w:p w14:paraId="7B782587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S</w:t>
      </w:r>
      <w:r>
        <w:t>ection S</w:t>
      </w:r>
      <w:r>
        <w:rPr>
          <w:rFonts w:hint="eastAsia"/>
          <w:lang w:eastAsia="zh-CN"/>
        </w:rPr>
        <w:t>1. Theoretical Calculations of the Electronic Band Structures</w:t>
      </w:r>
    </w:p>
    <w:p w14:paraId="4B44B084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S</w:t>
      </w:r>
      <w:r>
        <w:t>ection S</w:t>
      </w:r>
      <w:r>
        <w:rPr>
          <w:rFonts w:hint="eastAsia"/>
          <w:lang w:eastAsia="zh-CN"/>
        </w:rPr>
        <w:t xml:space="preserve">2. Magnetic Proximity Effect Induced </w:t>
      </w:r>
      <w:r>
        <w:rPr>
          <w:rFonts w:hint="eastAsia"/>
          <w:szCs w:val="24"/>
          <w:lang w:eastAsia="zh-CN"/>
        </w:rPr>
        <w:t>S</w:t>
      </w:r>
      <w:r>
        <w:rPr>
          <w:szCs w:val="24"/>
          <w:lang w:eastAsia="zh-CN"/>
        </w:rPr>
        <w:t xml:space="preserve">pin-selective </w:t>
      </w:r>
      <w:r>
        <w:rPr>
          <w:rFonts w:hint="eastAsia"/>
          <w:szCs w:val="24"/>
          <w:lang w:eastAsia="zh-CN"/>
        </w:rPr>
        <w:t>I</w:t>
      </w:r>
      <w:r>
        <w:rPr>
          <w:szCs w:val="24"/>
          <w:lang w:eastAsia="zh-CN"/>
        </w:rPr>
        <w:t>nterlayer</w:t>
      </w:r>
      <w:r>
        <w:rPr>
          <w:rFonts w:hint="eastAsia"/>
          <w:szCs w:val="24"/>
          <w:lang w:eastAsia="zh-CN"/>
        </w:rPr>
        <w:t xml:space="preserve"> Charge</w:t>
      </w:r>
      <w:r>
        <w:rPr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T</w:t>
      </w:r>
      <w:r>
        <w:rPr>
          <w:szCs w:val="24"/>
          <w:lang w:eastAsia="zh-CN"/>
        </w:rPr>
        <w:t>ransfer</w:t>
      </w:r>
    </w:p>
    <w:p w14:paraId="25349730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S1</w:t>
      </w:r>
      <w:r>
        <w:rPr>
          <w:rFonts w:hint="eastAsia"/>
          <w:lang w:eastAsia="zh-CN"/>
        </w:rPr>
        <w:t>. Morphology</w:t>
      </w:r>
      <w:r>
        <w:rPr>
          <w:lang w:eastAsia="zh-CN"/>
        </w:rPr>
        <w:t xml:space="preserve"> characterization of the CrSBr/WSe</w:t>
      </w:r>
      <w:r>
        <w:rPr>
          <w:rFonts w:hint="eastAsia"/>
          <w:vertAlign w:val="subscript"/>
          <w:lang w:eastAsia="zh-CN"/>
        </w:rPr>
        <w:t>2</w:t>
      </w:r>
      <w:r>
        <w:rPr>
          <w:lang w:eastAsia="zh-CN"/>
        </w:rPr>
        <w:t xml:space="preserve"> heterostructure.</w:t>
      </w:r>
    </w:p>
    <w:p w14:paraId="6D98E11B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 xml:space="preserve">2. </w:t>
      </w:r>
      <w:r>
        <w:t xml:space="preserve">Optical properties </w:t>
      </w:r>
      <w:r>
        <w:rPr>
          <w:rFonts w:hint="eastAsia"/>
          <w:lang w:eastAsia="zh-CN"/>
        </w:rPr>
        <w:t xml:space="preserve">of the </w:t>
      </w:r>
      <w:r>
        <w:rPr>
          <w:lang w:eastAsia="zh-CN"/>
        </w:rPr>
        <w:t>CrSBr/WSe</w:t>
      </w:r>
      <w:r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heterostructure </w:t>
      </w:r>
      <w:r>
        <w:t>on quartz substrates</w:t>
      </w:r>
      <w:r>
        <w:rPr>
          <w:lang w:eastAsia="zh-CN"/>
        </w:rPr>
        <w:t>.</w:t>
      </w:r>
    </w:p>
    <w:p w14:paraId="1D00AC64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 xml:space="preserve">3. </w:t>
      </w:r>
      <w:r>
        <w:t xml:space="preserve">Optical properties </w:t>
      </w:r>
      <w:r>
        <w:rPr>
          <w:rFonts w:hint="eastAsia"/>
          <w:lang w:eastAsia="zh-CN"/>
        </w:rPr>
        <w:t xml:space="preserve">of the </w:t>
      </w:r>
      <w:r>
        <w:rPr>
          <w:lang w:eastAsia="zh-CN"/>
        </w:rPr>
        <w:t>CrSBr/</w:t>
      </w:r>
      <w:r>
        <w:rPr>
          <w:rFonts w:hint="eastAsia"/>
          <w:lang w:eastAsia="zh-CN"/>
        </w:rPr>
        <w:t>Mo</w:t>
      </w:r>
      <w:r>
        <w:rPr>
          <w:lang w:eastAsia="zh-CN"/>
        </w:rPr>
        <w:t>Se</w:t>
      </w:r>
      <w:r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heterostructure.</w:t>
      </w:r>
    </w:p>
    <w:p w14:paraId="3DE23B3D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 xml:space="preserve">4. </w:t>
      </w:r>
      <w:r>
        <w:rPr>
          <w:lang w:eastAsia="zh-CN"/>
        </w:rPr>
        <w:t>T</w:t>
      </w:r>
      <w:r>
        <w:rPr>
          <w:rFonts w:hint="eastAsia"/>
          <w:lang w:eastAsia="zh-CN"/>
        </w:rPr>
        <w:t>AS</w:t>
      </w:r>
      <w:r>
        <w:rPr>
          <w:lang w:eastAsia="zh-CN"/>
        </w:rPr>
        <w:t xml:space="preserve"> dynamics of 1L WSe</w:t>
      </w:r>
      <w:r>
        <w:rPr>
          <w:rFonts w:hint="eastAsia"/>
          <w:vertAlign w:val="subscript"/>
          <w:lang w:eastAsia="zh-CN"/>
        </w:rPr>
        <w:t>2</w:t>
      </w:r>
      <w:r>
        <w:rPr>
          <w:lang w:eastAsia="zh-CN"/>
        </w:rPr>
        <w:t>.</w:t>
      </w:r>
    </w:p>
    <w:p w14:paraId="2B0774DE">
      <w:pPr>
        <w:spacing w:line="480" w:lineRule="auto"/>
        <w:ind w:left="720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 xml:space="preserve">5. </w:t>
      </w:r>
      <w:r>
        <w:rPr>
          <w:lang w:eastAsia="zh-CN"/>
        </w:rPr>
        <w:t>Temperature- and polarization-dependent TAS</w:t>
      </w:r>
      <w:r>
        <w:rPr>
          <w:rFonts w:hint="eastAsia"/>
          <w:lang w:eastAsia="zh-CN"/>
        </w:rPr>
        <w:t xml:space="preserve"> of </w:t>
      </w:r>
      <w:r>
        <w:rPr>
          <w:lang w:eastAsia="zh-CN"/>
        </w:rPr>
        <w:t>the CrSBr</w:t>
      </w:r>
      <w:r>
        <w:rPr>
          <w:rFonts w:hint="eastAsia"/>
          <w:lang w:eastAsia="zh-CN"/>
        </w:rPr>
        <w:t>/</w:t>
      </w:r>
      <w:r>
        <w:rPr>
          <w:lang w:eastAsia="zh-CN"/>
        </w:rPr>
        <w:t>WSe</w:t>
      </w:r>
      <w:r>
        <w:rPr>
          <w:rFonts w:hint="eastAsia"/>
          <w:vertAlign w:val="subscript"/>
          <w:lang w:eastAsia="zh-CN"/>
        </w:rPr>
        <w:t>2</w:t>
      </w:r>
      <w:r>
        <w:rPr>
          <w:lang w:eastAsia="zh-CN"/>
        </w:rPr>
        <w:t xml:space="preserve"> heterostructure.</w:t>
      </w:r>
    </w:p>
    <w:p w14:paraId="581B3D17">
      <w:pPr>
        <w:spacing w:line="480" w:lineRule="auto"/>
        <w:ind w:left="720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 xml:space="preserve">6. </w:t>
      </w:r>
      <w:r>
        <w:rPr>
          <w:lang w:eastAsia="zh-CN"/>
        </w:rPr>
        <w:t xml:space="preserve">TAS of </w:t>
      </w:r>
      <w:r>
        <w:rPr>
          <w:rFonts w:hint="eastAsia"/>
          <w:lang w:eastAsia="zh-CN"/>
        </w:rPr>
        <w:t xml:space="preserve">1-3L </w:t>
      </w:r>
      <w:r>
        <w:rPr>
          <w:lang w:eastAsia="zh-CN"/>
        </w:rPr>
        <w:t>CrSBr</w:t>
      </w:r>
    </w:p>
    <w:p w14:paraId="1637A172">
      <w:pPr>
        <w:spacing w:line="480" w:lineRule="auto"/>
        <w:ind w:left="720"/>
        <w:jc w:val="both"/>
      </w:pPr>
      <w:r>
        <w:rPr>
          <w:rFonts w:hint="eastAsia"/>
          <w:lang w:val="en-US" w:eastAsia="zh-CN"/>
        </w:rPr>
        <w:t>F</w:t>
      </w:r>
      <w:r>
        <w:rPr>
          <w:lang w:eastAsia="zh-CN"/>
        </w:rPr>
        <w:t xml:space="preserve">ig. S7. </w:t>
      </w:r>
      <w:r>
        <w:rPr>
          <w:rFonts w:hint="eastAsia"/>
          <w:lang w:eastAsia="zh-CN"/>
        </w:rPr>
        <w:t xml:space="preserve">The </w:t>
      </w:r>
      <w:r>
        <w:rPr>
          <w:lang w:eastAsia="zh-CN"/>
        </w:rPr>
        <w:t>1L-CrSBr/1L-WSe</w:t>
      </w:r>
      <w:r>
        <w:rPr>
          <w:vertAlign w:val="subscript"/>
          <w:lang w:eastAsia="zh-CN"/>
        </w:rPr>
        <w:t>2</w:t>
      </w:r>
      <w:r>
        <w:rPr>
          <w:lang w:eastAsia="zh-CN"/>
        </w:rPr>
        <w:t xml:space="preserve"> supercell.</w:t>
      </w:r>
      <w:r>
        <w:br w:type="page"/>
      </w:r>
    </w:p>
    <w:p w14:paraId="6F394F2E">
      <w:pPr>
        <w:pStyle w:val="139"/>
        <w:spacing w:line="480" w:lineRule="auto"/>
        <w:jc w:val="both"/>
      </w:pPr>
      <w:r>
        <w:t>Supplementary Text</w:t>
      </w:r>
    </w:p>
    <w:p w14:paraId="759D0B7B">
      <w:pPr>
        <w:pStyle w:val="141"/>
        <w:spacing w:line="480" w:lineRule="auto"/>
        <w:ind w:firstLine="0"/>
        <w:jc w:val="both"/>
        <w:rPr>
          <w:b/>
          <w:bCs/>
          <w:szCs w:val="24"/>
          <w:lang w:eastAsia="zh-CN"/>
        </w:rPr>
      </w:pPr>
      <w:r>
        <w:rPr>
          <w:rFonts w:hint="eastAsia"/>
          <w:b/>
          <w:bCs/>
          <w:szCs w:val="24"/>
          <w:lang w:val="en-US" w:eastAsia="zh-CN"/>
        </w:rPr>
        <w:t>S</w:t>
      </w:r>
      <w:r>
        <w:rPr>
          <w:rFonts w:hint="eastAsia"/>
          <w:b/>
          <w:bCs/>
          <w:szCs w:val="24"/>
          <w:lang w:eastAsia="zh-CN"/>
        </w:rPr>
        <w:t xml:space="preserve">ection S1: </w:t>
      </w:r>
      <w:r>
        <w:rPr>
          <w:b/>
          <w:bCs/>
          <w:szCs w:val="24"/>
          <w:lang w:eastAsia="zh-CN"/>
        </w:rPr>
        <w:t xml:space="preserve">Theoretical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b/>
          <w:bCs/>
          <w:szCs w:val="24"/>
          <w:lang w:eastAsia="zh-CN"/>
        </w:rPr>
        <w:t>alculations</w:t>
      </w:r>
      <w:r>
        <w:rPr>
          <w:rFonts w:hint="eastAsia"/>
          <w:b/>
          <w:bCs/>
          <w:szCs w:val="24"/>
          <w:lang w:eastAsia="zh-CN"/>
        </w:rPr>
        <w:t xml:space="preserve"> of the Electronic Band Structures</w:t>
      </w:r>
    </w:p>
    <w:p w14:paraId="24CE51F1">
      <w:pPr>
        <w:pStyle w:val="141"/>
        <w:spacing w:line="480" w:lineRule="auto"/>
        <w:ind w:firstLine="0"/>
        <w:jc w:val="both"/>
        <w:rPr>
          <w:szCs w:val="24"/>
        </w:rPr>
      </w:pPr>
      <w:r>
        <w:rPr>
          <w:szCs w:val="24"/>
        </w:rPr>
        <w:t>All the calculations were carried out using DFT as implemented in the Vienna ab initio simulation package (VASP).</w:t>
      </w:r>
      <w:r>
        <w:rPr>
          <w:szCs w:val="24"/>
          <w:vertAlign w:val="superscript"/>
        </w:rPr>
        <w:t>1</w:t>
      </w:r>
      <w:r>
        <w:rPr>
          <w:szCs w:val="24"/>
        </w:rPr>
        <w:t xml:space="preserve"> The projector augmented wave (PAW) method was employed,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and the generalized gradient approximation (GGA) exchange-correlation functional developed by Perdew, Burke, and Ernzerhof (PBE) was applied.</w:t>
      </w:r>
      <w:r>
        <w:rPr>
          <w:szCs w:val="24"/>
          <w:vertAlign w:val="superscript"/>
        </w:rPr>
        <w:t>3</w:t>
      </w:r>
      <w:r>
        <w:rPr>
          <w:szCs w:val="24"/>
        </w:rPr>
        <w:t xml:space="preserve"> The CrSBr</w:t>
      </w:r>
      <w:r>
        <w:rPr>
          <w:szCs w:val="24"/>
          <w:lang w:eastAsia="zh-CN"/>
        </w:rPr>
        <w:t>/WSe</w:t>
      </w:r>
      <w:r>
        <w:rPr>
          <w:szCs w:val="24"/>
          <w:vertAlign w:val="subscript"/>
          <w:lang w:eastAsia="zh-CN"/>
        </w:rPr>
        <w:t>2</w:t>
      </w:r>
      <w:r>
        <w:rPr>
          <w:szCs w:val="24"/>
        </w:rPr>
        <w:t xml:space="preserve"> heterostructure was constructed by using Hetbuilder.</w:t>
      </w:r>
      <w:r>
        <w:rPr>
          <w:szCs w:val="24"/>
          <w:vertAlign w:val="superscript"/>
        </w:rPr>
        <w:t>4</w:t>
      </w:r>
      <w:r>
        <w:rPr>
          <w:szCs w:val="24"/>
        </w:rPr>
        <w:t xml:space="preserve"> An energy cutoff of 400 eV was set, and all the structures were fully optimized until satisfying a force criterion of 0.02 eV/Å. K-point meshes of 1 × 1 × 1 and 3 × 3 × 1 were used for geometry optimization and electronic structure calculations, respectively. The structure was inserted a large distance of vacuum space greater than 15 Å to eliminate the interaction between two periodic units. The semiempirical correction scheme of Grimme, DFT-D3</w:t>
      </w:r>
      <w:r>
        <w:rPr>
          <w:szCs w:val="24"/>
          <w:lang w:eastAsia="zh-CN"/>
        </w:rPr>
        <w:t xml:space="preserve"> (BJ)</w:t>
      </w:r>
      <w:r>
        <w:rPr>
          <w:szCs w:val="24"/>
        </w:rPr>
        <w:t>,</w:t>
      </w:r>
      <w:r>
        <w:rPr>
          <w:szCs w:val="24"/>
          <w:vertAlign w:val="superscript"/>
        </w:rPr>
        <w:t>5</w:t>
      </w:r>
      <w:r>
        <w:rPr>
          <w:szCs w:val="24"/>
        </w:rPr>
        <w:t xml:space="preserve"> was applied to treat the vdW weak interaction. In order to better describe the correlation effects for Cr-d orbitals, the PBE + U approach introduced by Liechtenstein was used, with the values of U and J are 3 eV and 1.5 eV, respectively.</w:t>
      </w:r>
      <w:r>
        <w:rPr>
          <w:szCs w:val="24"/>
          <w:vertAlign w:val="superscript"/>
        </w:rPr>
        <w:t>6</w:t>
      </w:r>
      <w:r>
        <w:rPr>
          <w:szCs w:val="24"/>
        </w:rPr>
        <w:t xml:space="preserve"> The supercell was generated using a lattice-matching algorithm via the Schwalbe</w:t>
      </w:r>
      <w:r>
        <w:rPr>
          <w:szCs w:val="24"/>
          <w:lang w:eastAsia="zh-CN"/>
        </w:rPr>
        <w:t>-</w:t>
      </w:r>
      <w:r>
        <w:rPr>
          <w:szCs w:val="24"/>
        </w:rPr>
        <w:t>Koda method,</w:t>
      </w:r>
      <w:r>
        <w:rPr>
          <w:szCs w:val="24"/>
          <w:vertAlign w:val="superscript"/>
        </w:rPr>
        <w:t xml:space="preserve"> 7</w:t>
      </w:r>
      <w:r>
        <w:rPr>
          <w:szCs w:val="24"/>
        </w:rPr>
        <w:t xml:space="preserve"> which systematically searches integer matrix pairs that minimize lattice mismatch under rotation. The supercell is generated by </w:t>
      </w:r>
      <m:oMath>
        <m:r>
          <m:rPr/>
          <w:rPr>
            <w:rFonts w:ascii="Cambria Math" w:hAnsi="Cambria Math"/>
            <w:sz w:val="20"/>
          </w:rPr>
          <m:t>M=</m:t>
        </m:r>
        <m:d>
          <m:dPr>
            <m:ctrlPr>
              <w:rPr>
                <w:rFonts w:ascii="Cambria Math" w:hAnsi="Cambria Math"/>
                <w:bCs/>
                <w:i/>
                <w:iCs/>
                <w:kern w:val="2"/>
                <w:sz w:val="20"/>
                <w:lang w:eastAsia="zh-CN"/>
                <w14:ligatures w14:val="standardContextual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0"/>
                  </w:rPr>
                  <m:t>8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0"/>
                  </w:rPr>
                  <m:t>6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den>
            </m:f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0"/>
                  </w:rPr>
                  <m:t>−1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0"/>
                  </w:rPr>
                  <m:t>1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den>
            </m:f>
            <m:ctrlPr>
              <w:rPr>
                <w:rFonts w:ascii="Cambria Math" w:hAnsi="Cambria Math"/>
                <w:bCs/>
                <w:i/>
                <w:iCs/>
                <w:kern w:val="2"/>
                <w:sz w:val="20"/>
                <w:lang w:eastAsia="zh-CN"/>
                <w14:ligatures w14:val="standardContextual"/>
              </w:rPr>
            </m:ctrlPr>
          </m:e>
        </m:d>
      </m:oMath>
      <w:r>
        <w:rPr>
          <w:bCs/>
          <w:iCs/>
          <w:kern w:val="2"/>
          <w:sz w:val="20"/>
          <w:lang w:eastAsia="zh-CN"/>
          <w14:ligatures w14:val="standardContextual"/>
        </w:rPr>
        <w:t xml:space="preserve"> </w:t>
      </w:r>
      <w:r>
        <w:rPr>
          <w:szCs w:val="24"/>
        </w:rPr>
        <w:t xml:space="preserve">and </w:t>
      </w:r>
      <m:oMath>
        <m:r>
          <m:rPr/>
          <w:rPr>
            <w:rFonts w:ascii="Cambria Math" w:hAnsi="Cambria Math"/>
            <w:sz w:val="20"/>
          </w:rPr>
          <m:t>N=</m:t>
        </m:r>
        <m:d>
          <m:dPr>
            <m:ctrlPr>
              <w:rPr>
                <w:rFonts w:ascii="Cambria Math" w:hAnsi="Cambria Math"/>
                <w:bCs/>
                <w:i/>
                <w:iCs/>
                <w:kern w:val="2"/>
                <w:sz w:val="20"/>
                <w:lang w:eastAsia="zh-CN"/>
                <w14:ligatures w14:val="standardContextual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0"/>
                  </w:rPr>
                  <m:t>−5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0"/>
                  </w:rPr>
                  <m:t>−1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den>
            </m:f>
            <m:f>
              <m:fPr>
                <m:type m:val="nobar"/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0"/>
                  </w:rPr>
                  <m:t>−10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0"/>
                  </w:rPr>
                  <m:t>−7</m:t>
                </m:r>
                <m:ctrlPr>
                  <w:rPr>
                    <w:rFonts w:ascii="Cambria Math" w:hAnsi="Cambria Math"/>
                    <w:bCs/>
                    <w:i/>
                    <w:iCs/>
                    <w:kern w:val="2"/>
                    <w:sz w:val="20"/>
                    <w:lang w:eastAsia="zh-CN"/>
                    <w14:ligatures w14:val="standardContextual"/>
                  </w:rPr>
                </m:ctrlPr>
              </m:den>
            </m:f>
            <m:ctrlPr>
              <w:rPr>
                <w:rFonts w:ascii="Cambria Math" w:hAnsi="Cambria Math"/>
                <w:bCs/>
                <w:i/>
                <w:iCs/>
                <w:kern w:val="2"/>
                <w:sz w:val="20"/>
                <w:lang w:eastAsia="zh-CN"/>
                <w14:ligatures w14:val="standardContextual"/>
              </w:rPr>
            </m:ctrlPr>
          </m:e>
        </m:d>
      </m:oMath>
      <w:r>
        <w:rPr>
          <w:szCs w:val="24"/>
          <w:lang w:eastAsia="zh-CN"/>
        </w:rPr>
        <w:t xml:space="preserve"> </w:t>
      </w:r>
      <w:r>
        <w:rPr>
          <w:szCs w:val="24"/>
        </w:rPr>
        <w:t>for CrSBr and WSe</w:t>
      </w:r>
      <w:r>
        <w:rPr>
          <w:szCs w:val="24"/>
          <w:vertAlign w:val="subscript"/>
        </w:rPr>
        <w:t>2</w:t>
      </w:r>
      <w:r>
        <w:rPr>
          <w:szCs w:val="24"/>
          <w:vertAlign w:val="superscript"/>
          <w:lang w:eastAsia="zh-CN"/>
        </w:rPr>
        <w:t xml:space="preserve"> </w:t>
      </w:r>
      <w:r>
        <w:rPr>
          <w:szCs w:val="24"/>
          <w:lang w:eastAsia="zh-CN"/>
        </w:rPr>
        <w:t>(Fig. S7)</w:t>
      </w:r>
      <w:r>
        <w:rPr>
          <w:szCs w:val="24"/>
        </w:rPr>
        <w:t>, respectively, resulting in a supercell containing 159 atoms with 1% deformation. The unfolded band structures were obtained by using VASPKIT toolkit.</w:t>
      </w:r>
      <w:r>
        <w:rPr>
          <w:rFonts w:hint="eastAsia"/>
          <w:szCs w:val="24"/>
          <w:vertAlign w:val="superscript"/>
          <w:lang w:eastAsia="zh-CN"/>
        </w:rPr>
        <w:t>8</w:t>
      </w:r>
    </w:p>
    <w:p w14:paraId="1A2A3F87">
      <w:pPr>
        <w:pStyle w:val="141"/>
        <w:spacing w:line="480" w:lineRule="auto"/>
        <w:ind w:firstLine="0"/>
        <w:jc w:val="both"/>
        <w:rPr>
          <w:szCs w:val="24"/>
          <w:lang w:eastAsia="zh-CN"/>
        </w:rPr>
      </w:pPr>
    </w:p>
    <w:p w14:paraId="61D3E1A0">
      <w:pPr>
        <w:spacing w:line="480" w:lineRule="auto"/>
        <w:jc w:val="both"/>
        <w:rPr>
          <w:b/>
          <w:bCs/>
          <w:szCs w:val="24"/>
          <w:lang w:eastAsia="zh-CN"/>
        </w:rPr>
      </w:pPr>
      <w:r>
        <w:rPr>
          <w:rFonts w:hint="eastAsia"/>
          <w:b/>
          <w:bCs/>
          <w:szCs w:val="24"/>
          <w:lang w:val="en-US" w:eastAsia="zh-CN"/>
        </w:rPr>
        <w:t>S</w:t>
      </w:r>
      <w:r>
        <w:rPr>
          <w:rFonts w:hint="eastAsia"/>
          <w:b/>
          <w:bCs/>
          <w:szCs w:val="24"/>
          <w:lang w:eastAsia="zh-CN"/>
        </w:rPr>
        <w:t>ection S2. Magnetic Proximity Effect Induced Spin-selective Interlayer Transfer</w:t>
      </w:r>
    </w:p>
    <w:p w14:paraId="1883B130">
      <w:pPr>
        <w:spacing w:line="480" w:lineRule="auto"/>
        <w:jc w:val="both"/>
        <w:rPr>
          <w:b/>
          <w:bCs/>
          <w:szCs w:val="24"/>
        </w:rPr>
      </w:pPr>
      <w:r>
        <w:rPr>
          <w:rFonts w:hint="eastAsia"/>
          <w:b/>
          <w:bCs/>
          <w:szCs w:val="24"/>
          <w:lang w:eastAsia="zh-CN"/>
        </w:rPr>
        <w:t>The m</w:t>
      </w:r>
      <w:r>
        <w:rPr>
          <w:b/>
          <w:bCs/>
          <w:szCs w:val="24"/>
        </w:rPr>
        <w:t xml:space="preserve">agnetic order in monolayer </w:t>
      </w:r>
      <w:r>
        <w:rPr>
          <w:rFonts w:hint="eastAsia"/>
          <w:b/>
          <w:bCs/>
          <w:szCs w:val="24"/>
          <w:lang w:eastAsia="zh-CN"/>
        </w:rPr>
        <w:t xml:space="preserve">and fewlayer </w:t>
      </w:r>
      <w:r>
        <w:rPr>
          <w:b/>
          <w:bCs/>
          <w:szCs w:val="24"/>
        </w:rPr>
        <w:t>CrSBr</w:t>
      </w:r>
    </w:p>
    <w:p w14:paraId="0F312DCC">
      <w:pPr>
        <w:spacing w:line="480" w:lineRule="auto"/>
        <w:jc w:val="both"/>
        <w:rPr>
          <w:szCs w:val="24"/>
        </w:rPr>
      </w:pPr>
      <w:r>
        <w:rPr>
          <w:szCs w:val="24"/>
        </w:rPr>
        <w:t>The magnetism of CrSBr originates from localized Cr</w:t>
      </w:r>
      <w:r>
        <w:rPr>
          <w:szCs w:val="24"/>
          <w:vertAlign w:val="superscript"/>
          <w:lang w:eastAsia="zh-CN"/>
        </w:rPr>
        <w:t>3+</w:t>
      </w:r>
      <w:r>
        <w:rPr>
          <w:szCs w:val="24"/>
        </w:rPr>
        <w:t xml:space="preserve"> moments (3d</w:t>
      </w:r>
      <w:r>
        <w:rPr>
          <w:szCs w:val="24"/>
          <w:vertAlign w:val="superscript"/>
        </w:rPr>
        <w:t>3</w:t>
      </w:r>
      <w:r>
        <w:rPr>
          <w:szCs w:val="24"/>
        </w:rPr>
        <w:t>, S=3/2). Its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magnetic properties are well described by a Heisenberg-type Hamiltonian,</w:t>
      </w:r>
    </w:p>
    <w:p w14:paraId="6CB696CA">
      <w:pPr>
        <w:spacing w:line="480" w:lineRule="auto"/>
        <w:jc w:val="both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CrSBr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=−</m:t>
              </m:r>
              <m:nary>
                <m:naryPr>
                  <m:chr m:val="∑"/>
                  <m:grow m:val="1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d>
                    <m:dPr>
                      <m:begChr m:val="⟨"/>
                      <m:endChr m:val="⟩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i⋅j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J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ij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nary>
              <m:r>
                <m:rPr/>
                <w:rPr>
                  <w:rFonts w:ascii="Cambria Math" w:hAnsi="Cambria Math"/>
                  <w:szCs w:val="24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j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−g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μ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nary>
                <m:naryPr>
                  <m:chr m:val="∑"/>
                  <m:grow m:val="1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i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B⋅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nary>
              <m:r>
                <m:rPr/>
                <w:rPr>
                  <w:rFonts w:ascii="Cambria Math" w:hAnsi="Cambria Math"/>
                  <w:szCs w:val="24"/>
                </w:rPr>
                <m:t>+</m:t>
              </m:r>
              <m:nary>
                <m:naryPr>
                  <m:chr m:val="∑"/>
                  <m:grow m:val="1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i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p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</w:rPr>
                                <m:t>i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</w:rPr>
                                <m:t>Z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nary>
              <m:r>
                <m:rPr/>
                <w:rPr>
                  <w:rFonts w:ascii="Cambria Math" w:hAnsi="Cambria Math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S1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</w:rPr>
              </m:ctrlPr>
            </m:e>
          </m:eqArr>
        </m:oMath>
      </m:oMathPara>
    </w:p>
    <w:p w14:paraId="33C3BF9D">
      <w:pPr>
        <w:spacing w:line="480" w:lineRule="auto"/>
        <w:jc w:val="both"/>
        <w:rPr>
          <w:szCs w:val="24"/>
        </w:rPr>
      </w:pPr>
      <w:r>
        <w:rPr>
          <w:rFonts w:hint="eastAsia"/>
          <w:szCs w:val="24"/>
          <w:lang w:eastAsia="zh-CN"/>
        </w:rPr>
        <w:t>Previous studies</w:t>
      </w:r>
      <w:r>
        <w:rPr>
          <w:szCs w:val="24"/>
        </w:rPr>
        <w:t xml:space="preserve"> show </w:t>
      </w:r>
      <w:r>
        <w:rPr>
          <w:rFonts w:hint="eastAsia"/>
          <w:szCs w:val="24"/>
          <w:lang w:eastAsia="zh-CN"/>
        </w:rPr>
        <w:t xml:space="preserve">the </w:t>
      </w:r>
      <w:r>
        <w:rPr>
          <w:szCs w:val="24"/>
        </w:rPr>
        <w:t>ferromagnetic exchange within each layer and antiferromagnetic coupling between adjacent layers, resulting in an A-type antiferromagnetic ground state with strong in-plane easy-axis anisotropy</w:t>
      </w:r>
      <w:r>
        <w:rPr>
          <w:rFonts w:hint="eastAsia"/>
          <w:szCs w:val="24"/>
          <w:lang w:eastAsia="zh-CN"/>
        </w:rPr>
        <w:t>.</w:t>
      </w:r>
      <w:r>
        <w:rPr>
          <w:rFonts w:hint="eastAsia"/>
          <w:szCs w:val="24"/>
          <w:vertAlign w:val="superscript"/>
          <w:lang w:eastAsia="zh-CN"/>
        </w:rPr>
        <w:t>9-11</w:t>
      </w:r>
      <w:r>
        <w:rPr>
          <w:szCs w:val="24"/>
        </w:rPr>
        <w:t xml:space="preserve"> In the monolayer limit, CrSBr therefore exhibits a net in-plane magnetization.</w:t>
      </w:r>
    </w:p>
    <w:p w14:paraId="779ACA2A">
      <w:pPr>
        <w:spacing w:line="480" w:lineRule="auto"/>
        <w:jc w:val="both"/>
        <w:rPr>
          <w:szCs w:val="24"/>
        </w:rPr>
      </w:pPr>
    </w:p>
    <w:p w14:paraId="084AAF30">
      <w:pPr>
        <w:spacing w:line="480" w:lineRule="auto"/>
        <w:jc w:val="both"/>
        <w:rPr>
          <w:b/>
          <w:bCs/>
          <w:szCs w:val="24"/>
          <w:lang w:eastAsia="zh-CN"/>
        </w:rPr>
      </w:pPr>
      <w:r>
        <w:rPr>
          <w:rFonts w:hint="eastAsia"/>
          <w:b/>
          <w:bCs/>
          <w:szCs w:val="24"/>
          <w:lang w:eastAsia="zh-CN"/>
        </w:rPr>
        <w:t>E</w:t>
      </w:r>
      <w:r>
        <w:rPr>
          <w:b/>
          <w:bCs/>
          <w:szCs w:val="24"/>
        </w:rPr>
        <w:t>lectronic</w:t>
      </w:r>
      <w:r>
        <w:rPr>
          <w:rFonts w:hint="eastAsia"/>
          <w:b/>
          <w:bCs/>
          <w:szCs w:val="24"/>
          <w:lang w:eastAsia="zh-CN"/>
        </w:rPr>
        <w:t xml:space="preserve"> band</w:t>
      </w:r>
      <w:r>
        <w:rPr>
          <w:b/>
          <w:bCs/>
          <w:szCs w:val="24"/>
        </w:rPr>
        <w:t xml:space="preserve"> structure of monolayer WSe</w:t>
      </w:r>
      <w:r>
        <w:rPr>
          <w:b/>
          <w:bCs/>
          <w:szCs w:val="24"/>
          <w:vertAlign w:val="subscript"/>
          <w:lang w:eastAsia="zh-CN"/>
        </w:rPr>
        <w:t>2</w:t>
      </w:r>
    </w:p>
    <w:p w14:paraId="342F76B7">
      <w:pPr>
        <w:spacing w:line="480" w:lineRule="auto"/>
        <w:jc w:val="both"/>
        <w:rPr>
          <w:szCs w:val="24"/>
        </w:rPr>
      </w:pPr>
      <w:r>
        <w:rPr>
          <w:rFonts w:hint="eastAsia"/>
          <w:szCs w:val="24"/>
          <w:lang w:eastAsia="zh-CN"/>
        </w:rPr>
        <w:t>At</w:t>
      </w:r>
      <w:r>
        <w:rPr>
          <w:szCs w:val="24"/>
        </w:rPr>
        <w:t xml:space="preserve"> the</w:t>
      </w:r>
      <w:r>
        <w:rPr>
          <w:rFonts w:hint="eastAsia"/>
          <w:szCs w:val="24"/>
          <w:lang w:eastAsia="zh-CN"/>
        </w:rPr>
        <w:t xml:space="preserve"> band extreme of</w:t>
      </w:r>
      <w:r>
        <w:rPr>
          <w:szCs w:val="24"/>
        </w:rPr>
        <w:t xml:space="preserve"> K and K' valleys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of monolayer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>, the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electronic states are described by an effective k· p Hamiltonian.</w:t>
      </w:r>
      <w:r>
        <w:rPr>
          <w:rFonts w:hint="eastAsia"/>
          <w:szCs w:val="24"/>
          <w:lang w:eastAsia="zh-CN"/>
        </w:rPr>
        <w:t xml:space="preserve"> When r</w:t>
      </w:r>
      <w:r>
        <w:rPr>
          <w:szCs w:val="24"/>
        </w:rPr>
        <w:t>etain</w:t>
      </w:r>
      <w:r>
        <w:rPr>
          <w:rFonts w:hint="eastAsia"/>
          <w:szCs w:val="24"/>
          <w:lang w:eastAsia="zh-CN"/>
        </w:rPr>
        <w:t>ing</w:t>
      </w:r>
      <w:r>
        <w:rPr>
          <w:szCs w:val="24"/>
        </w:rPr>
        <w:t xml:space="preserve"> only the spin- and valley-dependent terms,</w:t>
      </w:r>
    </w:p>
    <w:p w14:paraId="1BEA1FC0">
      <w:pPr>
        <w:spacing w:line="480" w:lineRule="auto"/>
        <w:jc w:val="both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τ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=ε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k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Cs w:val="24"/>
                    </w:rPr>
                    <m:t>Δ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z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+λτ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z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S2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</w:rPr>
              </m:ctrlPr>
            </m:e>
          </m:eqArr>
        </m:oMath>
      </m:oMathPara>
    </w:p>
    <w:p w14:paraId="7FD0D759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where </w:t>
      </w:r>
      <m:oMath>
        <m:r>
          <m:rPr/>
          <w:rPr>
            <w:rFonts w:ascii="Cambria Math" w:hAnsi="Cambria Math"/>
            <w:szCs w:val="24"/>
          </w:rPr>
          <m:t>τ=±1</m:t>
        </m:r>
      </m:oMath>
      <w:r>
        <w:rPr>
          <w:szCs w:val="24"/>
        </w:rPr>
        <w:t xml:space="preserve"> labels the K/K' valleys</w:t>
      </w:r>
      <w:r>
        <w:rPr>
          <w:szCs w:val="24"/>
          <w:lang w:eastAsia="zh-CN"/>
        </w:rPr>
        <w:t>, respectively,</w:t>
      </w:r>
      <w:r>
        <w:rPr>
          <w:szCs w:val="24"/>
        </w:rPr>
        <w:t xml:space="preserve"> and λ denotes the spin–orbit coupling. The SOC term has opposite signs in opposite valleys, giving rise to </w:t>
      </w:r>
      <w:r>
        <w:rPr>
          <w:szCs w:val="24"/>
          <w:lang w:eastAsia="zh-CN"/>
        </w:rPr>
        <w:t xml:space="preserve">the </w:t>
      </w:r>
      <w:r>
        <w:rPr>
          <w:szCs w:val="24"/>
        </w:rPr>
        <w:t>spin–valley locking and valley-selective optical selection rules</w:t>
      </w:r>
      <w:r>
        <w:rPr>
          <w:szCs w:val="24"/>
          <w:lang w:eastAsia="zh-CN"/>
        </w:rPr>
        <w:t>.</w:t>
      </w:r>
      <w:r>
        <w:rPr>
          <w:rFonts w:hint="eastAsia"/>
          <w:szCs w:val="24"/>
          <w:vertAlign w:val="superscript"/>
          <w:lang w:eastAsia="zh-CN"/>
        </w:rPr>
        <w:t>12</w:t>
      </w:r>
    </w:p>
    <w:p w14:paraId="09E25FEE">
      <w:pPr>
        <w:spacing w:line="480" w:lineRule="auto"/>
        <w:jc w:val="both"/>
        <w:rPr>
          <w:szCs w:val="24"/>
        </w:rPr>
      </w:pPr>
    </w:p>
    <w:p w14:paraId="4C86E4D5">
      <w:pPr>
        <w:spacing w:line="480" w:lineRule="auto"/>
        <w:jc w:val="both"/>
        <w:rPr>
          <w:b/>
          <w:bCs/>
          <w:szCs w:val="24"/>
        </w:rPr>
      </w:pPr>
      <w:r>
        <w:rPr>
          <w:rFonts w:hint="eastAsia"/>
          <w:b/>
          <w:bCs/>
          <w:szCs w:val="24"/>
          <w:lang w:eastAsia="zh-CN"/>
        </w:rPr>
        <w:t>Magnetic-p</w:t>
      </w:r>
      <w:r>
        <w:rPr>
          <w:b/>
          <w:bCs/>
          <w:szCs w:val="24"/>
        </w:rPr>
        <w:t>roximity-induced exchange interaction</w:t>
      </w:r>
    </w:p>
    <w:p w14:paraId="6E05A222">
      <w:pPr>
        <w:spacing w:line="480" w:lineRule="auto"/>
        <w:jc w:val="both"/>
        <w:rPr>
          <w:szCs w:val="24"/>
        </w:rPr>
      </w:pPr>
      <w:r>
        <w:rPr>
          <w:szCs w:val="24"/>
        </w:rPr>
        <w:t>In a CrSBr/WSe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heterostructure, interfacial exchange coupling between electrons</w:t>
      </w:r>
      <w:r>
        <w:rPr>
          <w:rFonts w:hint="eastAsia"/>
          <w:szCs w:val="24"/>
          <w:lang w:eastAsia="zh-CN"/>
        </w:rPr>
        <w:t xml:space="preserve"> of 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and localized Cr spins </w:t>
      </w:r>
      <w:r>
        <w:rPr>
          <w:rFonts w:hint="eastAsia"/>
          <w:szCs w:val="24"/>
          <w:lang w:eastAsia="zh-CN"/>
        </w:rPr>
        <w:t xml:space="preserve">of CrSBr </w:t>
      </w:r>
      <w:r>
        <w:rPr>
          <w:szCs w:val="24"/>
        </w:rPr>
        <w:t>can be written as</w:t>
      </w:r>
    </w:p>
    <w:p w14:paraId="6929DBA0">
      <w:pPr>
        <w:spacing w:line="480" w:lineRule="auto"/>
        <w:jc w:val="both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int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=−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J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⊥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nary>
                <m:naryPr>
                  <m:chr m:val="∑"/>
                  <m:grow m:val="1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>
                  <m:d>
                    <m:dPr>
                      <m:begChr m:val="⟨"/>
                      <m:endChr m:val="⟩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i⋅j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  <m:sup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nary>
              <m:r>
                <m:rPr/>
                <w:rPr>
                  <w:rFonts w:ascii="Cambria Math" w:hAnsi="Cambria Math"/>
                  <w:szCs w:val="24"/>
                </w:rPr>
                <m:t>⋅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j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S3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</w:rPr>
              </m:ctrlPr>
            </m:e>
          </m:eqArr>
        </m:oMath>
      </m:oMathPara>
    </w:p>
    <w:p w14:paraId="05DB6AE9">
      <w:pPr>
        <w:spacing w:line="480" w:lineRule="auto"/>
        <w:jc w:val="both"/>
        <w:rPr>
          <w:szCs w:val="24"/>
        </w:rPr>
      </w:pPr>
      <w:r>
        <w:rPr>
          <w:szCs w:val="24"/>
        </w:rPr>
        <w:t>Within a mean-field approximation, this interaction</w:t>
      </w:r>
      <w:r>
        <w:rPr>
          <w:rFonts w:hint="eastAsia"/>
          <w:szCs w:val="24"/>
          <w:lang w:eastAsia="zh-CN"/>
        </w:rPr>
        <w:t xml:space="preserve"> can be</w:t>
      </w:r>
      <w:r>
        <w:rPr>
          <w:szCs w:val="24"/>
        </w:rPr>
        <w:t xml:space="preserve"> reduce</w:t>
      </w:r>
      <w:r>
        <w:rPr>
          <w:rFonts w:hint="eastAsia"/>
          <w:szCs w:val="24"/>
          <w:lang w:eastAsia="zh-CN"/>
        </w:rPr>
        <w:t>d</w:t>
      </w:r>
      <w:r>
        <w:rPr>
          <w:szCs w:val="24"/>
        </w:rPr>
        <w:t xml:space="preserve"> to an effective exchange field acting on the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electrons,</w:t>
      </w:r>
    </w:p>
    <w:p w14:paraId="4DA121B1">
      <w:pPr>
        <w:spacing w:line="480" w:lineRule="auto"/>
        <w:jc w:val="both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prox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=−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Δ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ex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n⋅s#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S4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</w:rPr>
              </m:ctrlPr>
            </m:e>
          </m:eqArr>
        </m:oMath>
      </m:oMathPara>
    </w:p>
    <w:p w14:paraId="39967438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where </w:t>
      </w:r>
      <w:r>
        <w:rPr>
          <w:rFonts w:hint="eastAsia"/>
          <w:b/>
          <w:bCs/>
          <w:szCs w:val="24"/>
        </w:rPr>
        <w:t>n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is the magnetization direction of CrSBr and </w:t>
      </w:r>
      <w:r>
        <w:rPr>
          <w:rFonts w:ascii="Cambria Math" w:hAnsi="Cambria Math" w:cs="Cambria Math"/>
          <w:szCs w:val="24"/>
        </w:rPr>
        <w:t>△</w:t>
      </w:r>
      <w:r>
        <w:rPr>
          <w:szCs w:val="24"/>
          <w:vertAlign w:val="subscript"/>
        </w:rPr>
        <w:t>ex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is the proximity-induced exchange splitting. This </w:t>
      </w:r>
      <w:r>
        <w:rPr>
          <w:rFonts w:hint="eastAsia"/>
          <w:szCs w:val="24"/>
          <w:lang w:eastAsia="zh-CN"/>
        </w:rPr>
        <w:t>equation</w:t>
      </w:r>
      <w:r>
        <w:rPr>
          <w:szCs w:val="24"/>
        </w:rPr>
        <w:t xml:space="preserve"> is commonly used for magnetic proximity effects in </w:t>
      </w:r>
      <w:r>
        <w:rPr>
          <w:rFonts w:hint="eastAsia"/>
          <w:szCs w:val="24"/>
          <w:lang w:eastAsia="zh-CN"/>
        </w:rPr>
        <w:t xml:space="preserve">2D </w:t>
      </w:r>
      <w:r>
        <w:rPr>
          <w:szCs w:val="24"/>
        </w:rPr>
        <w:t>magnet</w:t>
      </w:r>
      <w:r>
        <w:rPr>
          <w:rFonts w:hint="eastAsia"/>
          <w:szCs w:val="24"/>
          <w:lang w:eastAsia="zh-CN"/>
        </w:rPr>
        <w:t>s/</w:t>
      </w:r>
      <w:r>
        <w:rPr>
          <w:szCs w:val="24"/>
        </w:rPr>
        <w:t>TMD</w:t>
      </w:r>
      <w:r>
        <w:rPr>
          <w:rFonts w:hint="eastAsia"/>
          <w:szCs w:val="24"/>
          <w:lang w:eastAsia="zh-CN"/>
        </w:rPr>
        <w:t>s</w:t>
      </w:r>
      <w:r>
        <w:rPr>
          <w:szCs w:val="24"/>
        </w:rPr>
        <w:t xml:space="preserve"> heterostructures</w:t>
      </w:r>
      <w:r>
        <w:rPr>
          <w:rFonts w:hint="eastAsia"/>
          <w:szCs w:val="24"/>
          <w:lang w:eastAsia="zh-CN"/>
        </w:rPr>
        <w:t>.</w:t>
      </w:r>
      <w:r>
        <w:rPr>
          <w:rFonts w:hint="eastAsia"/>
          <w:szCs w:val="24"/>
          <w:vertAlign w:val="superscript"/>
          <w:lang w:eastAsia="zh-CN"/>
        </w:rPr>
        <w:t>13-15</w:t>
      </w:r>
      <w:r>
        <w:rPr>
          <w:szCs w:val="24"/>
        </w:rPr>
        <w:t xml:space="preserve"> For monolayer CrSBr, </w:t>
      </w:r>
      <w:r>
        <w:rPr>
          <w:rFonts w:hint="eastAsia"/>
          <w:b/>
          <w:bCs/>
          <w:szCs w:val="24"/>
        </w:rPr>
        <w:t>n</w:t>
      </w:r>
      <w:r>
        <w:rPr>
          <w:szCs w:val="24"/>
        </w:rPr>
        <w:t xml:space="preserve"> lies predominantly in </w:t>
      </w:r>
      <w:r>
        <w:rPr>
          <w:rFonts w:hint="eastAsia"/>
          <w:szCs w:val="24"/>
          <w:lang w:eastAsia="zh-CN"/>
        </w:rPr>
        <w:t xml:space="preserve">its </w:t>
      </w:r>
      <w:r>
        <w:rPr>
          <w:i/>
          <w:iCs/>
          <w:szCs w:val="24"/>
          <w:lang w:eastAsia="zh-CN"/>
        </w:rPr>
        <w:t>xy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 xml:space="preserve">crystal </w:t>
      </w:r>
      <w:r>
        <w:rPr>
          <w:szCs w:val="24"/>
        </w:rPr>
        <w:t>plane.</w:t>
      </w:r>
    </w:p>
    <w:p w14:paraId="5BF557EB">
      <w:pPr>
        <w:spacing w:line="480" w:lineRule="auto"/>
        <w:jc w:val="both"/>
        <w:rPr>
          <w:szCs w:val="24"/>
        </w:rPr>
      </w:pPr>
    </w:p>
    <w:p w14:paraId="6E3AA876">
      <w:pPr>
        <w:spacing w:line="480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>Effective spin model and spin</w:t>
      </w:r>
      <w:r>
        <w:rPr>
          <w:rFonts w:hint="eastAsia"/>
          <w:b/>
          <w:bCs/>
          <w:szCs w:val="24"/>
          <w:lang w:eastAsia="zh-CN"/>
        </w:rPr>
        <w:t>-</w:t>
      </w:r>
      <w:r>
        <w:rPr>
          <w:b/>
          <w:bCs/>
          <w:szCs w:val="24"/>
        </w:rPr>
        <w:t>selectiv</w:t>
      </w:r>
      <w:r>
        <w:rPr>
          <w:rFonts w:hint="eastAsia"/>
          <w:b/>
          <w:bCs/>
          <w:szCs w:val="24"/>
          <w:lang w:eastAsia="zh-CN"/>
        </w:rPr>
        <w:t xml:space="preserve">e </w:t>
      </w:r>
      <w:r>
        <w:rPr>
          <w:b/>
          <w:bCs/>
          <w:szCs w:val="24"/>
        </w:rPr>
        <w:t xml:space="preserve">interlayer </w:t>
      </w:r>
      <w:r>
        <w:rPr>
          <w:rFonts w:hint="eastAsia"/>
          <w:b/>
          <w:bCs/>
          <w:szCs w:val="24"/>
          <w:lang w:eastAsia="zh-CN"/>
        </w:rPr>
        <w:t>coupling</w:t>
      </w:r>
    </w:p>
    <w:p w14:paraId="5B5DABC1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Combining </w:t>
      </w:r>
      <w:r>
        <w:rPr>
          <w:rFonts w:hint="eastAsia"/>
          <w:szCs w:val="24"/>
          <w:lang w:eastAsia="zh-CN"/>
        </w:rPr>
        <w:t xml:space="preserve">the </w:t>
      </w:r>
      <w:r>
        <w:rPr>
          <w:szCs w:val="24"/>
        </w:rPr>
        <w:t>intrinsic spin–orbit coupling in</w:t>
      </w:r>
      <w:r>
        <w:rPr>
          <w:rFonts w:hint="eastAsia"/>
          <w:szCs w:val="24"/>
          <w:lang w:eastAsia="zh-CN"/>
        </w:rPr>
        <w:t xml:space="preserve"> 1L</w:t>
      </w:r>
      <w:r>
        <w:rPr>
          <w:szCs w:val="24"/>
        </w:rPr>
        <w:t xml:space="preserve">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with the proximity-induced exchange field, the effective spin Hamiltonian at valley τ is</w:t>
      </w:r>
    </w:p>
    <w:p w14:paraId="3392F2BD">
      <w:pPr>
        <w:spacing w:line="480" w:lineRule="auto"/>
        <w:jc w:val="both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eff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=λτ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z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−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Δ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ex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</w:rPr>
                    <m:t>S5</m:t>
                  </m: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</w:rPr>
              </m:ctrlPr>
            </m:e>
          </m:eqArr>
        </m:oMath>
      </m:oMathPara>
    </w:p>
    <w:p w14:paraId="27771E85">
      <w:pPr>
        <w:spacing w:line="480" w:lineRule="auto"/>
        <w:jc w:val="both"/>
        <w:rPr>
          <w:szCs w:val="24"/>
          <w:lang w:eastAsia="zh-CN"/>
        </w:rPr>
      </w:pPr>
      <w:r>
        <w:rPr>
          <w:szCs w:val="24"/>
        </w:rPr>
        <w:t>where the exchange field is assumed to be in-plane. Diagonalization yields eigenenergies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and spin polarization</w:t>
      </w:r>
      <w:r>
        <w:rPr>
          <w:rFonts w:hint="eastAsia"/>
          <w:szCs w:val="24"/>
          <w:lang w:eastAsia="zh-CN"/>
        </w:rPr>
        <w:t>:</w:t>
      </w:r>
    </w:p>
    <w:p w14:paraId="1FDA9056">
      <w:pPr>
        <w:spacing w:line="480" w:lineRule="auto"/>
        <w:jc w:val="both"/>
        <w:rPr>
          <w:szCs w:val="24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E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±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  <w:lang w:eastAsia="zh-CN"/>
                </w:rPr>
                <m:t>=±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den>
              </m:f>
              <m:r>
                <m:rPr/>
                <w:rPr>
                  <w:rFonts w:ascii="Cambria Math" w:hAnsi="Cambria Math"/>
                  <w:szCs w:val="24"/>
                  <w:lang w:eastAsia="zh-CN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radPr>
                <m:deg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λτ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Δ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ex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e>
              </m:rad>
              <m:r>
                <m:rPr/>
                <w:rPr>
                  <w:rFonts w:ascii="Cambria Math" w:hAnsi="Cambria Math"/>
                  <w:szCs w:val="24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S6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  <w:lang w:eastAsia="zh-CN"/>
                </w:rPr>
              </m:ctrlPr>
            </m:e>
          </m:eqArr>
        </m:oMath>
      </m:oMathPara>
    </w:p>
    <w:p w14:paraId="1EDFF9AD">
      <w:pPr>
        <w:spacing w:line="480" w:lineRule="auto"/>
        <w:jc w:val="both"/>
        <w:rPr>
          <w:szCs w:val="24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SubPr>
                <m:e>
                  <m:d>
                    <m:dPr>
                      <m:begChr m:val="⟨"/>
                      <m:endChr m:val="⟩"/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S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z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±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Cs w:val="24"/>
                  <w:lang w:eastAsia="zh-CN"/>
                </w:rPr>
                <m:t>=±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λτ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eastAsia="zh-CN"/>
                                </w:rPr>
                              </m:ctrlPr>
                            </m:dPr>
                            <m:e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  <m:t>λτ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eastAsia="zh-CN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Δ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  <m:t>ex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den>
              </m:f>
              <m:r>
                <m:rPr/>
                <w:rPr>
                  <w:rFonts w:ascii="Cambria Math" w:hAnsi="Cambria Math"/>
                  <w:szCs w:val="24"/>
                  <w:lang w:eastAsia="zh-CN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S7</m:t>
                  </m:r>
                  <m:ctrlPr>
                    <w:rPr>
                      <w:rFonts w:ascii="Cambria Math" w:hAnsi="Cambria Math"/>
                      <w:i/>
                      <w:szCs w:val="24"/>
                      <w:lang w:eastAsia="zh-CN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Cs w:val="24"/>
                  <w:lang w:eastAsia="zh-CN"/>
                </w:rPr>
              </m:ctrlPr>
            </m:e>
          </m:eqArr>
        </m:oMath>
      </m:oMathPara>
    </w:p>
    <w:p w14:paraId="117A31CD">
      <w:pPr>
        <w:spacing w:line="480" w:lineRule="auto"/>
        <w:jc w:val="both"/>
        <w:rPr>
          <w:szCs w:val="24"/>
        </w:rPr>
      </w:pPr>
      <w:r>
        <w:rPr>
          <w:szCs w:val="24"/>
        </w:rPr>
        <w:t>While the energy spectrum depends only on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τ, the spin polarization remains valley dependent. Increasing </w:t>
      </w:r>
      <w:r>
        <w:rPr>
          <w:rFonts w:ascii="Cambria Math" w:hAnsi="Cambria Math" w:cs="Cambria Math"/>
          <w:szCs w:val="24"/>
        </w:rPr>
        <w:t>△</w:t>
      </w:r>
      <w:r>
        <w:rPr>
          <w:szCs w:val="24"/>
          <w:vertAlign w:val="subscript"/>
        </w:rPr>
        <w:t>ex</w:t>
      </w:r>
      <w:r>
        <w:rPr>
          <w:szCs w:val="24"/>
        </w:rPr>
        <w:t xml:space="preserve"> rotates the electron spin from out-of-plane toward the in-plane direction, </w:t>
      </w:r>
      <w:r>
        <w:rPr>
          <w:rFonts w:hint="eastAsia"/>
          <w:szCs w:val="24"/>
          <w:lang w:eastAsia="zh-CN"/>
        </w:rPr>
        <w:t xml:space="preserve">which results in a gradual </w:t>
      </w:r>
      <w:r>
        <w:rPr>
          <w:szCs w:val="24"/>
        </w:rPr>
        <w:t xml:space="preserve">suppressing </w:t>
      </w:r>
      <w:r>
        <w:rPr>
          <w:rFonts w:hint="eastAsia"/>
          <w:szCs w:val="24"/>
          <w:lang w:eastAsia="zh-CN"/>
        </w:rPr>
        <w:t xml:space="preserve">of the </w:t>
      </w:r>
      <w:r>
        <w:rPr>
          <w:szCs w:val="24"/>
        </w:rPr>
        <w:t>valley-selective optical responses.</w:t>
      </w:r>
    </w:p>
    <w:p w14:paraId="17D531AF">
      <w:pPr>
        <w:spacing w:line="480" w:lineRule="auto"/>
        <w:jc w:val="both"/>
        <w:rPr>
          <w:szCs w:val="24"/>
          <w:lang w:eastAsia="zh-CN"/>
        </w:rPr>
      </w:pPr>
      <w:r>
        <w:rPr>
          <w:szCs w:val="24"/>
          <w:lang w:eastAsia="zh-CN"/>
        </w:rPr>
        <w:t>In a CrSBr/WSe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  <w:lang w:eastAsia="zh-CN"/>
        </w:rPr>
        <w:t xml:space="preserve"> heterostructure</w:t>
      </w:r>
      <w:r>
        <w:rPr>
          <w:rFonts w:hint="eastAsia"/>
          <w:szCs w:val="24"/>
          <w:lang w:eastAsia="zh-CN"/>
        </w:rPr>
        <w:t xml:space="preserve"> with the </w:t>
      </w:r>
      <w:r>
        <w:rPr>
          <w:szCs w:val="24"/>
          <w:lang w:eastAsia="zh-CN"/>
        </w:rPr>
        <w:t>type-II</w:t>
      </w:r>
      <w:r>
        <w:rPr>
          <w:rFonts w:hint="eastAsia"/>
          <w:szCs w:val="24"/>
          <w:lang w:eastAsia="zh-CN"/>
        </w:rPr>
        <w:t xml:space="preserve"> band alignment</w:t>
      </w:r>
      <w:r>
        <w:rPr>
          <w:szCs w:val="24"/>
          <w:lang w:eastAsia="zh-CN"/>
        </w:rPr>
        <w:t>, interlayer charge or exciton transfer can be described within the framework of Fermi’s golden rule. The spin-</w:t>
      </w:r>
      <w:r>
        <w:rPr>
          <w:rFonts w:hint="eastAsia"/>
          <w:szCs w:val="24"/>
          <w:lang w:eastAsia="zh-CN"/>
        </w:rPr>
        <w:t>selective</w:t>
      </w:r>
      <w:r>
        <w:rPr>
          <w:szCs w:val="24"/>
          <w:lang w:eastAsia="zh-CN"/>
        </w:rPr>
        <w:t xml:space="preserve"> interlayer transfer rate</w:t>
      </w:r>
      <w:r>
        <w:rPr>
          <w:rFonts w:hint="eastAsia"/>
          <w:szCs w:val="24"/>
          <w:lang w:eastAsia="zh-CN"/>
        </w:rPr>
        <w:t xml:space="preserve"> (</w:t>
      </w:r>
      <m:oMath>
        <m:r>
          <m:rPr>
            <m:sty m:val="p"/>
          </m:rPr>
          <w:rPr>
            <w:rFonts w:ascii="Cambria Math" w:hAnsi="Cambria Math"/>
            <w:szCs w:val="24"/>
          </w:rPr>
          <m:t>η</m:t>
        </m:r>
      </m:oMath>
      <w:r>
        <w:rPr>
          <w:rFonts w:hint="eastAsia"/>
          <w:szCs w:val="24"/>
          <w:lang w:eastAsia="zh-CN"/>
        </w:rPr>
        <w:t>)</w:t>
      </w:r>
      <w:r>
        <w:rPr>
          <w:szCs w:val="24"/>
          <w:lang w:eastAsia="zh-CN"/>
        </w:rPr>
        <w:t xml:space="preserve"> is given by</w:t>
      </w:r>
    </w:p>
    <w:p w14:paraId="68DFC07E">
      <w:pPr>
        <w:spacing w:line="480" w:lineRule="auto"/>
        <w:jc w:val="both"/>
        <w:rPr>
          <w:szCs w:val="24"/>
          <w:lang w:eastAsia="zh-CN"/>
        </w:rPr>
      </w:pPr>
      <m:oMath>
        <m:eqArr>
          <m:eqArrPr>
            <m:maxDist m:val="1"/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eqArr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plcHide m:val="1"/>
                <m:ctrlPr>
                  <w:rPr>
                    <w:rFonts w:ascii="Cambria Math" w:hAnsi="Cambria Math"/>
                    <w:szCs w:val="24"/>
                    <w:lang w:eastAsia="zh-CN"/>
                  </w:rPr>
                </m:ctrlPr>
              </m:mPr>
              <m:mr>
                <m:e>
                  <m:ctrlPr>
                    <w:rPr>
                      <w:rFonts w:ascii="Cambria Math" w:hAnsi="Cambria Math"/>
                      <w:szCs w:val="24"/>
                      <w:lang w:eastAsia="zh-CN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η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inter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/>
                      <w:szCs w:val="24"/>
                      <w:lang w:eastAsia="zh-CN"/>
                    </w:rPr>
                    <m:t>∝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eastAsia="zh-CN"/>
                    </w:rPr>
                    <m:t>∣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0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∣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a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b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E</m:t>
                      </m:r>
                      <m:ctrlPr>
                        <w:rPr>
                          <w:rFonts w:ascii="Cambria Math" w:hAnsi="Cambria Math"/>
                          <w:i/>
                          <w:szCs w:val="24"/>
                          <w:lang w:eastAsia="zh-CN"/>
                        </w:rPr>
                      </m:ctrlP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∣</m:t>
                      </m:r>
                      <m:d>
                        <m:dPr>
                          <m:begChr m:val="⟨"/>
                          <m:sepChr m:val="∣"/>
                          <m:endChr m:val="⟩"/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  <m:t>χ</m:t>
                              </m: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  <m:t>σ</m:t>
                              </m: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  <m:t>a</m:t>
                                  </m: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up>
                          </m:sSubSup>
                          <m:ctrlPr>
                            <w:rPr>
                              <w:rFonts w:ascii="Cambria Math" w:hAnsi="Cambria Math"/>
                              <w:szCs w:val="24"/>
                              <w:lang w:eastAsia="zh-CN"/>
                            </w:rPr>
                          </m:ctrlPr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  <m:t>χ</m:t>
                              </m: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  <m:t>σ</m:t>
                              </m:r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  <m:t>b</m:t>
                                  </m: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  <w:lang w:eastAsia="zh-CN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szCs w:val="24"/>
                                  <w:lang w:eastAsia="zh-CN"/>
                                </w:rPr>
                              </m:ctrlPr>
                            </m:sup>
                          </m:sSubSup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eastAsia="zh-CN"/>
                            </w:rPr>
                          </m:ctrlPr>
                        </m:e>
                      </m:d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∣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  <w:szCs w:val="24"/>
                          <w:lang w:eastAsia="zh-CN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szCs w:val="24"/>
                          <w:lang w:eastAsia="zh-CN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szCs w:val="24"/>
                      <w:lang w:eastAsia="zh-CN"/>
                    </w:rPr>
                  </m:ctrlPr>
                </m:e>
                <m:e>
                  <m:ctrlPr>
                    <w:rPr>
                      <w:rFonts w:ascii="Cambria Math" w:hAnsi="Cambria Math"/>
                      <w:szCs w:val="24"/>
                      <w:lang w:eastAsia="zh-CN"/>
                    </w:rPr>
                  </m:ctrlPr>
                </m:e>
                <m:e>
                  <m:ctrlPr>
                    <w:rPr>
                      <w:rFonts w:ascii="Cambria Math" w:hAnsi="Cambria Math"/>
                      <w:szCs w:val="24"/>
                      <w:lang w:eastAsia="zh-CN"/>
                    </w:rPr>
                  </m:ctrlPr>
                </m:e>
              </m:mr>
            </m:m>
            <m:r>
              <m:rPr/>
              <w:rPr>
                <w:rFonts w:ascii="Cambria Math" w:hAnsi="Cambria Math"/>
                <w:szCs w:val="24"/>
                <w:lang w:eastAsia="zh-CN"/>
              </w:rPr>
              <m:t>#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  <w:lang w:eastAsia="zh-CN"/>
                  </w:rPr>
                </m:ctrlPr>
              </m:dPr>
              <m:e>
                <m:r>
                  <m:rPr/>
                  <w:rPr>
                    <w:rFonts w:ascii="Cambria Math" w:hAnsi="Cambria Math"/>
                    <w:szCs w:val="24"/>
                    <w:lang w:eastAsia="zh-CN"/>
                  </w:rPr>
                  <m:t>S8</m:t>
                </m:r>
                <m:ctrlPr>
                  <w:rPr>
                    <w:rFonts w:ascii="Cambria Math" w:hAnsi="Cambria Math"/>
                    <w:i/>
                    <w:szCs w:val="24"/>
                    <w:lang w:eastAsia="zh-CN"/>
                  </w:rPr>
                </m:ctrlPr>
              </m:e>
            </m:d>
            <m:ctrlPr>
              <w:rPr>
                <w:rFonts w:ascii="Cambria Math" w:hAnsi="Cambria Math"/>
                <w:i/>
                <w:szCs w:val="24"/>
                <w:lang w:eastAsia="zh-CN"/>
              </w:rPr>
            </m:ctrlPr>
          </m:e>
        </m:eqArr>
      </m:oMath>
      <w:r>
        <w:rPr>
          <w:szCs w:val="24"/>
          <w:lang w:eastAsia="zh-CN"/>
        </w:rPr>
        <w:t xml:space="preserve">where </w:t>
      </w:r>
      <m:oMath>
        <m:sSub>
          <m:sSubPr>
            <m:ctrlPr>
              <w:rPr>
                <w:rFonts w:ascii="Cambria Math" w:hAnsi="Cambria Math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/>
                <w:szCs w:val="24"/>
                <w:lang w:eastAsia="zh-CN"/>
              </w:rPr>
              <m:t>t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/>
                <w:szCs w:val="24"/>
                <w:lang w:eastAsia="zh-CN"/>
              </w:rPr>
              <m:t>0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sub>
        </m:sSub>
      </m:oMath>
      <w:r>
        <w:rPr>
          <w:szCs w:val="24"/>
          <w:lang w:eastAsia="zh-CN"/>
        </w:rPr>
        <w:t xml:space="preserve">is the interlayer tunneling matrix element, </w:t>
      </w:r>
      <m:oMath>
        <m:sSub>
          <m:sSubPr>
            <m:ctrlPr>
              <w:rPr>
                <w:rFonts w:ascii="Cambria Math" w:hAnsi="Cambria Math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/>
                <w:szCs w:val="24"/>
                <w:lang w:eastAsia="zh-CN"/>
              </w:rPr>
              <m:t>D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/>
                <w:szCs w:val="24"/>
                <w:lang w:eastAsia="zh-CN"/>
              </w:rPr>
              <m:t>a,b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sub>
        </m:sSub>
        <m:r>
          <m:rPr/>
          <w:rPr>
            <w:rFonts w:ascii="Cambria Math" w:hAnsi="Cambria Math"/>
            <w:szCs w:val="24"/>
            <w:lang w:eastAsia="zh-CN"/>
          </w:rPr>
          <m:t>(E)</m:t>
        </m:r>
      </m:oMath>
      <w:r>
        <w:rPr>
          <w:szCs w:val="24"/>
          <w:lang w:eastAsia="zh-CN"/>
        </w:rPr>
        <w:t xml:space="preserve">are the densities of states of the two layers, and </w:t>
      </w:r>
      <m:oMath>
        <m:r>
          <m:rPr>
            <m:sty m:val="p"/>
          </m:rPr>
          <w:rPr>
            <w:rFonts w:ascii="Cambria Math" w:hAnsi="Cambria Math"/>
            <w:szCs w:val="24"/>
            <w:lang w:eastAsia="zh-CN"/>
          </w:rPr>
          <m:t>∣</m:t>
        </m:r>
        <m:sSubSup>
          <m:sSubSupPr>
            <m:ctrlPr>
              <w:rPr>
                <w:rFonts w:ascii="Cambria Math" w:hAnsi="Cambria Math"/>
                <w:szCs w:val="24"/>
                <w:lang w:eastAsia="zh-CN"/>
              </w:rPr>
            </m:ctrlPr>
          </m:sSubSupPr>
          <m:e>
            <m:r>
              <m:rPr/>
              <w:rPr>
                <w:rFonts w:ascii="Cambria Math" w:hAnsi="Cambria Math"/>
                <w:szCs w:val="24"/>
                <w:lang w:eastAsia="zh-CN"/>
              </w:rPr>
              <m:t>χ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/>
                <w:szCs w:val="24"/>
                <w:lang w:eastAsia="zh-CN"/>
              </w:rPr>
              <m:t>σ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sub>
          <m:sup>
            <m:d>
              <m:dPr>
                <m:sepChr m:val=","/>
                <m:ctrlPr>
                  <w:rPr>
                    <w:rFonts w:ascii="Cambria Math" w:hAnsi="Cambria Math"/>
                    <w:szCs w:val="24"/>
                    <w:lang w:eastAsia="zh-CN"/>
                  </w:rPr>
                </m:ctrlPr>
              </m:dPr>
              <m:e>
                <m:r>
                  <m:rPr/>
                  <w:rPr>
                    <w:rFonts w:ascii="Cambria Math" w:hAnsi="Cambria Math"/>
                    <w:szCs w:val="24"/>
                    <w:lang w:eastAsia="zh-CN"/>
                  </w:rPr>
                  <m:t>a</m:t>
                </m:r>
                <m:ctrlPr>
                  <w:rPr>
                    <w:rFonts w:ascii="Cambria Math" w:hAnsi="Cambria Math"/>
                    <w:szCs w:val="24"/>
                    <w:lang w:eastAsia="zh-CN"/>
                  </w:rPr>
                </m:ctrlPr>
              </m:e>
              <m:e>
                <m:r>
                  <m:rPr/>
                  <w:rPr>
                    <w:rFonts w:ascii="Cambria Math" w:hAnsi="Cambria Math"/>
                    <w:szCs w:val="24"/>
                    <w:lang w:eastAsia="zh-CN"/>
                  </w:rPr>
                  <m:t>b</m:t>
                </m:r>
                <m:ctrlPr>
                  <w:rPr>
                    <w:rFonts w:ascii="Cambria Math" w:hAnsi="Cambria Math"/>
                    <w:szCs w:val="24"/>
                    <w:lang w:eastAsia="zh-CN"/>
                  </w:rPr>
                </m:ctrlPr>
              </m:e>
            </m:d>
            <m:ctrlPr>
              <w:rPr>
                <w:rFonts w:ascii="Cambria Math" w:hAnsi="Cambria Math"/>
                <w:szCs w:val="24"/>
                <w:lang w:eastAsia="zh-CN"/>
              </w:rPr>
            </m:ctrlPr>
          </m:sup>
        </m:sSubSup>
        <m:r>
          <m:rPr/>
          <w:rPr>
            <w:rFonts w:ascii="Cambria Math" w:hAnsi="Cambria Math"/>
            <w:szCs w:val="24"/>
            <w:lang w:eastAsia="zh-CN"/>
          </w:rPr>
          <m:t>⟩</m:t>
        </m:r>
      </m:oMath>
      <w:r>
        <w:rPr>
          <w:szCs w:val="24"/>
          <w:lang w:eastAsia="zh-CN"/>
        </w:rPr>
        <w:t xml:space="preserve">denote the spin eigenstates. The overlap term explicitly depends on the relative spin orientation; for a canting angle </w:t>
      </w:r>
      <m:oMath>
        <m:r>
          <m:rPr/>
          <w:rPr>
            <w:rFonts w:ascii="Cambria Math" w:hAnsi="Cambria Math"/>
            <w:szCs w:val="24"/>
            <w:lang w:eastAsia="zh-CN"/>
          </w:rPr>
          <m:t>θ</m:t>
        </m:r>
      </m:oMath>
      <w:r>
        <w:rPr>
          <w:rFonts w:hint="eastAsia" w:hAnsi="Cambria Math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between the spin quantization axes, it scales as </w:t>
      </w:r>
      <m:oMath>
        <m:sSup>
          <m:sSupPr>
            <m:ctrlPr>
              <w:rPr>
                <w:rFonts w:ascii="Cambria Math" w:hAnsi="Cambria Math"/>
                <w:szCs w:val="24"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eastAsia="zh-CN"/>
              </w:rPr>
              <m:t>cos</m:t>
            </m:r>
            <m:r>
              <m:rPr/>
              <w:rPr>
                <w:rFonts w:ascii="Cambria Math" w:hAnsi="Cambria Math"/>
                <w:szCs w:val="24"/>
                <w:lang w:eastAsia="zh-CN"/>
              </w:rPr>
              <m:t>⁡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e>
          <m:sup>
            <m:r>
              <m:rPr/>
              <w:rPr>
                <w:rFonts w:ascii="Cambria Math" w:hAnsi="Cambria Math"/>
                <w:szCs w:val="24"/>
                <w:lang w:eastAsia="zh-CN"/>
              </w:rPr>
              <m:t>2</m:t>
            </m:r>
            <m:ctrlPr>
              <w:rPr>
                <w:rFonts w:ascii="Cambria Math" w:hAnsi="Cambria Math"/>
                <w:szCs w:val="24"/>
                <w:lang w:eastAsia="zh-CN"/>
              </w:rPr>
            </m:ctrlPr>
          </m:sup>
        </m:sSup>
        <m:r>
          <m:rPr/>
          <w:rPr>
            <w:rFonts w:ascii="Cambria Math" w:hAnsi="Cambria Math"/>
            <w:szCs w:val="24"/>
            <w:lang w:eastAsia="zh-CN"/>
          </w:rPr>
          <m:t>(θ</m:t>
        </m:r>
        <m:r>
          <m:rPr>
            <m:sty m:val="p"/>
          </m:rPr>
          <w:rPr>
            <w:rFonts w:ascii="Cambria Math" w:hAnsi="Cambria Math"/>
            <w:szCs w:val="24"/>
            <w:lang w:eastAsia="zh-CN"/>
          </w:rPr>
          <m:t>/</m:t>
        </m:r>
        <m:r>
          <m:rPr/>
          <w:rPr>
            <w:rFonts w:ascii="Cambria Math" w:hAnsi="Cambria Math"/>
            <w:szCs w:val="24"/>
            <w:lang w:eastAsia="zh-CN"/>
          </w:rPr>
          <m:t>2)</m:t>
        </m:r>
      </m:oMath>
      <w:r>
        <w:rPr>
          <w:szCs w:val="24"/>
          <w:lang w:eastAsia="zh-CN"/>
        </w:rPr>
        <w:t>.</w:t>
      </w:r>
      <w:r>
        <w:rPr>
          <w:rFonts w:hint="eastAsia"/>
          <w:szCs w:val="24"/>
          <w:vertAlign w:val="superscript"/>
          <w:lang w:eastAsia="zh-CN"/>
        </w:rPr>
        <w:t>14-16</w:t>
      </w:r>
    </w:p>
    <w:p w14:paraId="6AE88B45">
      <w:pPr>
        <w:spacing w:line="480" w:lineRule="auto"/>
        <w:jc w:val="both"/>
        <w:rPr>
          <w:szCs w:val="24"/>
          <w:lang w:eastAsia="zh-CN"/>
        </w:rPr>
      </w:pPr>
      <w:r>
        <w:rPr>
          <w:szCs w:val="24"/>
          <w:lang w:eastAsia="zh-CN"/>
        </w:rPr>
        <w:t xml:space="preserve">Consequently, </w:t>
      </w:r>
      <w:r>
        <w:rPr>
          <w:rFonts w:hint="eastAsia"/>
          <w:szCs w:val="24"/>
          <w:lang w:eastAsia="zh-CN"/>
        </w:rPr>
        <w:t>magnetic-</w:t>
      </w:r>
      <w:r>
        <w:rPr>
          <w:szCs w:val="24"/>
          <w:lang w:eastAsia="zh-CN"/>
        </w:rPr>
        <w:t>proximity-induced spin canting in</w:t>
      </w:r>
      <w:r>
        <w:rPr>
          <w:rFonts w:hint="eastAsia"/>
          <w:szCs w:val="24"/>
          <w:lang w:eastAsia="zh-CN"/>
        </w:rPr>
        <w:t xml:space="preserve"> 1L</w:t>
      </w:r>
      <w:r>
        <w:rPr>
          <w:szCs w:val="24"/>
          <w:lang w:eastAsia="zh-CN"/>
        </w:rPr>
        <w:t xml:space="preserve">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leads to </w:t>
      </w:r>
      <w:r>
        <w:rPr>
          <w:rFonts w:hint="eastAsia"/>
          <w:szCs w:val="24"/>
          <w:lang w:eastAsia="zh-CN"/>
        </w:rPr>
        <w:t xml:space="preserve">the </w:t>
      </w:r>
      <w:r>
        <w:rPr>
          <w:szCs w:val="24"/>
          <w:lang w:eastAsia="zh-CN"/>
        </w:rPr>
        <w:t>spin-selective interlayer</w:t>
      </w:r>
      <w:r>
        <w:rPr>
          <w:rFonts w:hint="eastAsia"/>
          <w:szCs w:val="24"/>
          <w:lang w:eastAsia="zh-CN"/>
        </w:rPr>
        <w:t xml:space="preserve"> charge</w:t>
      </w:r>
      <w:r>
        <w:rPr>
          <w:szCs w:val="24"/>
          <w:lang w:eastAsia="zh-CN"/>
        </w:rPr>
        <w:t xml:space="preserve"> transfer</w:t>
      </w:r>
      <w:r>
        <w:rPr>
          <w:rFonts w:hint="eastAsia"/>
          <w:szCs w:val="24"/>
          <w:lang w:eastAsia="zh-CN"/>
        </w:rPr>
        <w:t xml:space="preserve"> and</w:t>
      </w:r>
      <w:r>
        <w:rPr>
          <w:szCs w:val="24"/>
          <w:lang w:eastAsia="zh-CN"/>
        </w:rPr>
        <w:t xml:space="preserve"> polarization-dependent photoluminescence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in CrSBr/WSe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  <w:lang w:eastAsia="zh-CN"/>
        </w:rPr>
        <w:t xml:space="preserve"> heterostructures, even in the absence of an out-of-plane magnetic field.</w:t>
      </w:r>
      <w:r>
        <w:rPr>
          <w:szCs w:val="24"/>
        </w:rPr>
        <w:t xml:space="preserve"> </w:t>
      </w:r>
    </w:p>
    <w:p w14:paraId="7633CCAD">
      <w:pPr>
        <w:pStyle w:val="141"/>
        <w:spacing w:line="312" w:lineRule="auto"/>
        <w:ind w:firstLine="0"/>
        <w:rPr>
          <w:szCs w:val="24"/>
          <w:lang w:eastAsia="zh-CN"/>
        </w:rPr>
      </w:pPr>
    </w:p>
    <w:p w14:paraId="439682C1">
      <w:pPr>
        <w:jc w:val="both"/>
      </w:pPr>
      <w:r>
        <w:br w:type="page"/>
      </w:r>
    </w:p>
    <w:p w14:paraId="00230B0C">
      <w:pPr>
        <w:pStyle w:val="142"/>
        <w:jc w:val="center"/>
      </w:pPr>
      <w:r>
        <w:drawing>
          <wp:inline distT="0" distB="0" distL="0" distR="0">
            <wp:extent cx="4224020" cy="3825240"/>
            <wp:effectExtent l="0" t="0" r="5080" b="3810"/>
            <wp:docPr id="144596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3119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722C">
      <w:pPr>
        <w:pStyle w:val="139"/>
        <w:jc w:val="both"/>
      </w:pPr>
      <w:r>
        <w:rPr>
          <w:rFonts w:hint="eastAsia"/>
          <w:lang w:val="en-US" w:eastAsia="zh-CN"/>
        </w:rPr>
        <w:t>F</w:t>
      </w:r>
      <w:r>
        <w:t>ig. S1.</w:t>
      </w:r>
      <w:r>
        <w:rPr>
          <w:sz w:val="22"/>
          <w:szCs w:val="22"/>
        </w:rPr>
        <w:t xml:space="preserve"> </w:t>
      </w:r>
      <w:r>
        <w:rPr>
          <w:rFonts w:hint="eastAsia"/>
          <w:lang w:eastAsia="zh-CN"/>
        </w:rPr>
        <w:t>Morphology</w:t>
      </w:r>
      <w:r>
        <w:t xml:space="preserve"> characterization of the CrSBr</w:t>
      </w:r>
      <w:r>
        <w:rPr>
          <w:rFonts w:hint="eastAsia"/>
          <w:lang w:eastAsia="zh-CN"/>
        </w:rPr>
        <w:t>/</w:t>
      </w:r>
      <w:r>
        <w:t>WSe</w:t>
      </w:r>
      <w:r>
        <w:rPr>
          <w:rFonts w:hint="eastAsia"/>
          <w:vertAlign w:val="subscript"/>
          <w:lang w:eastAsia="zh-CN"/>
        </w:rPr>
        <w:t>2</w:t>
      </w:r>
      <w:r>
        <w:t xml:space="preserve"> heterostructure.</w:t>
      </w:r>
    </w:p>
    <w:p w14:paraId="4407DF46">
      <w:pPr>
        <w:pStyle w:val="142"/>
        <w:jc w:val="both"/>
        <w:rPr>
          <w:szCs w:val="24"/>
        </w:rPr>
      </w:pPr>
      <w:r>
        <w:rPr>
          <w:rFonts w:hint="eastAsia"/>
          <w:b/>
          <w:bCs/>
          <w:szCs w:val="24"/>
          <w:lang w:eastAsia="zh-CN"/>
        </w:rPr>
        <w:t>a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Optical (upper) and f</w:t>
      </w:r>
      <w:r>
        <w:rPr>
          <w:szCs w:val="24"/>
        </w:rPr>
        <w:t xml:space="preserve">luorescence </w:t>
      </w:r>
      <w:r>
        <w:rPr>
          <w:rFonts w:hint="eastAsia"/>
          <w:szCs w:val="24"/>
          <w:lang w:eastAsia="zh-CN"/>
        </w:rPr>
        <w:t xml:space="preserve">(lower) </w:t>
      </w:r>
      <w:r>
        <w:rPr>
          <w:szCs w:val="24"/>
        </w:rPr>
        <w:t>imag</w:t>
      </w:r>
      <w:r>
        <w:rPr>
          <w:rFonts w:hint="eastAsia"/>
          <w:szCs w:val="24"/>
          <w:lang w:eastAsia="zh-CN"/>
        </w:rPr>
        <w:t>es</w:t>
      </w:r>
      <w:r>
        <w:rPr>
          <w:szCs w:val="24"/>
        </w:rPr>
        <w:t xml:space="preserve"> of </w:t>
      </w:r>
      <w:r>
        <w:rPr>
          <w:rFonts w:hint="eastAsia"/>
          <w:szCs w:val="24"/>
          <w:lang w:eastAsia="zh-CN"/>
        </w:rPr>
        <w:t xml:space="preserve">the 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>/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heterostructure shown in Fig. 1a. </w:t>
      </w:r>
      <w:r>
        <w:rPr>
          <w:rFonts w:hint="eastAsia"/>
          <w:szCs w:val="24"/>
          <w:lang w:eastAsia="zh-CN"/>
        </w:rPr>
        <w:t>The uniform f</w:t>
      </w:r>
      <w:r>
        <w:rPr>
          <w:szCs w:val="24"/>
        </w:rPr>
        <w:t>luorescence</w:t>
      </w:r>
      <w:r>
        <w:rPr>
          <w:rFonts w:hint="eastAsia"/>
          <w:szCs w:val="24"/>
          <w:lang w:eastAsia="zh-CN"/>
        </w:rPr>
        <w:t xml:space="preserve"> at different region shows a high quality of this sample. </w:t>
      </w:r>
      <w:r>
        <w:rPr>
          <w:rFonts w:hint="eastAsia"/>
          <w:b/>
          <w:bCs/>
          <w:szCs w:val="24"/>
          <w:lang w:eastAsia="zh-CN"/>
        </w:rPr>
        <w:t>b</w:t>
      </w:r>
      <w:r>
        <w:rPr>
          <w:szCs w:val="24"/>
        </w:rPr>
        <w:t xml:space="preserve"> Atomic force microscopy (AFM) image of the same heterostructure. The height </w:t>
      </w:r>
      <w:r>
        <w:rPr>
          <w:rFonts w:hint="eastAsia"/>
          <w:szCs w:val="24"/>
          <w:lang w:eastAsia="zh-CN"/>
        </w:rPr>
        <w:t>measured</w:t>
      </w:r>
      <w:r>
        <w:rPr>
          <w:szCs w:val="24"/>
        </w:rPr>
        <w:t xml:space="preserve"> along the </w:t>
      </w:r>
      <w:r>
        <w:rPr>
          <w:rFonts w:hint="eastAsia"/>
          <w:szCs w:val="24"/>
          <w:lang w:eastAsia="zh-CN"/>
        </w:rPr>
        <w:t>yellow-dashed</w:t>
      </w:r>
      <w:r>
        <w:rPr>
          <w:szCs w:val="24"/>
        </w:rPr>
        <w:t xml:space="preserve"> line </w:t>
      </w:r>
      <w:r>
        <w:rPr>
          <w:rFonts w:hint="eastAsia"/>
          <w:szCs w:val="24"/>
          <w:lang w:eastAsia="zh-CN"/>
        </w:rPr>
        <w:t>is ~1nm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 xml:space="preserve">which indicates a close contact between 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 xml:space="preserve"> and 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in the heterostructure region.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rFonts w:hint="eastAsia"/>
          <w:szCs w:val="24"/>
          <w:lang w:eastAsia="zh-CN"/>
        </w:rPr>
        <w:t xml:space="preserve"> and </w:t>
      </w:r>
      <w:r>
        <w:rPr>
          <w:rFonts w:hint="eastAsia"/>
          <w:b/>
          <w:bCs/>
          <w:szCs w:val="24"/>
          <w:lang w:eastAsia="zh-CN"/>
        </w:rPr>
        <w:t>d</w:t>
      </w:r>
      <w:r>
        <w:rPr>
          <w:rFonts w:hint="eastAsia"/>
          <w:szCs w:val="24"/>
          <w:lang w:eastAsia="zh-CN"/>
        </w:rPr>
        <w:t xml:space="preserve"> Optical </w:t>
      </w:r>
      <w:r>
        <w:rPr>
          <w:szCs w:val="24"/>
        </w:rPr>
        <w:t>imag</w:t>
      </w:r>
      <w:r>
        <w:rPr>
          <w:rFonts w:hint="eastAsia"/>
          <w:szCs w:val="24"/>
          <w:lang w:eastAsia="zh-CN"/>
        </w:rPr>
        <w:t>es (upper) and f</w:t>
      </w:r>
      <w:r>
        <w:rPr>
          <w:szCs w:val="24"/>
        </w:rPr>
        <w:t xml:space="preserve">luorescence </w:t>
      </w:r>
      <w:r>
        <w:rPr>
          <w:rFonts w:hint="eastAsia"/>
          <w:szCs w:val="24"/>
          <w:lang w:eastAsia="zh-CN"/>
        </w:rPr>
        <w:t xml:space="preserve">(lower) </w:t>
      </w:r>
      <w:r>
        <w:rPr>
          <w:szCs w:val="24"/>
        </w:rPr>
        <w:t>imag</w:t>
      </w:r>
      <w:r>
        <w:rPr>
          <w:rFonts w:hint="eastAsia"/>
          <w:szCs w:val="24"/>
          <w:lang w:eastAsia="zh-CN"/>
        </w:rPr>
        <w:t>es</w:t>
      </w:r>
      <w:r>
        <w:rPr>
          <w:szCs w:val="24"/>
        </w:rPr>
        <w:t xml:space="preserve"> of </w:t>
      </w:r>
      <w:r>
        <w:rPr>
          <w:rFonts w:hint="eastAsia"/>
          <w:szCs w:val="24"/>
          <w:lang w:eastAsia="zh-CN"/>
        </w:rPr>
        <w:t>the 2</w:t>
      </w:r>
      <w:r>
        <w:rPr>
          <w:szCs w:val="24"/>
        </w:rPr>
        <w:t>L</w:t>
      </w:r>
      <w:r>
        <w:rPr>
          <w:rFonts w:hint="eastAsia"/>
          <w:szCs w:val="24"/>
        </w:rPr>
        <w:t>-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>/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and 3</w:t>
      </w:r>
      <w:r>
        <w:rPr>
          <w:szCs w:val="24"/>
        </w:rPr>
        <w:t>L</w:t>
      </w:r>
      <w:r>
        <w:rPr>
          <w:rFonts w:hint="eastAsia"/>
          <w:szCs w:val="24"/>
        </w:rPr>
        <w:t>-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>/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>heterostructure</w:t>
      </w:r>
      <w:r>
        <w:rPr>
          <w:rFonts w:hint="eastAsia"/>
          <w:szCs w:val="24"/>
          <w:lang w:eastAsia="zh-CN"/>
        </w:rPr>
        <w:t>, respectively.</w:t>
      </w:r>
    </w:p>
    <w:p w14:paraId="7D0D47C2">
      <w:pPr>
        <w:jc w:val="both"/>
        <w:rPr>
          <w:szCs w:val="24"/>
        </w:rPr>
      </w:pPr>
      <w:r>
        <w:rPr>
          <w:szCs w:val="24"/>
        </w:rPr>
        <w:br w:type="page"/>
      </w:r>
    </w:p>
    <w:p w14:paraId="0186DAB0">
      <w:pPr>
        <w:pStyle w:val="142"/>
        <w:jc w:val="center"/>
      </w:pPr>
      <w:r>
        <w:drawing>
          <wp:inline distT="0" distB="0" distL="0" distR="0">
            <wp:extent cx="5731510" cy="1741170"/>
            <wp:effectExtent l="0" t="0" r="2540" b="0"/>
            <wp:docPr id="13582887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88777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3322">
      <w:pPr>
        <w:pStyle w:val="139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r>
        <w:t>ig. S2.</w:t>
      </w:r>
      <w:r>
        <w:rPr>
          <w:rFonts w:hint="eastAsia"/>
          <w:lang w:eastAsia="zh-CN"/>
        </w:rPr>
        <w:t xml:space="preserve"> </w:t>
      </w:r>
      <w:r>
        <w:t xml:space="preserve">Optical properties </w:t>
      </w:r>
      <w:r>
        <w:rPr>
          <w:rFonts w:hint="eastAsia"/>
          <w:lang w:eastAsia="zh-CN"/>
        </w:rPr>
        <w:t xml:space="preserve">of the </w:t>
      </w:r>
      <w:r>
        <w:rPr>
          <w:lang w:eastAsia="zh-CN"/>
        </w:rPr>
        <w:t>CrSBr/WSe</w:t>
      </w:r>
      <w:r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heterostructure </w:t>
      </w:r>
      <w:r>
        <w:t>on quartz substrates.</w:t>
      </w:r>
      <w:r>
        <w:rPr>
          <w:rFonts w:hint="eastAsia"/>
          <w:lang w:eastAsia="zh-CN"/>
        </w:rPr>
        <w:t xml:space="preserve"> </w:t>
      </w:r>
    </w:p>
    <w:p w14:paraId="2A3664BD">
      <w:pPr>
        <w:jc w:val="both"/>
        <w:rPr>
          <w:lang w:eastAsia="zh-CN"/>
        </w:rPr>
      </w:pPr>
      <w:r>
        <w:rPr>
          <w:rFonts w:hint="eastAsia"/>
          <w:b/>
          <w:bCs/>
          <w:lang w:eastAsia="zh-CN"/>
        </w:rPr>
        <w:t>a</w:t>
      </w:r>
      <w:r>
        <w:rPr>
          <w:lang w:eastAsia="zh-CN"/>
        </w:rPr>
        <w:t xml:space="preserve"> Optical </w:t>
      </w:r>
      <w:r>
        <w:rPr>
          <w:rFonts w:hint="eastAsia"/>
          <w:lang w:eastAsia="zh-CN"/>
        </w:rPr>
        <w:t>image</w:t>
      </w:r>
      <w:r>
        <w:rPr>
          <w:lang w:eastAsia="zh-CN"/>
        </w:rPr>
        <w:t xml:space="preserve"> of the 1L-CrSBr</w:t>
      </w:r>
      <w:r>
        <w:rPr>
          <w:rFonts w:hint="eastAsia"/>
          <w:lang w:eastAsia="zh-CN"/>
        </w:rPr>
        <w:t>/</w:t>
      </w:r>
      <w:r>
        <w:rPr>
          <w:lang w:eastAsia="zh-CN"/>
        </w:rPr>
        <w:t>1L-WSe</w:t>
      </w:r>
      <w:r>
        <w:rPr>
          <w:rFonts w:hint="eastAsia"/>
          <w:vertAlign w:val="subscript"/>
          <w:lang w:eastAsia="zh-CN"/>
        </w:rPr>
        <w:t>2</w:t>
      </w:r>
      <w:r>
        <w:rPr>
          <w:lang w:eastAsia="zh-CN"/>
        </w:rPr>
        <w:t xml:space="preserve"> heterostructure fabricated on a quartz substrate. </w:t>
      </w:r>
      <w:r>
        <w:rPr>
          <w:rFonts w:hint="eastAsia"/>
          <w:b/>
          <w:bCs/>
          <w:lang w:eastAsia="zh-CN"/>
        </w:rPr>
        <w:t>b</w:t>
      </w:r>
      <w:r>
        <w:rPr>
          <w:lang w:eastAsia="zh-CN"/>
        </w:rPr>
        <w:t xml:space="preserve"> Absorption spectra </w:t>
      </w:r>
      <w:r>
        <w:rPr>
          <w:rFonts w:hint="eastAsia"/>
          <w:lang w:eastAsia="zh-CN"/>
        </w:rPr>
        <w:t>for this sample at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different </w:t>
      </w:r>
      <w:r>
        <w:rPr>
          <w:lang w:eastAsia="zh-CN"/>
        </w:rPr>
        <w:t>regions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at 4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K. </w:t>
      </w:r>
      <w:r>
        <w:rPr>
          <w:rFonts w:hint="eastAsia"/>
          <w:b/>
          <w:bCs/>
          <w:lang w:eastAsia="zh-CN"/>
        </w:rPr>
        <w:t>c</w:t>
      </w:r>
      <w:r>
        <w:rPr>
          <w:rFonts w:hint="eastAsia"/>
          <w:lang w:eastAsia="zh-CN"/>
        </w:rPr>
        <w:t xml:space="preserve"> Circularly-polarized </w:t>
      </w:r>
      <w:r>
        <w:rPr>
          <w:lang w:eastAsia="zh-CN"/>
        </w:rPr>
        <w:t xml:space="preserve">PL spectra </w:t>
      </w:r>
      <w:r>
        <w:rPr>
          <w:rFonts w:hint="eastAsia"/>
          <w:lang w:eastAsia="zh-CN"/>
        </w:rPr>
        <w:t>of 1L WSe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at different regions at 4 K.</w:t>
      </w:r>
    </w:p>
    <w:p w14:paraId="03C36D49">
      <w:pPr>
        <w:jc w:val="both"/>
      </w:pPr>
      <w:r>
        <w:br w:type="page"/>
      </w:r>
    </w:p>
    <w:p w14:paraId="7B443157">
      <w:pPr>
        <w:pStyle w:val="142"/>
        <w:jc w:val="center"/>
      </w:pPr>
      <w:r>
        <w:drawing>
          <wp:inline distT="0" distB="0" distL="0" distR="0">
            <wp:extent cx="5731510" cy="1640205"/>
            <wp:effectExtent l="0" t="0" r="2540" b="0"/>
            <wp:docPr id="6388257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25701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D86C">
      <w:pPr>
        <w:pStyle w:val="139"/>
        <w:jc w:val="both"/>
      </w:pPr>
      <w:r>
        <w:rPr>
          <w:rFonts w:hint="eastAsia"/>
          <w:lang w:val="en-US" w:eastAsia="zh-CN"/>
        </w:rPr>
        <w:t>F</w:t>
      </w:r>
      <w:r>
        <w:t>ig. S3.</w:t>
      </w:r>
      <w:r>
        <w:rPr>
          <w:sz w:val="22"/>
          <w:szCs w:val="22"/>
        </w:rPr>
        <w:t xml:space="preserve"> </w:t>
      </w:r>
      <w:r>
        <w:t xml:space="preserve">Optical properties </w:t>
      </w:r>
      <w:r>
        <w:rPr>
          <w:rFonts w:hint="eastAsia"/>
          <w:lang w:eastAsia="zh-CN"/>
        </w:rPr>
        <w:t xml:space="preserve">of the </w:t>
      </w:r>
      <w:r>
        <w:rPr>
          <w:lang w:eastAsia="zh-CN"/>
        </w:rPr>
        <w:t>CrSBr/</w:t>
      </w:r>
      <w:r>
        <w:rPr>
          <w:rFonts w:hint="eastAsia"/>
          <w:lang w:eastAsia="zh-CN"/>
        </w:rPr>
        <w:t>Mo</w:t>
      </w:r>
      <w:r>
        <w:rPr>
          <w:lang w:eastAsia="zh-CN"/>
        </w:rPr>
        <w:t>Se</w:t>
      </w:r>
      <w:r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heterostructure</w:t>
      </w:r>
      <w:r>
        <w:t>.</w:t>
      </w:r>
    </w:p>
    <w:p w14:paraId="00EC6235">
      <w:pPr>
        <w:pStyle w:val="142"/>
        <w:numPr>
          <w:ilvl w:val="255"/>
          <w:numId w:val="0"/>
        </w:numPr>
        <w:jc w:val="both"/>
        <w:rPr>
          <w:szCs w:val="24"/>
        </w:rPr>
      </w:pPr>
      <w:r>
        <w:rPr>
          <w:rFonts w:hint="eastAsia"/>
          <w:b/>
          <w:bCs/>
          <w:szCs w:val="24"/>
          <w:lang w:eastAsia="zh-CN"/>
        </w:rPr>
        <w:t>a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 xml:space="preserve">Optical </w:t>
      </w:r>
      <w:r>
        <w:rPr>
          <w:rFonts w:hint="eastAsia"/>
          <w:szCs w:val="24"/>
          <w:lang w:eastAsia="zh-CN"/>
        </w:rPr>
        <w:t>image</w:t>
      </w:r>
      <w:r>
        <w:rPr>
          <w:szCs w:val="24"/>
        </w:rPr>
        <w:t xml:space="preserve"> of</w:t>
      </w:r>
      <w:r>
        <w:rPr>
          <w:rFonts w:hint="eastAsia"/>
          <w:szCs w:val="24"/>
          <w:lang w:eastAsia="zh-CN"/>
        </w:rPr>
        <w:t xml:space="preserve"> a typical</w:t>
      </w:r>
      <w:r>
        <w:rPr>
          <w:szCs w:val="24"/>
        </w:rPr>
        <w:t xml:space="preserve"> 1L</w:t>
      </w:r>
      <w:r>
        <w:rPr>
          <w:rFonts w:hint="eastAsia"/>
          <w:szCs w:val="24"/>
        </w:rPr>
        <w:t>-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>/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MoSe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heterostructure fabricated on </w:t>
      </w:r>
      <w:r>
        <w:rPr>
          <w:rFonts w:hint="eastAsia"/>
          <w:szCs w:val="24"/>
          <w:lang w:eastAsia="zh-CN"/>
        </w:rPr>
        <w:t>the</w:t>
      </w:r>
      <w:r>
        <w:rPr>
          <w:szCs w:val="24"/>
        </w:rPr>
        <w:t xml:space="preserve"> Si/SiO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substrate</w:t>
      </w:r>
      <w:r>
        <w:rPr>
          <w:rFonts w:hint="eastAsia"/>
          <w:szCs w:val="24"/>
          <w:lang w:eastAsia="zh-CN"/>
        </w:rPr>
        <w:t xml:space="preserve">. </w:t>
      </w:r>
      <w:r>
        <w:rPr>
          <w:rFonts w:hint="eastAsia"/>
          <w:b/>
          <w:bCs/>
          <w:szCs w:val="24"/>
          <w:lang w:eastAsia="zh-CN"/>
        </w:rPr>
        <w:t>b</w:t>
      </w:r>
      <w:r>
        <w:rPr>
          <w:szCs w:val="24"/>
        </w:rPr>
        <w:t xml:space="preserve"> </w:t>
      </w:r>
      <w:r>
        <w:rPr>
          <w:rFonts w:hint="eastAsia"/>
          <w:lang w:eastAsia="zh-CN"/>
        </w:rPr>
        <w:t>Circularly-polarized PL</w:t>
      </w:r>
      <w:r>
        <w:rPr>
          <w:lang w:eastAsia="zh-CN"/>
        </w:rPr>
        <w:t xml:space="preserve"> spectra </w:t>
      </w:r>
      <w:r>
        <w:rPr>
          <w:rFonts w:hint="eastAsia"/>
          <w:lang w:eastAsia="zh-CN"/>
        </w:rPr>
        <w:t>of 1L MoSe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at different regions at 4 K.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lang w:eastAsia="zh-CN"/>
        </w:rPr>
        <w:t>Circularly-polarized PL</w:t>
      </w:r>
      <w:r>
        <w:rPr>
          <w:lang w:eastAsia="zh-CN"/>
        </w:rPr>
        <w:t xml:space="preserve"> spectra </w:t>
      </w:r>
      <w:r>
        <w:rPr>
          <w:rFonts w:hint="eastAsia"/>
          <w:lang w:eastAsia="zh-CN"/>
        </w:rPr>
        <w:t xml:space="preserve">of </w:t>
      </w:r>
      <w:r>
        <w:rPr>
          <w:lang w:eastAsia="zh-CN"/>
        </w:rPr>
        <w:t>individual</w:t>
      </w:r>
      <w:r>
        <w:rPr>
          <w:rFonts w:hint="eastAsia"/>
          <w:lang w:eastAsia="zh-CN"/>
        </w:rPr>
        <w:t xml:space="preserve"> 1L CrSBr </w:t>
      </w:r>
      <w:r>
        <w:rPr>
          <w:lang w:eastAsia="zh-CN"/>
        </w:rPr>
        <w:t>at 4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K</w:t>
      </w:r>
      <w:r>
        <w:rPr>
          <w:rFonts w:hint="eastAsia"/>
          <w:lang w:eastAsia="zh-CN"/>
        </w:rPr>
        <w:t>.</w:t>
      </w:r>
    </w:p>
    <w:p w14:paraId="07803CDD">
      <w:pPr>
        <w:pStyle w:val="142"/>
        <w:jc w:val="both"/>
      </w:pPr>
    </w:p>
    <w:p w14:paraId="5DAB97D6">
      <w:pPr>
        <w:jc w:val="both"/>
      </w:pPr>
      <w:r>
        <w:br w:type="page"/>
      </w:r>
    </w:p>
    <w:p w14:paraId="1AECC43E">
      <w:pPr>
        <w:pStyle w:val="142"/>
        <w:jc w:val="center"/>
      </w:pPr>
      <w:r>
        <w:drawing>
          <wp:inline distT="0" distB="0" distL="0" distR="0">
            <wp:extent cx="5731510" cy="1778000"/>
            <wp:effectExtent l="0" t="0" r="2540" b="0"/>
            <wp:docPr id="17440175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17525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FDD">
      <w:pPr>
        <w:pStyle w:val="139"/>
        <w:jc w:val="both"/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>4</w:t>
      </w:r>
      <w:r>
        <w:t>.</w:t>
      </w:r>
      <w:r>
        <w:rPr>
          <w:sz w:val="22"/>
          <w:szCs w:val="22"/>
        </w:rPr>
        <w:t xml:space="preserve"> </w:t>
      </w:r>
      <w:r>
        <w:t>T</w:t>
      </w:r>
      <w:r>
        <w:rPr>
          <w:rFonts w:hint="eastAsia"/>
          <w:lang w:eastAsia="zh-CN"/>
        </w:rPr>
        <w:t>AS</w:t>
      </w:r>
      <w:r>
        <w:t xml:space="preserve"> dynamics of </w:t>
      </w:r>
      <w:r>
        <w:rPr>
          <w:rFonts w:hint="eastAsia"/>
          <w:lang w:eastAsia="zh-CN"/>
        </w:rPr>
        <w:t>1L</w:t>
      </w:r>
      <w:r>
        <w:t xml:space="preserve"> WSe</w:t>
      </w:r>
      <w:r>
        <w:rPr>
          <w:rFonts w:hint="eastAsia"/>
          <w:vertAlign w:val="subscript"/>
          <w:lang w:eastAsia="zh-CN"/>
        </w:rPr>
        <w:t>2</w:t>
      </w:r>
      <w:r>
        <w:t>.</w:t>
      </w:r>
    </w:p>
    <w:p w14:paraId="646BC3BF">
      <w:pPr>
        <w:pStyle w:val="142"/>
        <w:jc w:val="both"/>
        <w:rPr>
          <w:szCs w:val="24"/>
        </w:rPr>
      </w:pPr>
      <w:r>
        <w:rPr>
          <w:rFonts w:hint="eastAsia"/>
          <w:b/>
          <w:bCs/>
          <w:szCs w:val="24"/>
          <w:lang w:eastAsia="zh-CN"/>
        </w:rPr>
        <w:t>a</w:t>
      </w:r>
      <w:r>
        <w:rPr>
          <w:szCs w:val="24"/>
        </w:rPr>
        <w:t xml:space="preserve"> TAS of 1L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on a quartz substrate measured under the 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>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 xml:space="preserve"> polarization configuration.</w:t>
      </w:r>
      <w:r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b/>
          <w:bCs/>
          <w:szCs w:val="24"/>
          <w:lang w:eastAsia="zh-CN"/>
        </w:rPr>
        <w:t>b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 xml:space="preserve">The decay dynamics of excitons </w:t>
      </w:r>
      <w:r>
        <w:rPr>
          <w:szCs w:val="24"/>
        </w:rPr>
        <w:t>at a probe energy of 1.78 eV</w:t>
      </w:r>
      <w:r>
        <w:rPr>
          <w:rFonts w:hint="eastAsia"/>
          <w:szCs w:val="24"/>
          <w:lang w:eastAsia="zh-CN"/>
        </w:rPr>
        <w:t xml:space="preserve"> for individual 1L WSe</w:t>
      </w:r>
      <w:r>
        <w:rPr>
          <w:szCs w:val="24"/>
          <w:vertAlign w:val="subscript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.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 xml:space="preserve">The decay dynamics of excitons </w:t>
      </w:r>
      <w:r>
        <w:rPr>
          <w:szCs w:val="24"/>
        </w:rPr>
        <w:t>at a probe energy of 1.78 eV</w:t>
      </w:r>
      <w:r>
        <w:rPr>
          <w:rFonts w:hint="eastAsia"/>
          <w:szCs w:val="24"/>
          <w:lang w:eastAsia="zh-CN"/>
        </w:rPr>
        <w:t xml:space="preserve"> for 1L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rFonts w:hint="eastAsia"/>
          <w:szCs w:val="24"/>
          <w:lang w:eastAsia="zh-CN"/>
        </w:rPr>
        <w:t xml:space="preserve"> at the heterostructure region. All the decay curves are fitted with a biexponential function, representing the fast and slow decay processes as discussed in the main text.</w:t>
      </w:r>
    </w:p>
    <w:p w14:paraId="154154A6">
      <w:pPr>
        <w:pStyle w:val="142"/>
        <w:jc w:val="both"/>
      </w:pPr>
    </w:p>
    <w:p w14:paraId="06592B1E">
      <w:pPr>
        <w:pStyle w:val="142"/>
        <w:jc w:val="both"/>
      </w:pPr>
    </w:p>
    <w:p w14:paraId="25D7C3F7">
      <w:pPr>
        <w:jc w:val="both"/>
      </w:pPr>
      <w:r>
        <w:br w:type="page"/>
      </w:r>
    </w:p>
    <w:p w14:paraId="618598B2">
      <w:pPr>
        <w:pStyle w:val="142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328160" cy="3873500"/>
            <wp:effectExtent l="0" t="0" r="0" b="0"/>
            <wp:docPr id="6151728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72884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C6D2">
      <w:pPr>
        <w:pStyle w:val="139"/>
        <w:jc w:val="both"/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>5</w:t>
      </w:r>
      <w:r>
        <w:t>.</w:t>
      </w:r>
      <w:r>
        <w:rPr>
          <w:sz w:val="22"/>
          <w:szCs w:val="22"/>
        </w:rPr>
        <w:t xml:space="preserve"> </w:t>
      </w:r>
      <w:r>
        <w:t>Temperature- and polarization-dependent TAS</w:t>
      </w:r>
      <w:r>
        <w:rPr>
          <w:rFonts w:hint="eastAsia"/>
          <w:lang w:eastAsia="zh-CN"/>
        </w:rPr>
        <w:t xml:space="preserve"> </w:t>
      </w:r>
      <w:r>
        <w:t>of the CrSBr/WSe</w:t>
      </w:r>
      <w:r>
        <w:rPr>
          <w:rFonts w:hint="eastAsia"/>
          <w:vertAlign w:val="subscript"/>
          <w:lang w:eastAsia="zh-CN"/>
        </w:rPr>
        <w:t>2</w:t>
      </w:r>
      <w:r>
        <w:t xml:space="preserve"> heterostructure.</w:t>
      </w:r>
    </w:p>
    <w:p w14:paraId="72BB3E2D">
      <w:pPr>
        <w:pStyle w:val="142"/>
        <w:jc w:val="both"/>
        <w:rPr>
          <w:szCs w:val="24"/>
        </w:rPr>
      </w:pPr>
      <w:r>
        <w:rPr>
          <w:szCs w:val="24"/>
        </w:rPr>
        <w:t>TAS of the 1L</w:t>
      </w:r>
      <w:r>
        <w:rPr>
          <w:rFonts w:hint="eastAsia"/>
          <w:szCs w:val="24"/>
        </w:rPr>
        <w:t>-</w:t>
      </w:r>
      <w:r>
        <w:rPr>
          <w:szCs w:val="24"/>
        </w:rPr>
        <w:t>CrSBr</w:t>
      </w:r>
      <w:r>
        <w:rPr>
          <w:rFonts w:hint="eastAsia"/>
          <w:szCs w:val="24"/>
          <w:lang w:eastAsia="zh-CN"/>
        </w:rPr>
        <w:t>/</w:t>
      </w:r>
      <w:r>
        <w:rPr>
          <w:szCs w:val="24"/>
        </w:rPr>
        <w:t>1L</w:t>
      </w:r>
      <w:r>
        <w:rPr>
          <w:rFonts w:hint="eastAsia"/>
          <w:szCs w:val="24"/>
        </w:rPr>
        <w:t>-</w:t>
      </w:r>
      <w:r>
        <w:rPr>
          <w:szCs w:val="24"/>
        </w:rPr>
        <w:t>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heterostructure </w:t>
      </w:r>
      <w:r>
        <w:rPr>
          <w:rFonts w:hint="eastAsia"/>
          <w:b/>
          <w:bCs/>
          <w:szCs w:val="24"/>
          <w:lang w:eastAsia="zh-CN"/>
        </w:rPr>
        <w:t>a</w:t>
      </w:r>
      <w:r>
        <w:rPr>
          <w:szCs w:val="24"/>
        </w:rPr>
        <w:t xml:space="preserve"> and 1L WSe</w:t>
      </w:r>
      <w:r>
        <w:rPr>
          <w:rFonts w:hint="eastAsia"/>
          <w:szCs w:val="24"/>
          <w:vertAlign w:val="subscript"/>
          <w:lang w:eastAsia="zh-CN"/>
        </w:rPr>
        <w:t>2</w:t>
      </w:r>
      <w:r>
        <w:rPr>
          <w:szCs w:val="24"/>
        </w:rPr>
        <w:t xml:space="preserve"> </w:t>
      </w:r>
      <w:r>
        <w:rPr>
          <w:rFonts w:hint="eastAsia"/>
          <w:b/>
          <w:bCs/>
          <w:szCs w:val="24"/>
          <w:lang w:eastAsia="zh-CN"/>
        </w:rPr>
        <w:t>b</w:t>
      </w:r>
      <w:r>
        <w:rPr>
          <w:szCs w:val="24"/>
        </w:rPr>
        <w:t xml:space="preserve"> measured at 4 K under the 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>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 xml:space="preserve"> configuration.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TAS measured at room temperature under the σ</w:t>
      </w:r>
      <w:r>
        <w:rPr>
          <w:rFonts w:hint="eastAsia"/>
          <w:szCs w:val="24"/>
          <w:lang w:eastAsia="zh-CN"/>
        </w:rPr>
        <w:t>-</w:t>
      </w:r>
      <w:r>
        <w:rPr>
          <w:szCs w:val="24"/>
        </w:rPr>
        <w:t>σ</w:t>
      </w:r>
      <w:r>
        <w:rPr>
          <w:rFonts w:hint="eastAsia"/>
          <w:szCs w:val="24"/>
          <w:lang w:eastAsia="zh-CN"/>
        </w:rPr>
        <w:t>-</w:t>
      </w:r>
      <w:r>
        <w:rPr>
          <w:szCs w:val="24"/>
        </w:rPr>
        <w:t xml:space="preserve">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szCs w:val="24"/>
        </w:rPr>
        <w:t xml:space="preserve"> and 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>σ</w:t>
      </w:r>
      <w:r>
        <w:rPr>
          <w:rFonts w:hint="eastAsia"/>
          <w:szCs w:val="24"/>
          <w:lang w:eastAsia="zh-CN"/>
        </w:rPr>
        <w:t>+</w:t>
      </w:r>
      <w:r>
        <w:rPr>
          <w:szCs w:val="24"/>
        </w:rPr>
        <w:t xml:space="preserve"> </w:t>
      </w:r>
      <w:r>
        <w:rPr>
          <w:rFonts w:hint="eastAsia"/>
          <w:b/>
          <w:bCs/>
          <w:szCs w:val="24"/>
          <w:lang w:eastAsia="zh-CN"/>
        </w:rPr>
        <w:t>d</w:t>
      </w:r>
      <w:r>
        <w:rPr>
          <w:szCs w:val="24"/>
        </w:rPr>
        <w:t xml:space="preserve"> polarization configurations. The pump photon energy was </w:t>
      </w:r>
      <w:r>
        <w:rPr>
          <w:rFonts w:hint="eastAsia"/>
          <w:szCs w:val="24"/>
          <w:lang w:eastAsia="zh-CN"/>
        </w:rPr>
        <w:t>~</w:t>
      </w:r>
      <w:r>
        <w:rPr>
          <w:szCs w:val="24"/>
        </w:rPr>
        <w:t>1.36 eV with a pump fluence of 113.2 μJ cm</w:t>
      </w:r>
      <w:r>
        <w:rPr>
          <w:szCs w:val="24"/>
          <w:vertAlign w:val="superscript"/>
          <w:lang w:eastAsia="zh-CN"/>
        </w:rPr>
        <w:t>-2</w:t>
      </w:r>
      <w:r>
        <w:rPr>
          <w:szCs w:val="24"/>
        </w:rPr>
        <w:t>.</w:t>
      </w:r>
    </w:p>
    <w:p w14:paraId="144D4707">
      <w:pPr>
        <w:pStyle w:val="142"/>
        <w:jc w:val="both"/>
      </w:pPr>
    </w:p>
    <w:p w14:paraId="73AA82A0">
      <w:pPr>
        <w:pStyle w:val="142"/>
        <w:jc w:val="both"/>
      </w:pPr>
    </w:p>
    <w:p w14:paraId="6F621EF8">
      <w:pPr>
        <w:jc w:val="both"/>
      </w:pPr>
      <w:r>
        <w:br w:type="page"/>
      </w:r>
    </w:p>
    <w:p w14:paraId="224B1133">
      <w:pPr>
        <w:pStyle w:val="142"/>
        <w:jc w:val="center"/>
      </w:pPr>
      <w:r>
        <w:drawing>
          <wp:inline distT="0" distB="0" distL="0" distR="0">
            <wp:extent cx="4248785" cy="3852545"/>
            <wp:effectExtent l="0" t="0" r="0" b="0"/>
            <wp:docPr id="7365502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50250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83CE">
      <w:pPr>
        <w:pStyle w:val="139"/>
        <w:jc w:val="both"/>
      </w:pPr>
      <w:r>
        <w:rPr>
          <w:rFonts w:hint="eastAsia"/>
          <w:lang w:val="en-US" w:eastAsia="zh-CN"/>
        </w:rPr>
        <w:t>F</w:t>
      </w:r>
      <w:r>
        <w:t>ig. S</w:t>
      </w:r>
      <w:r>
        <w:rPr>
          <w:rFonts w:hint="eastAsia"/>
          <w:lang w:eastAsia="zh-CN"/>
        </w:rPr>
        <w:t>6</w:t>
      </w:r>
      <w:r>
        <w:t xml:space="preserve">. TAS of </w:t>
      </w:r>
      <w:r>
        <w:rPr>
          <w:rFonts w:hint="eastAsia"/>
          <w:lang w:eastAsia="zh-CN"/>
        </w:rPr>
        <w:t xml:space="preserve">1-3L </w:t>
      </w:r>
      <w:r>
        <w:t>CrSBr.</w:t>
      </w:r>
    </w:p>
    <w:p w14:paraId="7DD04B1A">
      <w:pPr>
        <w:pStyle w:val="142"/>
        <w:jc w:val="both"/>
        <w:rPr>
          <w:szCs w:val="24"/>
        </w:rPr>
      </w:pPr>
      <w:r>
        <w:rPr>
          <w:szCs w:val="24"/>
        </w:rPr>
        <w:t xml:space="preserve">TAS of 1L CrSBr measured under </w:t>
      </w:r>
      <w:r>
        <w:rPr>
          <w:rFonts w:hint="eastAsia"/>
          <w:szCs w:val="24"/>
          <w:lang w:eastAsia="zh-CN"/>
        </w:rPr>
        <w:t xml:space="preserve">the </w:t>
      </w:r>
      <w:r>
        <w:rPr>
          <w:szCs w:val="24"/>
        </w:rPr>
        <w:t>pump photon energ</w:t>
      </w:r>
      <w:r>
        <w:rPr>
          <w:rFonts w:hint="eastAsia"/>
          <w:szCs w:val="24"/>
          <w:lang w:eastAsia="zh-CN"/>
        </w:rPr>
        <w:t>y</w:t>
      </w:r>
      <w:r>
        <w:rPr>
          <w:szCs w:val="24"/>
        </w:rPr>
        <w:t xml:space="preserve"> of </w:t>
      </w:r>
      <w:r>
        <w:rPr>
          <w:rFonts w:hint="eastAsia"/>
          <w:szCs w:val="24"/>
          <w:lang w:eastAsia="zh-CN"/>
        </w:rPr>
        <w:t>~</w:t>
      </w:r>
      <w:r>
        <w:rPr>
          <w:szCs w:val="24"/>
        </w:rPr>
        <w:t xml:space="preserve">1.36 eV </w:t>
      </w:r>
      <w:r>
        <w:rPr>
          <w:rFonts w:hint="eastAsia"/>
          <w:b/>
          <w:bCs/>
          <w:szCs w:val="24"/>
          <w:lang w:eastAsia="zh-CN"/>
        </w:rPr>
        <w:t>a</w:t>
      </w:r>
      <w:r>
        <w:rPr>
          <w:szCs w:val="24"/>
        </w:rPr>
        <w:t xml:space="preserve"> and </w:t>
      </w:r>
      <w:r>
        <w:rPr>
          <w:rFonts w:hint="eastAsia"/>
          <w:szCs w:val="24"/>
          <w:lang w:eastAsia="zh-CN"/>
        </w:rPr>
        <w:t>~</w:t>
      </w:r>
      <w:r>
        <w:rPr>
          <w:szCs w:val="24"/>
        </w:rPr>
        <w:t xml:space="preserve">1.96 eV </w:t>
      </w:r>
      <w:r>
        <w:rPr>
          <w:rFonts w:hint="eastAsia"/>
          <w:b/>
          <w:bCs/>
          <w:szCs w:val="24"/>
          <w:lang w:eastAsia="zh-CN"/>
        </w:rPr>
        <w:t>b</w:t>
      </w:r>
      <w:r>
        <w:rPr>
          <w:szCs w:val="24"/>
        </w:rPr>
        <w:t>, respectively.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TAS of 2L CrSBr </w:t>
      </w:r>
      <w:r>
        <w:rPr>
          <w:rFonts w:hint="eastAsia"/>
          <w:b/>
          <w:bCs/>
          <w:szCs w:val="24"/>
          <w:lang w:eastAsia="zh-CN"/>
        </w:rPr>
        <w:t>c</w:t>
      </w:r>
      <w:r>
        <w:rPr>
          <w:szCs w:val="24"/>
        </w:rPr>
        <w:t xml:space="preserve"> and 3L CrSBr </w:t>
      </w:r>
      <w:r>
        <w:rPr>
          <w:rFonts w:hint="eastAsia"/>
          <w:b/>
          <w:bCs/>
          <w:szCs w:val="24"/>
          <w:lang w:eastAsia="zh-CN"/>
        </w:rPr>
        <w:t>d</w:t>
      </w:r>
      <w:r>
        <w:rPr>
          <w:szCs w:val="24"/>
        </w:rPr>
        <w:t xml:space="preserve"> measured under a pump photon energy of </w:t>
      </w:r>
      <w:r>
        <w:rPr>
          <w:rFonts w:hint="eastAsia"/>
          <w:szCs w:val="24"/>
          <w:lang w:eastAsia="zh-CN"/>
        </w:rPr>
        <w:t>~</w:t>
      </w:r>
      <w:r>
        <w:rPr>
          <w:szCs w:val="24"/>
        </w:rPr>
        <w:t>1.96 eV. The pump fluence was</w:t>
      </w:r>
      <w:r>
        <w:rPr>
          <w:rFonts w:hint="eastAsia"/>
          <w:szCs w:val="24"/>
          <w:lang w:eastAsia="zh-CN"/>
        </w:rPr>
        <w:t xml:space="preserve"> kept at</w:t>
      </w:r>
      <w:r>
        <w:rPr>
          <w:szCs w:val="24"/>
        </w:rPr>
        <w:t xml:space="preserve"> </w:t>
      </w:r>
      <w:r>
        <w:rPr>
          <w:rFonts w:hint="eastAsia"/>
          <w:szCs w:val="24"/>
          <w:lang w:eastAsia="zh-CN"/>
        </w:rPr>
        <w:t>~</w:t>
      </w:r>
      <w:r>
        <w:rPr>
          <w:szCs w:val="24"/>
        </w:rPr>
        <w:t>33.96 μJ cm⁻².</w:t>
      </w:r>
    </w:p>
    <w:p w14:paraId="3ADE1969">
      <w:pPr>
        <w:pStyle w:val="142"/>
        <w:jc w:val="both"/>
      </w:pPr>
    </w:p>
    <w:p w14:paraId="75819973">
      <w:pPr>
        <w:pStyle w:val="142"/>
        <w:jc w:val="both"/>
      </w:pPr>
    </w:p>
    <w:p w14:paraId="293D2314">
      <w:r>
        <w:br w:type="page"/>
      </w:r>
    </w:p>
    <w:p w14:paraId="29776E17">
      <w:pPr>
        <w:jc w:val="center"/>
      </w:pPr>
      <w:r>
        <w:drawing>
          <wp:inline distT="0" distB="0" distL="0" distR="0">
            <wp:extent cx="2621280" cy="2880360"/>
            <wp:effectExtent l="0" t="0" r="7620" b="0"/>
            <wp:docPr id="1658745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4546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2831">
      <w:pPr>
        <w:pStyle w:val="139"/>
        <w:jc w:val="both"/>
        <w:rPr>
          <w:lang w:eastAsia="zh-CN"/>
        </w:rPr>
      </w:pPr>
      <w:r>
        <w:rPr>
          <w:rFonts w:hint="eastAsia"/>
          <w:lang w:val="en-US" w:eastAsia="zh-CN"/>
        </w:rPr>
        <w:t>F</w:t>
      </w:r>
      <w:bookmarkStart w:id="0" w:name="_GoBack"/>
      <w:bookmarkEnd w:id="0"/>
      <w:r>
        <w:rPr>
          <w:rFonts w:hint="eastAsia"/>
          <w:lang w:eastAsia="zh-CN"/>
        </w:rPr>
        <w:t xml:space="preserve">ig. S7. The </w:t>
      </w:r>
      <w:r>
        <w:rPr>
          <w:lang w:eastAsia="zh-CN"/>
        </w:rPr>
        <w:t>1L-CrSBr/1L-WSe</w:t>
      </w:r>
      <w:r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 xml:space="preserve"> supercell.</w:t>
      </w:r>
    </w:p>
    <w:p w14:paraId="35310BD2">
      <w:pPr>
        <w:jc w:val="both"/>
      </w:pPr>
      <w:r>
        <w:t>Top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/>
        </w:rPr>
        <w:t>a</w:t>
      </w:r>
      <w:r>
        <w:t xml:space="preserve"> and side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/>
        </w:rPr>
        <w:t>b</w:t>
      </w:r>
      <w:r>
        <w:t xml:space="preserve"> views of </w:t>
      </w:r>
      <w:r>
        <w:rPr>
          <w:rFonts w:eastAsia="宋体"/>
          <w:kern w:val="2"/>
          <w:szCs w:val="24"/>
          <w:lang w:eastAsia="zh-CN"/>
        </w:rPr>
        <w:t>1L-CrSBr</w:t>
      </w:r>
      <w:r>
        <w:rPr>
          <w:rFonts w:hint="eastAsia" w:eastAsia="宋体"/>
          <w:kern w:val="2"/>
          <w:szCs w:val="24"/>
          <w:lang w:eastAsia="zh-CN"/>
        </w:rPr>
        <w:t>/</w:t>
      </w:r>
      <w:r>
        <w:rPr>
          <w:rFonts w:eastAsia="宋体"/>
          <w:kern w:val="2"/>
          <w:szCs w:val="24"/>
          <w:lang w:eastAsia="zh-CN"/>
        </w:rPr>
        <w:t>1L-WSe</w:t>
      </w:r>
      <w:r>
        <w:rPr>
          <w:rFonts w:eastAsia="宋体"/>
          <w:kern w:val="2"/>
          <w:szCs w:val="24"/>
          <w:vertAlign w:val="subscript"/>
          <w:lang w:eastAsia="zh-CN"/>
        </w:rPr>
        <w:t>2</w:t>
      </w:r>
      <w:r>
        <w:t xml:space="preserve"> heterostructure. The dotted arrows indicate the lattice</w:t>
      </w:r>
      <w:r>
        <w:rPr>
          <w:rFonts w:hint="eastAsia"/>
          <w:lang w:eastAsia="zh-CN"/>
        </w:rPr>
        <w:t xml:space="preserve"> </w:t>
      </w:r>
      <w:r>
        <w:t>vectors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a</w:t>
      </w:r>
      <w:r>
        <w:t xml:space="preserve"> and </w:t>
      </w:r>
      <w:r>
        <w:rPr>
          <w:b/>
          <w:bCs/>
          <w:i/>
          <w:iCs/>
        </w:rPr>
        <w:t>b</w:t>
      </w:r>
      <w:r>
        <w:rPr>
          <w:b/>
          <w:bCs/>
        </w:rPr>
        <w:t xml:space="preserve"> </w:t>
      </w:r>
      <w:r>
        <w:t xml:space="preserve">for the unit cell of the heterostructure. </w:t>
      </w:r>
    </w:p>
    <w:p w14:paraId="245DD6B7">
      <w:pPr>
        <w:jc w:val="both"/>
      </w:pPr>
      <w:r>
        <w:br w:type="page"/>
      </w:r>
    </w:p>
    <w:p w14:paraId="3F02E812">
      <w:pPr>
        <w:jc w:val="both"/>
        <w:rPr>
          <w:b/>
          <w:bCs/>
          <w:szCs w:val="24"/>
        </w:rPr>
      </w:pPr>
      <w:r>
        <w:rPr>
          <w:b/>
          <w:bCs/>
          <w:szCs w:val="24"/>
        </w:rPr>
        <w:t>R</w:t>
      </w:r>
      <w:r>
        <w:rPr>
          <w:rFonts w:hint="eastAsia"/>
          <w:b/>
          <w:bCs/>
          <w:szCs w:val="24"/>
        </w:rPr>
        <w:t>eferences</w:t>
      </w:r>
    </w:p>
    <w:p w14:paraId="6D8DE037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Kresse, G. &amp; Furthmüller, J. Efficient iterative schemes for ab initio total-energy calculations using a plane-wave basis set.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54</w:t>
      </w:r>
      <w:r>
        <w:rPr>
          <w:rFonts w:ascii="Times New Roman" w:hAnsi="Times New Roman" w:cs="Times New Roman"/>
        </w:rPr>
        <w:t>, 11169-11186, doi:10.1103/PhysRevB.54.11169 (1996).</w:t>
      </w:r>
    </w:p>
    <w:p w14:paraId="76DF8A79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Blöchl, P. E. Projector augmented-wave method.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50</w:t>
      </w:r>
      <w:r>
        <w:rPr>
          <w:rFonts w:ascii="Times New Roman" w:hAnsi="Times New Roman" w:cs="Times New Roman"/>
        </w:rPr>
        <w:t>, 17953-17979, doi:10.1103/PhysRevB.50.17953 (1994).</w:t>
      </w:r>
    </w:p>
    <w:p w14:paraId="78D044C1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Perdew, J. P., Burke, K. &amp; Ernzerhof, M. Generalized Gradient Approximation Made Simple [Phys. Rev. Lett. 77, 3865 (1996)]. </w:t>
      </w:r>
      <w:r>
        <w:rPr>
          <w:rFonts w:ascii="Times New Roman" w:hAnsi="Times New Roman" w:cs="Times New Roman"/>
          <w:i/>
        </w:rPr>
        <w:t>Physical Review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78</w:t>
      </w:r>
      <w:r>
        <w:rPr>
          <w:rFonts w:ascii="Times New Roman" w:hAnsi="Times New Roman" w:cs="Times New Roman"/>
        </w:rPr>
        <w:t>, 1396-1396, doi:10.1103/PhysRevLett.78.1396 (1997).</w:t>
      </w:r>
    </w:p>
    <w:p w14:paraId="68EAA99B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Bobzien, L.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Layer-Dependent Charge-State Lifetime of Single Se Vacancies in WSe2. </w:t>
      </w:r>
      <w:r>
        <w:rPr>
          <w:rFonts w:ascii="Times New Roman" w:hAnsi="Times New Roman" w:cs="Times New Roman"/>
          <w:i/>
        </w:rPr>
        <w:t>Physical Review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134</w:t>
      </w:r>
      <w:r>
        <w:rPr>
          <w:rFonts w:ascii="Times New Roman" w:hAnsi="Times New Roman" w:cs="Times New Roman"/>
        </w:rPr>
        <w:t>, 076201, doi:10.1103/PhysRevLett.134.076201 (2025).</w:t>
      </w:r>
    </w:p>
    <w:p w14:paraId="0D798524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Grimme, S., Ehrlich, S. &amp; Goerigk, L. Effect of the damping function in dispersion corrected density functional theory. </w:t>
      </w:r>
      <w:r>
        <w:rPr>
          <w:rFonts w:ascii="Times New Roman" w:hAnsi="Times New Roman" w:cs="Times New Roman"/>
          <w:i/>
        </w:rPr>
        <w:t>Journal of Computational Chemistry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32</w:t>
      </w:r>
      <w:r>
        <w:rPr>
          <w:rFonts w:ascii="Times New Roman" w:hAnsi="Times New Roman" w:cs="Times New Roman"/>
        </w:rPr>
        <w:t>, 1456-1465, doi:https://doi.org/10.1002/jcc.21759 (2011).</w:t>
      </w:r>
    </w:p>
    <w:p w14:paraId="09F563CA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Liechtenstein, A. I., Anisimov, V. I. &amp; Zaanen, J. Density-functional theory and strong interactions: Orbital ordering in Mott-Hubbard insulators.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52</w:t>
      </w:r>
      <w:r>
        <w:rPr>
          <w:rFonts w:ascii="Times New Roman" w:hAnsi="Times New Roman" w:cs="Times New Roman"/>
        </w:rPr>
        <w:t>, R5467-R5470, doi:10.1103/PhysRevB.52.R5467 (1995).</w:t>
      </w:r>
    </w:p>
    <w:p w14:paraId="2601E838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R. Kempt, Hetbuilder-builds heterostructure interfaces.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GitHub repository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doi:10.5281/zenodo.4721346 (2021)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23669C9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Wang, V., Xu, N., Liu, J.-C., Tang, G. &amp; Geng, W.-T. VASPKIT: A user-friendly interface facilitating high-throughput computing and analysis using VASP code. </w:t>
      </w:r>
      <w:r>
        <w:rPr>
          <w:rFonts w:ascii="Times New Roman" w:hAnsi="Times New Roman" w:cs="Times New Roman"/>
          <w:i/>
        </w:rPr>
        <w:t>Computer Physics Communications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267</w:t>
      </w:r>
      <w:r>
        <w:rPr>
          <w:rFonts w:ascii="Times New Roman" w:hAnsi="Times New Roman" w:cs="Times New Roman"/>
        </w:rPr>
        <w:t>, 108033, doi:https://doi.org/10.1016/j.cpc.2021.108033 (2021).</w:t>
      </w:r>
    </w:p>
    <w:p w14:paraId="6C851BC2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Scheie, A.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Spin Waves and Magnetic Exchange Hamiltonian in CrSBr. </w:t>
      </w:r>
      <w:r>
        <w:rPr>
          <w:rFonts w:ascii="Times New Roman" w:hAnsi="Times New Roman" w:cs="Times New Roman"/>
          <w:i/>
        </w:rPr>
        <w:t>Advanced Science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, 2202467, doi:https://doi.org/10.1002/advs.202202467 (2022).</w:t>
      </w:r>
    </w:p>
    <w:p w14:paraId="4986D637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Ziebel, M. E.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CrSBr: An Air-Stable, Two-Dimensional Magnetic Semiconductor. </w:t>
      </w:r>
      <w:r>
        <w:rPr>
          <w:rFonts w:ascii="Times New Roman" w:hAnsi="Times New Roman" w:cs="Times New Roman"/>
          <w:i/>
        </w:rPr>
        <w:t>Nano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24</w:t>
      </w:r>
      <w:r>
        <w:rPr>
          <w:rFonts w:ascii="Times New Roman" w:hAnsi="Times New Roman" w:cs="Times New Roman"/>
        </w:rPr>
        <w:t>, 4319-4329, doi:10.1021/acs.nanolett.4c00624 (2024).</w:t>
      </w:r>
    </w:p>
    <w:p w14:paraId="54D4D5D2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Lee, J.-U.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Ising-Type Magnetic Ordering in Atomically Thin FePS3. </w:t>
      </w:r>
      <w:r>
        <w:rPr>
          <w:rFonts w:ascii="Times New Roman" w:hAnsi="Times New Roman" w:cs="Times New Roman"/>
          <w:i/>
        </w:rPr>
        <w:t>Nano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/>
        </w:rPr>
        <w:t>, 7433-7438, doi:10.1021/acs.nanolett.6b03052 (2016).</w:t>
      </w:r>
    </w:p>
    <w:p w14:paraId="041BAAF7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Xiao, D., Liu, G.-B., Feng, W., Xu, X. &amp; Yao, W. Coupled Spin and Valley Physics in Monolayers of MoS2 and Other Group-VI Dichalcogenides. </w:t>
      </w:r>
      <w:r>
        <w:rPr>
          <w:rFonts w:ascii="Times New Roman" w:hAnsi="Times New Roman" w:cs="Times New Roman"/>
          <w:i/>
        </w:rPr>
        <w:t>Physical Review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108</w:t>
      </w:r>
      <w:r>
        <w:rPr>
          <w:rFonts w:ascii="Times New Roman" w:hAnsi="Times New Roman" w:cs="Times New Roman"/>
        </w:rPr>
        <w:t>, 196802, doi:10.1103/PhysRevLett.108.196802 (2012).</w:t>
      </w:r>
    </w:p>
    <w:p w14:paraId="347A78C2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Zollner, K., Faria Junior, P. E. &amp; Fabian, J. Proximity exchange effects in MoSe2 and WSe2 heterostructures with CrI3: Twist angle, layer, and gate dependence.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100</w:t>
      </w:r>
      <w:r>
        <w:rPr>
          <w:rFonts w:ascii="Times New Roman" w:hAnsi="Times New Roman" w:cs="Times New Roman"/>
        </w:rPr>
        <w:t>, 085128, doi:10.1103/PhysRevB.100.085128 (2019).</w:t>
      </w:r>
    </w:p>
    <w:p w14:paraId="597778B3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Scharf, B., Xu, G., Matos-Abiague, A. &amp; Žutić, I. Magnetic Proximity Effects in Transition-Metal Dichalcogenides: Converting Excitons. </w:t>
      </w:r>
      <w:r>
        <w:rPr>
          <w:rFonts w:ascii="Times New Roman" w:hAnsi="Times New Roman" w:cs="Times New Roman"/>
          <w:i/>
        </w:rPr>
        <w:t>Physical Review Letters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119</w:t>
      </w:r>
      <w:r>
        <w:rPr>
          <w:rFonts w:ascii="Times New Roman" w:hAnsi="Times New Roman" w:cs="Times New Roman"/>
        </w:rPr>
        <w:t>, 127403, doi:10.1103/PhysRevLett.119.127403 (2017).</w:t>
      </w:r>
    </w:p>
    <w:p w14:paraId="575E5D24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Zhong, D.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Layer-resolved magnetic proximity effect in van der Waals heterostructures. </w:t>
      </w:r>
      <w:r>
        <w:rPr>
          <w:rFonts w:ascii="Times New Roman" w:hAnsi="Times New Roman" w:cs="Times New Roman"/>
          <w:i/>
        </w:rPr>
        <w:t>Nature Nanotechnology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</w:rPr>
        <w:t>, 187-191, doi:10.1038/s41565-019-0629-1 (2020).</w:t>
      </w:r>
    </w:p>
    <w:p w14:paraId="5A28206B">
      <w:pPr>
        <w:pStyle w:val="14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Zhang, X.-X.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Magnetic brightening and control of dark excitons in monolayer WSe2. </w:t>
      </w:r>
      <w:r>
        <w:rPr>
          <w:rFonts w:ascii="Times New Roman" w:hAnsi="Times New Roman" w:cs="Times New Roman"/>
          <w:i/>
        </w:rPr>
        <w:t>Nature Nanotechnology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/>
        </w:rPr>
        <w:t>, 883-888, doi:10.1038/nnano.2017.105 (2017).</w:t>
      </w:r>
    </w:p>
    <w:p w14:paraId="507089C1">
      <w:pPr>
        <w:pStyle w:val="142"/>
        <w:jc w:val="both"/>
        <w:rPr>
          <w:sz w:val="20"/>
        </w:rPr>
      </w:pPr>
    </w:p>
    <w:p w14:paraId="086185A3"/>
    <w:sectPr>
      <w:headerReference r:id="rId3" w:type="default"/>
      <w:footerReference r:id="rId4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2C6DE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5403FE53"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F59A6">
    <w:pPr>
      <w:jc w:val="right"/>
      <w:rPr>
        <w:sz w:val="20"/>
      </w:rPr>
    </w:pPr>
  </w:p>
  <w:p w14:paraId="6F3EE5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E08A9"/>
    <w:rsid w:val="00007940"/>
    <w:rsid w:val="000202FD"/>
    <w:rsid w:val="000C379A"/>
    <w:rsid w:val="001B6DA7"/>
    <w:rsid w:val="003A46D2"/>
    <w:rsid w:val="004337BA"/>
    <w:rsid w:val="004D136F"/>
    <w:rsid w:val="004E2354"/>
    <w:rsid w:val="005B6EEA"/>
    <w:rsid w:val="005E424A"/>
    <w:rsid w:val="00653150"/>
    <w:rsid w:val="00716486"/>
    <w:rsid w:val="00767F59"/>
    <w:rsid w:val="007B28CE"/>
    <w:rsid w:val="007C76ED"/>
    <w:rsid w:val="007E08A9"/>
    <w:rsid w:val="007E53F1"/>
    <w:rsid w:val="00820048"/>
    <w:rsid w:val="00B9059B"/>
    <w:rsid w:val="00B94AEC"/>
    <w:rsid w:val="00C0395E"/>
    <w:rsid w:val="00FA5F5A"/>
    <w:rsid w:val="18CD0265"/>
    <w:rsid w:val="29FE6AA4"/>
    <w:rsid w:val="51BA0BFD"/>
    <w:rsid w:val="5701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name="page number"/>
    <w:lsdException w:uiPriority="99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semiHidden="0" w:name="Title"/>
    <w:lsdException w:qFormat="1" w:unhideWhenUsed="0" w:uiPriority="0" w:name="Closing"/>
    <w:lsdException w:qFormat="1" w:unhideWhenUsed="0" w:uiPriority="0" w:name="Signature"/>
    <w:lsdException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semiHidden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99" w:name="HTML Acronym"/>
    <w:lsdException w:qFormat="1" w:unhideWhenUsed="0" w:uiPriority="0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paragraph" w:styleId="3">
    <w:name w:val="heading 1"/>
    <w:basedOn w:val="1"/>
    <w:next w:val="1"/>
    <w:link w:val="94"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5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link w:val="96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link w:val="97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8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9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100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101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2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89">
    <w:name w:val="Default Paragraph Font"/>
    <w:semiHidden/>
    <w:unhideWhenUsed/>
    <w:uiPriority w:val="1"/>
  </w:style>
  <w:style w:type="table" w:default="1" w:styleId="8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12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 w:eastAsiaTheme="minorEastAsia"/>
      <w:kern w:val="0"/>
      <w:sz w:val="20"/>
      <w:szCs w:val="20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tabs>
        <w:tab w:val="clear" w:pos="720"/>
      </w:tabs>
      <w:ind w:left="0" w:firstLine="0"/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13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tabs>
        <w:tab w:val="clear" w:pos="1440"/>
      </w:tabs>
      <w:ind w:left="0" w:firstLine="0"/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14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tabs>
        <w:tab w:val="clear" w:pos="360"/>
      </w:tabs>
      <w:ind w:left="0" w:firstLine="0"/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tabs>
        <w:tab w:val="clear" w:pos="360"/>
      </w:tabs>
      <w:ind w:left="0" w:firstLine="0"/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15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6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17"/>
    <w:semiHidden/>
    <w:qFormat/>
    <w:uiPriority w:val="0"/>
  </w:style>
  <w:style w:type="paragraph" w:styleId="31">
    <w:name w:val="Body Text 3"/>
    <w:basedOn w:val="1"/>
    <w:link w:val="118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9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tabs>
        <w:tab w:val="clear" w:pos="1080"/>
      </w:tabs>
      <w:ind w:left="0" w:firstLine="0"/>
      <w:contextualSpacing/>
    </w:pPr>
  </w:style>
  <w:style w:type="paragraph" w:styleId="34">
    <w:name w:val="Body Text"/>
    <w:basedOn w:val="1"/>
    <w:link w:val="120"/>
    <w:semiHidden/>
    <w:qFormat/>
    <w:uiPriority w:val="0"/>
    <w:pPr>
      <w:spacing w:after="120"/>
    </w:pPr>
  </w:style>
  <w:style w:type="paragraph" w:styleId="35">
    <w:name w:val="Body Text Indent"/>
    <w:basedOn w:val="1"/>
    <w:link w:val="121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tabs>
        <w:tab w:val="clear" w:pos="1080"/>
      </w:tabs>
      <w:ind w:left="0" w:firstLine="0"/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tabs>
        <w:tab w:val="clear" w:pos="720"/>
      </w:tabs>
      <w:ind w:left="0" w:firstLine="0"/>
      <w:contextualSpacing/>
    </w:pPr>
  </w:style>
  <w:style w:type="paragraph" w:styleId="41">
    <w:name w:val="HTML Address"/>
    <w:basedOn w:val="1"/>
    <w:link w:val="122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23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tabs>
        <w:tab w:val="clear" w:pos="1800"/>
      </w:tabs>
      <w:ind w:left="0" w:firstLine="0"/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tabs>
        <w:tab w:val="clear" w:pos="1440"/>
      </w:tabs>
      <w:ind w:left="0" w:firstLine="0"/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24"/>
    <w:semiHidden/>
    <w:qFormat/>
    <w:uiPriority w:val="0"/>
  </w:style>
  <w:style w:type="paragraph" w:styleId="51">
    <w:name w:val="Body Text Indent 2"/>
    <w:basedOn w:val="1"/>
    <w:link w:val="125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6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27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8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9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0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04"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tabs>
        <w:tab w:val="clear" w:pos="1800"/>
      </w:tabs>
      <w:ind w:left="0" w:firstLine="0"/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31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32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33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4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35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0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36"/>
    <w:semiHidden/>
    <w:qFormat/>
    <w:uiPriority w:val="0"/>
    <w:rPr>
      <w:b/>
      <w:bCs/>
    </w:rPr>
  </w:style>
  <w:style w:type="paragraph" w:styleId="86">
    <w:name w:val="Body Text First Indent"/>
    <w:basedOn w:val="34"/>
    <w:link w:val="137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38"/>
    <w:semiHidden/>
    <w:qFormat/>
    <w:uiPriority w:val="0"/>
    <w:pPr>
      <w:ind w:firstLine="210"/>
    </w:pPr>
  </w:style>
  <w:style w:type="character" w:styleId="90">
    <w:name w:val="page number"/>
    <w:basedOn w:val="89"/>
    <w:semiHidden/>
    <w:qFormat/>
    <w:uiPriority w:val="0"/>
  </w:style>
  <w:style w:type="character" w:styleId="91">
    <w:name w:val="FollowedHyperlink"/>
    <w:semiHidden/>
    <w:unhideWhenUsed/>
    <w:qFormat/>
    <w:uiPriority w:val="0"/>
    <w:rPr>
      <w:color w:val="800080"/>
      <w:u w:val="single"/>
    </w:rPr>
  </w:style>
  <w:style w:type="character" w:styleId="92">
    <w:name w:val="Hyperlink"/>
    <w:semiHidden/>
    <w:qFormat/>
    <w:uiPriority w:val="0"/>
    <w:rPr>
      <w:color w:val="0000FF"/>
      <w:u w:val="single"/>
    </w:rPr>
  </w:style>
  <w:style w:type="character" w:styleId="93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4">
    <w:name w:val="标题 1 字符"/>
    <w:link w:val="3"/>
    <w:qFormat/>
    <w:uiPriority w:val="0"/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95">
    <w:name w:val="标题 2 字符"/>
    <w:link w:val="4"/>
    <w:semiHidden/>
    <w:qFormat/>
    <w:uiPriority w:val="0"/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96">
    <w:name w:val="标题 3 字符"/>
    <w:basedOn w:val="89"/>
    <w:link w:val="5"/>
    <w:semiHidden/>
    <w:uiPriority w:val="0"/>
    <w:rPr>
      <w:rFonts w:ascii="Times" w:hAnsi="Times" w:eastAsia="Times" w:cs="Times New Roman"/>
      <w:b/>
      <w:kern w:val="0"/>
      <w:sz w:val="24"/>
      <w:szCs w:val="20"/>
      <w:lang w:eastAsia="en-US"/>
    </w:rPr>
  </w:style>
  <w:style w:type="character" w:customStyle="1" w:styleId="97">
    <w:name w:val="标题 4 字符"/>
    <w:basedOn w:val="89"/>
    <w:link w:val="6"/>
    <w:semiHidden/>
    <w:uiPriority w:val="0"/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character" w:customStyle="1" w:styleId="98">
    <w:name w:val="标题 5 字符"/>
    <w:link w:val="7"/>
    <w:semiHidden/>
    <w:qFormat/>
    <w:uiPriority w:val="0"/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99">
    <w:name w:val="标题 6 字符"/>
    <w:link w:val="8"/>
    <w:semiHidden/>
    <w:qFormat/>
    <w:uiPriority w:val="0"/>
    <w:rPr>
      <w:rFonts w:ascii="Calibri" w:hAnsi="Calibri" w:cs="Times New Roman"/>
      <w:b/>
      <w:bCs/>
      <w:kern w:val="0"/>
      <w:sz w:val="22"/>
      <w:lang w:eastAsia="en-US"/>
    </w:rPr>
  </w:style>
  <w:style w:type="character" w:customStyle="1" w:styleId="100">
    <w:name w:val="标题 7 字符"/>
    <w:link w:val="9"/>
    <w:semiHidden/>
    <w:qFormat/>
    <w:uiPriority w:val="0"/>
    <w:rPr>
      <w:rFonts w:ascii="Calibri" w:hAnsi="Calibri" w:cs="Times New Roman"/>
      <w:kern w:val="0"/>
      <w:sz w:val="24"/>
      <w:szCs w:val="24"/>
      <w:lang w:eastAsia="en-US"/>
    </w:rPr>
  </w:style>
  <w:style w:type="character" w:customStyle="1" w:styleId="101">
    <w:name w:val="标题 8 字符"/>
    <w:link w:val="10"/>
    <w:semiHidden/>
    <w:qFormat/>
    <w:uiPriority w:val="0"/>
    <w:rPr>
      <w:rFonts w:ascii="Calibri" w:hAnsi="Calibri" w:cs="Times New Roman"/>
      <w:i/>
      <w:iCs/>
      <w:kern w:val="0"/>
      <w:sz w:val="24"/>
      <w:szCs w:val="24"/>
      <w:lang w:eastAsia="en-US"/>
    </w:rPr>
  </w:style>
  <w:style w:type="character" w:customStyle="1" w:styleId="102">
    <w:name w:val="标题 9 字符"/>
    <w:link w:val="11"/>
    <w:semiHidden/>
    <w:qFormat/>
    <w:uiPriority w:val="0"/>
    <w:rPr>
      <w:rFonts w:ascii="Cambria" w:hAnsi="Cambria" w:cs="Times New Roman"/>
      <w:kern w:val="0"/>
      <w:sz w:val="22"/>
      <w:lang w:eastAsia="en-US"/>
    </w:rPr>
  </w:style>
  <w:style w:type="character" w:customStyle="1" w:styleId="103">
    <w:name w:val="标题 字符"/>
    <w:link w:val="84"/>
    <w:qFormat/>
    <w:uiPriority w:val="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104">
    <w:name w:val="副标题 字符"/>
    <w:link w:val="64"/>
    <w:qFormat/>
    <w:uiPriority w:val="0"/>
    <w:rPr>
      <w:rFonts w:ascii="Cambria" w:hAnsi="Cambria" w:cs="Times New Roman"/>
      <w:kern w:val="0"/>
      <w:sz w:val="24"/>
      <w:szCs w:val="24"/>
      <w:lang w:eastAsia="en-US"/>
    </w:rPr>
  </w:style>
  <w:style w:type="paragraph" w:styleId="105">
    <w:name w:val="Quote"/>
    <w:basedOn w:val="1"/>
    <w:next w:val="1"/>
    <w:link w:val="106"/>
    <w:qFormat/>
    <w:uiPriority w:val="29"/>
    <w:rPr>
      <w:i/>
      <w:iCs/>
      <w:color w:val="000000"/>
    </w:rPr>
  </w:style>
  <w:style w:type="character" w:customStyle="1" w:styleId="106">
    <w:name w:val="引用 字符"/>
    <w:link w:val="105"/>
    <w:qFormat/>
    <w:uiPriority w:val="29"/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paragraph" w:styleId="107">
    <w:name w:val="List Paragraph"/>
    <w:basedOn w:val="1"/>
    <w:qFormat/>
    <w:uiPriority w:val="34"/>
    <w:pPr>
      <w:ind w:left="720"/>
    </w:pPr>
  </w:style>
  <w:style w:type="character" w:customStyle="1" w:styleId="108">
    <w:name w:val="Intense Emphasis"/>
    <w:basedOn w:val="89"/>
    <w:qFormat/>
    <w:uiPriority w:val="21"/>
    <w:rPr>
      <w:i/>
      <w:iCs/>
      <w:color w:val="104862" w:themeColor="accent1" w:themeShade="BF"/>
    </w:rPr>
  </w:style>
  <w:style w:type="paragraph" w:styleId="109">
    <w:name w:val="Intense Quote"/>
    <w:basedOn w:val="1"/>
    <w:next w:val="1"/>
    <w:link w:val="110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10">
    <w:name w:val="明显引用 字符"/>
    <w:link w:val="109"/>
    <w:qFormat/>
    <w:uiPriority w:val="30"/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character" w:customStyle="1" w:styleId="111">
    <w:name w:val="Intense Reference"/>
    <w:basedOn w:val="89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112">
    <w:name w:val="宏文本 字符"/>
    <w:link w:val="2"/>
    <w:semiHidden/>
    <w:qFormat/>
    <w:uiPriority w:val="0"/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113">
    <w:name w:val="注释标题 字符"/>
    <w:link w:val="16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14">
    <w:name w:val="电子邮件签名 字符"/>
    <w:link w:val="19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15">
    <w:name w:val="文档结构图 字符"/>
    <w:link w:val="26"/>
    <w:semiHidden/>
    <w:qFormat/>
    <w:uiPriority w:val="0"/>
    <w:rPr>
      <w:rFonts w:ascii="Tahoma" w:hAnsi="Tahoma" w:cs="Tahoma"/>
      <w:kern w:val="0"/>
      <w:sz w:val="16"/>
      <w:szCs w:val="16"/>
      <w:lang w:eastAsia="en-US"/>
    </w:rPr>
  </w:style>
  <w:style w:type="character" w:customStyle="1" w:styleId="116">
    <w:name w:val="批注文字 字符"/>
    <w:basedOn w:val="89"/>
    <w:link w:val="28"/>
    <w:semiHidden/>
    <w:qFormat/>
    <w:uiPriority w:val="0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117">
    <w:name w:val="称呼 字符"/>
    <w:link w:val="30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18">
    <w:name w:val="正文文本 3 字符"/>
    <w:link w:val="31"/>
    <w:semiHidden/>
    <w:qFormat/>
    <w:uiPriority w:val="0"/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119">
    <w:name w:val="结束语 字符"/>
    <w:link w:val="32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0">
    <w:name w:val="正文文本 字符"/>
    <w:link w:val="34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1">
    <w:name w:val="正文文本缩进 字符"/>
    <w:link w:val="35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2">
    <w:name w:val="HTML 地址 字符"/>
    <w:link w:val="41"/>
    <w:semiHidden/>
    <w:qFormat/>
    <w:uiPriority w:val="0"/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character" w:customStyle="1" w:styleId="123">
    <w:name w:val="纯文本 字符"/>
    <w:link w:val="45"/>
    <w:semiHidden/>
    <w:qFormat/>
    <w:uiPriority w:val="0"/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124">
    <w:name w:val="日期 字符"/>
    <w:link w:val="50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5">
    <w:name w:val="正文文本缩进 2 字符"/>
    <w:link w:val="51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6">
    <w:name w:val="尾注文本 字符"/>
    <w:basedOn w:val="89"/>
    <w:link w:val="52"/>
    <w:semiHidden/>
    <w:qFormat/>
    <w:uiPriority w:val="0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127">
    <w:name w:val="批注框文本 字符"/>
    <w:link w:val="54"/>
    <w:semiHidden/>
    <w:qFormat/>
    <w:uiPriority w:val="0"/>
    <w:rPr>
      <w:rFonts w:ascii="Tahoma" w:hAnsi="Tahoma" w:cs="Tahoma"/>
      <w:kern w:val="0"/>
      <w:sz w:val="16"/>
      <w:szCs w:val="16"/>
      <w:lang w:eastAsia="en-US"/>
    </w:rPr>
  </w:style>
  <w:style w:type="character" w:customStyle="1" w:styleId="128">
    <w:name w:val="页脚 字符"/>
    <w:link w:val="55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29">
    <w:name w:val="页眉 字符"/>
    <w:link w:val="57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30">
    <w:name w:val="签名 字符"/>
    <w:link w:val="58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31">
    <w:name w:val="脚注文本 字符"/>
    <w:basedOn w:val="89"/>
    <w:link w:val="67"/>
    <w:semiHidden/>
    <w:qFormat/>
    <w:uiPriority w:val="0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132">
    <w:name w:val="正文文本缩进 3 字符"/>
    <w:link w:val="70"/>
    <w:semiHidden/>
    <w:qFormat/>
    <w:uiPriority w:val="0"/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133">
    <w:name w:val="正文文本 2 字符"/>
    <w:link w:val="76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34">
    <w:name w:val="信息标题 字符"/>
    <w:link w:val="79"/>
    <w:semiHidden/>
    <w:qFormat/>
    <w:uiPriority w:val="0"/>
    <w:rPr>
      <w:rFonts w:ascii="Cambria" w:hAnsi="Cambria" w:cs="Times New Roman"/>
      <w:kern w:val="0"/>
      <w:sz w:val="24"/>
      <w:szCs w:val="24"/>
      <w:shd w:val="pct20" w:color="auto" w:fill="auto"/>
      <w:lang w:eastAsia="en-US"/>
    </w:rPr>
  </w:style>
  <w:style w:type="character" w:customStyle="1" w:styleId="135">
    <w:name w:val="HTML 预设格式 字符"/>
    <w:link w:val="80"/>
    <w:semiHidden/>
    <w:qFormat/>
    <w:uiPriority w:val="0"/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136">
    <w:name w:val="批注主题 字符"/>
    <w:link w:val="85"/>
    <w:semiHidden/>
    <w:qFormat/>
    <w:uiPriority w:val="0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character" w:customStyle="1" w:styleId="137">
    <w:name w:val="正文文本首行缩进 字符"/>
    <w:link w:val="86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38">
    <w:name w:val="正文文本首行缩进 2 字符"/>
    <w:link w:val="87"/>
    <w:semiHidden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139">
    <w:name w:val="SM Heading"/>
    <w:basedOn w:val="3"/>
    <w:qFormat/>
    <w:uiPriority w:val="0"/>
  </w:style>
  <w:style w:type="paragraph" w:customStyle="1" w:styleId="140">
    <w:name w:val="SM Subheading"/>
    <w:basedOn w:val="1"/>
    <w:qFormat/>
    <w:uiPriority w:val="0"/>
    <w:rPr>
      <w:u w:val="words"/>
    </w:rPr>
  </w:style>
  <w:style w:type="paragraph" w:customStyle="1" w:styleId="141">
    <w:name w:val="SM Text"/>
    <w:basedOn w:val="1"/>
    <w:link w:val="154"/>
    <w:qFormat/>
    <w:uiPriority w:val="0"/>
    <w:pPr>
      <w:ind w:firstLine="480"/>
    </w:pPr>
  </w:style>
  <w:style w:type="paragraph" w:customStyle="1" w:styleId="142">
    <w:name w:val="SM caption"/>
    <w:basedOn w:val="141"/>
    <w:qFormat/>
    <w:uiPriority w:val="0"/>
    <w:pPr>
      <w:ind w:firstLine="0"/>
    </w:pPr>
  </w:style>
  <w:style w:type="paragraph" w:customStyle="1" w:styleId="143">
    <w:name w:val="书目1"/>
    <w:basedOn w:val="1"/>
    <w:next w:val="1"/>
    <w:semiHidden/>
    <w:qFormat/>
    <w:uiPriority w:val="37"/>
  </w:style>
  <w:style w:type="paragraph" w:styleId="144">
    <w:name w:val="No Spacing"/>
    <w:qFormat/>
    <w:uiPriority w:val="1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paragraph" w:customStyle="1" w:styleId="145">
    <w:name w:val="TOC 标题1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6">
    <w:name w:val="未处理的提及1"/>
    <w:basedOn w:val="89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7">
    <w:name w:val="Pub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8">
    <w:name w:val="Doi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9">
    <w:name w:val="EndNote Bibliography"/>
    <w:basedOn w:val="1"/>
    <w:link w:val="150"/>
    <w:qFormat/>
    <w:uiPriority w:val="0"/>
    <w:pPr>
      <w:widowControl w:val="0"/>
      <w:jc w:val="both"/>
    </w:pPr>
    <w:rPr>
      <w:rFonts w:ascii="Calibri" w:hAnsi="Calibri" w:cs="Calibri"/>
      <w:kern w:val="2"/>
      <w:sz w:val="20"/>
      <w:szCs w:val="24"/>
      <w:lang w:eastAsia="zh-CN"/>
    </w:rPr>
  </w:style>
  <w:style w:type="character" w:customStyle="1" w:styleId="150">
    <w:name w:val="EndNote Bibliography 字符"/>
    <w:basedOn w:val="89"/>
    <w:link w:val="149"/>
    <w:qFormat/>
    <w:uiPriority w:val="0"/>
    <w:rPr>
      <w:rFonts w:ascii="Calibri" w:hAnsi="Calibri" w:cs="Calibri"/>
      <w:sz w:val="20"/>
      <w:szCs w:val="24"/>
    </w:rPr>
  </w:style>
  <w:style w:type="character" w:styleId="151">
    <w:name w:val="Placeholder Text"/>
    <w:basedOn w:val="89"/>
    <w:semiHidden/>
    <w:qFormat/>
    <w:uiPriority w:val="99"/>
    <w:rPr>
      <w:color w:val="666666"/>
    </w:rPr>
  </w:style>
  <w:style w:type="paragraph" w:customStyle="1" w:styleId="152">
    <w:name w:val="Revision1"/>
    <w:hidden/>
    <w:unhideWhenUsed/>
    <w:qFormat/>
    <w:uiPriority w:val="99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paragraph" w:customStyle="1" w:styleId="153">
    <w:name w:val="EndNote Bibliography Title"/>
    <w:basedOn w:val="1"/>
    <w:link w:val="155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154">
    <w:name w:val="SM Text 字符"/>
    <w:basedOn w:val="89"/>
    <w:link w:val="141"/>
    <w:qFormat/>
    <w:uiPriority w:val="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55">
    <w:name w:val="EndNote Bibliography Title 字符"/>
    <w:basedOn w:val="154"/>
    <w:link w:val="153"/>
    <w:qFormat/>
    <w:uiPriority w:val="0"/>
    <w:rPr>
      <w:rFonts w:ascii="Calibri" w:hAnsi="Calibri" w:cs="Calibri"/>
      <w:kern w:val="0"/>
      <w:sz w:val="20"/>
      <w:szCs w:val="20"/>
      <w:lang w:eastAsia="en-US"/>
    </w:rPr>
  </w:style>
  <w:style w:type="paragraph" w:customStyle="1" w:styleId="156">
    <w:name w:val="修订1"/>
    <w:hidden/>
    <w:unhideWhenUsed/>
    <w:qFormat/>
    <w:uiPriority w:val="99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character" w:customStyle="1" w:styleId="157">
    <w:name w:val="未处理的提及2"/>
    <w:basedOn w:val="8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8">
    <w:name w:val="Revision2"/>
    <w:hidden/>
    <w:unhideWhenUsed/>
    <w:qFormat/>
    <w:uiPriority w:val="99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paragraph" w:customStyle="1" w:styleId="159">
    <w:name w:val="Revision"/>
    <w:hidden/>
    <w:unhideWhenUsed/>
    <w:qFormat/>
    <w:uiPriority w:val="99"/>
    <w:rPr>
      <w:rFonts w:ascii="Times New Roman" w:hAnsi="Times New Roman" w:cs="Times New Roman" w:eastAsiaTheme="minorEastAsia"/>
      <w:kern w:val="0"/>
      <w:sz w:val="24"/>
      <w:szCs w:val="20"/>
      <w:lang w:val="en-US" w:eastAsia="en-US" w:bidi="ar-SA"/>
    </w:rPr>
  </w:style>
  <w:style w:type="character" w:customStyle="1" w:styleId="160">
    <w:name w:val="Unresolved Mention"/>
    <w:basedOn w:val="8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1017</Words>
  <Characters>5381</Characters>
  <Lines>206</Lines>
  <Paragraphs>89</Paragraphs>
  <TotalTime>21</TotalTime>
  <ScaleCrop>false</ScaleCrop>
  <LinksUpToDate>false</LinksUpToDate>
  <CharactersWithSpaces>6194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2026-02-07T03:07:00Z</dcterms:created>
  <dc:creator>凯旋 张</dc:creator>
  <cp:lastModifiedBy>赵伟杰</cp:lastModifiedBy>
  <dcterms:modified xsi:type="dcterms:W3CDTF">2026-02-07T14:36:43Z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865A373C6E664A308E9A4C733E111951_13</vt:lpwstr>
  </property>
  <property fmtid="{D5CDD505-2E9C-101B-9397-08002B2CF9AE}" pid="4" name="KSOTemplateDocerSaveRecord">
    <vt:lpwstr>eyJoZGlkIjoiMzEwNTM5NzYwMDRjMzkwZTVkZjY2ODkwMGIxNGU0OTUiLCJ1c2VySWQiOiI2MzU5MTQxNjkifQ==</vt:lpwstr>
  </property>
</Properties>
</file>