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3C13" w14:textId="77777777" w:rsidR="00DD6549" w:rsidRPr="002E5DFF" w:rsidRDefault="00DD6549" w:rsidP="00DD6549">
      <w:pPr>
        <w:pStyle w:val="Heading1"/>
      </w:pPr>
      <w:r w:rsidRPr="002E5DFF">
        <w:rPr>
          <w:rFonts w:hint="eastAsia"/>
        </w:rPr>
        <w:t>Appendix</w:t>
      </w:r>
    </w:p>
    <w:p w14:paraId="63897C91" w14:textId="77777777" w:rsidR="00DD6549" w:rsidRPr="002E5DFF" w:rsidRDefault="00DD6549" w:rsidP="00DD6549">
      <w:pPr>
        <w:pStyle w:val="Heading1"/>
      </w:pPr>
      <w:r w:rsidRPr="002E5DFF">
        <w:t>Table Descriptive Statistics</w:t>
      </w:r>
    </w:p>
    <w:tbl>
      <w:tblPr>
        <w:tblStyle w:val="TableGrid"/>
        <w:tblW w:w="7049" w:type="pct"/>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670"/>
        <w:gridCol w:w="1432"/>
        <w:gridCol w:w="2486"/>
        <w:gridCol w:w="1266"/>
        <w:gridCol w:w="1214"/>
        <w:gridCol w:w="1214"/>
        <w:gridCol w:w="1214"/>
        <w:gridCol w:w="1214"/>
      </w:tblGrid>
      <w:tr w:rsidR="00DD6549" w:rsidRPr="004F02AF" w14:paraId="2D922DDE" w14:textId="77777777" w:rsidTr="00341F86">
        <w:trPr>
          <w:trHeight w:val="273"/>
          <w:jc w:val="center"/>
        </w:trPr>
        <w:tc>
          <w:tcPr>
            <w:tcW w:w="717" w:type="pct"/>
            <w:tcBorders>
              <w:top w:val="single" w:sz="6" w:space="0" w:color="auto"/>
              <w:left w:val="nil"/>
              <w:bottom w:val="single" w:sz="6" w:space="0" w:color="auto"/>
              <w:right w:val="nil"/>
            </w:tcBorders>
            <w:vAlign w:val="center"/>
          </w:tcPr>
          <w:p w14:paraId="2C7CB472" w14:textId="77777777" w:rsidR="00DD6549" w:rsidRPr="004F02AF" w:rsidRDefault="00DD6549" w:rsidP="00341F86"/>
        </w:tc>
        <w:tc>
          <w:tcPr>
            <w:tcW w:w="615" w:type="pct"/>
            <w:tcBorders>
              <w:top w:val="single" w:sz="6" w:space="0" w:color="auto"/>
              <w:left w:val="nil"/>
              <w:bottom w:val="single" w:sz="6" w:space="0" w:color="auto"/>
              <w:right w:val="nil"/>
            </w:tcBorders>
            <w:vAlign w:val="center"/>
            <w:hideMark/>
          </w:tcPr>
          <w:p w14:paraId="47235739" w14:textId="77777777" w:rsidR="00DD6549" w:rsidRPr="004F02AF" w:rsidRDefault="00DD6549" w:rsidP="00341F86">
            <w:r w:rsidRPr="004F02AF">
              <w:t>Variable Symbol</w:t>
            </w:r>
          </w:p>
        </w:tc>
        <w:tc>
          <w:tcPr>
            <w:tcW w:w="1065" w:type="pct"/>
            <w:tcBorders>
              <w:top w:val="single" w:sz="8" w:space="0" w:color="auto"/>
              <w:left w:val="nil"/>
              <w:bottom w:val="single" w:sz="8" w:space="0" w:color="auto"/>
              <w:right w:val="nil"/>
            </w:tcBorders>
            <w:vAlign w:val="center"/>
            <w:hideMark/>
          </w:tcPr>
          <w:p w14:paraId="31D60F6F" w14:textId="77777777" w:rsidR="00DD6549" w:rsidRPr="004F02AF" w:rsidRDefault="00DD6549" w:rsidP="00341F86">
            <w:r w:rsidRPr="004F02AF">
              <w:t>Variable Definition</w:t>
            </w:r>
          </w:p>
        </w:tc>
        <w:tc>
          <w:tcPr>
            <w:tcW w:w="538" w:type="pct"/>
            <w:tcBorders>
              <w:top w:val="single" w:sz="8" w:space="0" w:color="auto"/>
              <w:left w:val="nil"/>
              <w:bottom w:val="single" w:sz="8" w:space="0" w:color="auto"/>
              <w:right w:val="nil"/>
            </w:tcBorders>
            <w:vAlign w:val="center"/>
            <w:hideMark/>
          </w:tcPr>
          <w:p w14:paraId="7C1AD41C" w14:textId="77777777" w:rsidR="00DD6549" w:rsidRPr="004F02AF" w:rsidRDefault="00DD6549" w:rsidP="00341F86">
            <w:r w:rsidRPr="004F02AF">
              <w:t>Sample Size</w:t>
            </w:r>
          </w:p>
        </w:tc>
        <w:tc>
          <w:tcPr>
            <w:tcW w:w="515" w:type="pct"/>
            <w:tcBorders>
              <w:top w:val="single" w:sz="8" w:space="0" w:color="auto"/>
              <w:left w:val="nil"/>
              <w:bottom w:val="single" w:sz="8" w:space="0" w:color="auto"/>
              <w:right w:val="nil"/>
            </w:tcBorders>
            <w:vAlign w:val="center"/>
            <w:hideMark/>
          </w:tcPr>
          <w:p w14:paraId="2C483E9E" w14:textId="77777777" w:rsidR="00DD6549" w:rsidRPr="004F02AF" w:rsidRDefault="00DD6549" w:rsidP="00341F86">
            <w:r w:rsidRPr="004F02AF">
              <w:t>Mean</w:t>
            </w:r>
          </w:p>
        </w:tc>
        <w:tc>
          <w:tcPr>
            <w:tcW w:w="518" w:type="pct"/>
            <w:tcBorders>
              <w:top w:val="single" w:sz="8" w:space="0" w:color="auto"/>
              <w:left w:val="nil"/>
              <w:bottom w:val="single" w:sz="8" w:space="0" w:color="auto"/>
              <w:right w:val="nil"/>
            </w:tcBorders>
            <w:vAlign w:val="center"/>
            <w:hideMark/>
          </w:tcPr>
          <w:p w14:paraId="6A970465" w14:textId="77777777" w:rsidR="00DD6549" w:rsidRPr="004F02AF" w:rsidRDefault="00DD6549" w:rsidP="00341F86">
            <w:r w:rsidRPr="004F02AF">
              <w:t>Std. Dev.</w:t>
            </w:r>
          </w:p>
        </w:tc>
        <w:tc>
          <w:tcPr>
            <w:tcW w:w="521" w:type="pct"/>
            <w:tcBorders>
              <w:top w:val="single" w:sz="8" w:space="0" w:color="auto"/>
              <w:left w:val="nil"/>
              <w:bottom w:val="single" w:sz="8" w:space="0" w:color="auto"/>
              <w:right w:val="nil"/>
            </w:tcBorders>
            <w:vAlign w:val="center"/>
            <w:hideMark/>
          </w:tcPr>
          <w:p w14:paraId="3E907E18" w14:textId="77777777" w:rsidR="00DD6549" w:rsidRPr="004F02AF" w:rsidRDefault="00DD6549" w:rsidP="00341F86">
            <w:r w:rsidRPr="004F02AF">
              <w:t>Min</w:t>
            </w:r>
          </w:p>
        </w:tc>
        <w:tc>
          <w:tcPr>
            <w:tcW w:w="512" w:type="pct"/>
            <w:tcBorders>
              <w:top w:val="single" w:sz="8" w:space="0" w:color="auto"/>
              <w:left w:val="nil"/>
              <w:bottom w:val="single" w:sz="8" w:space="0" w:color="auto"/>
              <w:right w:val="nil"/>
            </w:tcBorders>
            <w:vAlign w:val="center"/>
            <w:hideMark/>
          </w:tcPr>
          <w:p w14:paraId="48422BAC" w14:textId="77777777" w:rsidR="00DD6549" w:rsidRPr="004F02AF" w:rsidRDefault="00DD6549" w:rsidP="00341F86">
            <w:r w:rsidRPr="004F02AF">
              <w:t>Max</w:t>
            </w:r>
          </w:p>
        </w:tc>
      </w:tr>
      <w:tr w:rsidR="00DD6549" w:rsidRPr="004F02AF" w14:paraId="5630BDA2" w14:textId="77777777" w:rsidTr="00341F86">
        <w:trPr>
          <w:trHeight w:val="113"/>
          <w:jc w:val="center"/>
        </w:trPr>
        <w:tc>
          <w:tcPr>
            <w:tcW w:w="717" w:type="pct"/>
            <w:tcBorders>
              <w:top w:val="single" w:sz="6" w:space="0" w:color="auto"/>
              <w:left w:val="nil"/>
              <w:bottom w:val="single" w:sz="4" w:space="0" w:color="auto"/>
              <w:right w:val="single" w:sz="4" w:space="0" w:color="auto"/>
            </w:tcBorders>
            <w:vAlign w:val="center"/>
            <w:hideMark/>
          </w:tcPr>
          <w:p w14:paraId="5BF662F5" w14:textId="77777777" w:rsidR="00DD6549" w:rsidRPr="004F02AF" w:rsidRDefault="00DD6549" w:rsidP="00341F86">
            <w:pPr>
              <w:rPr>
                <w:i/>
                <w:iCs/>
              </w:rPr>
            </w:pPr>
            <w:r w:rsidRPr="004F02AF">
              <w:t>Dependent Variable</w:t>
            </w:r>
          </w:p>
        </w:tc>
        <w:tc>
          <w:tcPr>
            <w:tcW w:w="615" w:type="pct"/>
            <w:tcBorders>
              <w:top w:val="single" w:sz="6" w:space="0" w:color="auto"/>
              <w:left w:val="nil"/>
              <w:bottom w:val="nil"/>
              <w:right w:val="nil"/>
            </w:tcBorders>
            <w:vAlign w:val="center"/>
            <w:hideMark/>
          </w:tcPr>
          <w:p w14:paraId="163F2B85" w14:textId="77777777" w:rsidR="00DD6549" w:rsidRPr="004F02AF" w:rsidRDefault="00DD6549" w:rsidP="00341F86">
            <w:r w:rsidRPr="004F02AF">
              <w:t>Entry</w:t>
            </w:r>
          </w:p>
        </w:tc>
        <w:tc>
          <w:tcPr>
            <w:tcW w:w="1065" w:type="pct"/>
            <w:tcBorders>
              <w:top w:val="single" w:sz="8" w:space="0" w:color="auto"/>
              <w:left w:val="nil"/>
              <w:bottom w:val="nil"/>
              <w:right w:val="nil"/>
            </w:tcBorders>
            <w:vAlign w:val="center"/>
            <w:hideMark/>
          </w:tcPr>
          <w:p w14:paraId="107550FB" w14:textId="77777777" w:rsidR="00DD6549" w:rsidRPr="004F02AF" w:rsidRDefault="00DD6549" w:rsidP="00341F86">
            <w:r w:rsidRPr="004F02AF">
              <w:t>Number of Newly Established Enterprises in the Current Year / Total Number of Enterprises at Period-End</w:t>
            </w:r>
          </w:p>
        </w:tc>
        <w:tc>
          <w:tcPr>
            <w:tcW w:w="538" w:type="pct"/>
            <w:tcBorders>
              <w:top w:val="single" w:sz="8" w:space="0" w:color="auto"/>
              <w:left w:val="nil"/>
              <w:bottom w:val="nil"/>
              <w:right w:val="nil"/>
            </w:tcBorders>
            <w:vAlign w:val="center"/>
            <w:hideMark/>
          </w:tcPr>
          <w:p w14:paraId="7FB0617B" w14:textId="77777777" w:rsidR="00DD6549" w:rsidRPr="004F02AF" w:rsidRDefault="00DD6549" w:rsidP="00341F86">
            <w:r w:rsidRPr="004F02AF">
              <w:t>43170</w:t>
            </w:r>
          </w:p>
        </w:tc>
        <w:tc>
          <w:tcPr>
            <w:tcW w:w="515" w:type="pct"/>
            <w:tcBorders>
              <w:top w:val="single" w:sz="8" w:space="0" w:color="auto"/>
              <w:left w:val="nil"/>
              <w:bottom w:val="nil"/>
              <w:right w:val="nil"/>
            </w:tcBorders>
            <w:vAlign w:val="center"/>
            <w:hideMark/>
          </w:tcPr>
          <w:p w14:paraId="2C98A3A5" w14:textId="77777777" w:rsidR="00DD6549" w:rsidRPr="004F02AF" w:rsidRDefault="00DD6549" w:rsidP="00341F86">
            <w:r w:rsidRPr="004F02AF">
              <w:t>0.239</w:t>
            </w:r>
          </w:p>
        </w:tc>
        <w:tc>
          <w:tcPr>
            <w:tcW w:w="518" w:type="pct"/>
            <w:tcBorders>
              <w:top w:val="single" w:sz="8" w:space="0" w:color="auto"/>
              <w:left w:val="nil"/>
              <w:bottom w:val="nil"/>
              <w:right w:val="nil"/>
            </w:tcBorders>
            <w:vAlign w:val="center"/>
            <w:hideMark/>
          </w:tcPr>
          <w:p w14:paraId="76CAC36F" w14:textId="77777777" w:rsidR="00DD6549" w:rsidRPr="004F02AF" w:rsidRDefault="00DD6549" w:rsidP="00341F86">
            <w:r w:rsidRPr="004F02AF">
              <w:t>0.177</w:t>
            </w:r>
          </w:p>
        </w:tc>
        <w:tc>
          <w:tcPr>
            <w:tcW w:w="521" w:type="pct"/>
            <w:tcBorders>
              <w:top w:val="single" w:sz="8" w:space="0" w:color="auto"/>
              <w:left w:val="nil"/>
              <w:bottom w:val="nil"/>
              <w:right w:val="nil"/>
            </w:tcBorders>
            <w:vAlign w:val="center"/>
            <w:hideMark/>
          </w:tcPr>
          <w:p w14:paraId="5BB87900" w14:textId="77777777" w:rsidR="00DD6549" w:rsidRPr="004F02AF" w:rsidRDefault="00DD6549" w:rsidP="00341F86">
            <w:r w:rsidRPr="004F02AF">
              <w:t>0</w:t>
            </w:r>
          </w:p>
        </w:tc>
        <w:tc>
          <w:tcPr>
            <w:tcW w:w="512" w:type="pct"/>
            <w:tcBorders>
              <w:top w:val="single" w:sz="8" w:space="0" w:color="auto"/>
              <w:left w:val="nil"/>
              <w:bottom w:val="nil"/>
              <w:right w:val="nil"/>
            </w:tcBorders>
            <w:vAlign w:val="center"/>
            <w:hideMark/>
          </w:tcPr>
          <w:p w14:paraId="4F06E29F" w14:textId="77777777" w:rsidR="00DD6549" w:rsidRPr="004F02AF" w:rsidRDefault="00DD6549" w:rsidP="00341F86">
            <w:r w:rsidRPr="004F02AF">
              <w:t>1.75</w:t>
            </w:r>
          </w:p>
        </w:tc>
      </w:tr>
      <w:tr w:rsidR="00DD6549" w:rsidRPr="004F02AF" w14:paraId="2A5FFFCB" w14:textId="77777777" w:rsidTr="00341F86">
        <w:trPr>
          <w:trHeight w:val="113"/>
          <w:jc w:val="center"/>
        </w:trPr>
        <w:tc>
          <w:tcPr>
            <w:tcW w:w="717" w:type="pct"/>
            <w:tcBorders>
              <w:top w:val="single" w:sz="4" w:space="0" w:color="auto"/>
              <w:left w:val="nil"/>
              <w:bottom w:val="nil"/>
              <w:right w:val="single" w:sz="4" w:space="0" w:color="auto"/>
            </w:tcBorders>
            <w:vAlign w:val="center"/>
            <w:hideMark/>
          </w:tcPr>
          <w:p w14:paraId="26E7E1D2" w14:textId="77777777" w:rsidR="00DD6549" w:rsidRPr="004F02AF" w:rsidRDefault="00DD6549" w:rsidP="00341F86">
            <w:pPr>
              <w:rPr>
                <w:i/>
                <w:iCs/>
              </w:rPr>
            </w:pPr>
            <w:r w:rsidRPr="004F02AF">
              <w:t>Explanatory Variable</w:t>
            </w:r>
          </w:p>
        </w:tc>
        <w:tc>
          <w:tcPr>
            <w:tcW w:w="615" w:type="pct"/>
            <w:tcBorders>
              <w:top w:val="nil"/>
              <w:left w:val="nil"/>
              <w:bottom w:val="nil"/>
              <w:right w:val="nil"/>
            </w:tcBorders>
            <w:vAlign w:val="center"/>
            <w:hideMark/>
          </w:tcPr>
          <w:p w14:paraId="28CEF355" w14:textId="77777777" w:rsidR="00DD6549" w:rsidRPr="004F02AF" w:rsidRDefault="00DD6549" w:rsidP="00341F86">
            <w:r w:rsidRPr="004F02AF">
              <w:t>DI</w:t>
            </w:r>
          </w:p>
        </w:tc>
        <w:tc>
          <w:tcPr>
            <w:tcW w:w="1065" w:type="pct"/>
            <w:tcBorders>
              <w:top w:val="nil"/>
              <w:left w:val="nil"/>
              <w:bottom w:val="nil"/>
              <w:right w:val="nil"/>
            </w:tcBorders>
            <w:vAlign w:val="center"/>
            <w:hideMark/>
          </w:tcPr>
          <w:p w14:paraId="2659C6A4" w14:textId="77777777" w:rsidR="00DD6549" w:rsidRPr="004F02AF" w:rsidRDefault="00DD6549" w:rsidP="00341F86">
            <w:r w:rsidRPr="004F02AF">
              <w:t>Total Number of 4G/5G Base Stations / Total Population of Each County-Level Administrative Region</w:t>
            </w:r>
          </w:p>
        </w:tc>
        <w:tc>
          <w:tcPr>
            <w:tcW w:w="538" w:type="pct"/>
            <w:tcBorders>
              <w:top w:val="nil"/>
              <w:left w:val="nil"/>
              <w:bottom w:val="nil"/>
              <w:right w:val="nil"/>
            </w:tcBorders>
            <w:vAlign w:val="center"/>
            <w:hideMark/>
          </w:tcPr>
          <w:p w14:paraId="5D265559"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22A51405" w14:textId="77777777" w:rsidR="00DD6549" w:rsidRPr="004F02AF" w:rsidRDefault="00DD6549" w:rsidP="00341F86">
            <w:r w:rsidRPr="004F02AF">
              <w:t>0.827</w:t>
            </w:r>
          </w:p>
        </w:tc>
        <w:tc>
          <w:tcPr>
            <w:tcW w:w="518" w:type="pct"/>
            <w:tcBorders>
              <w:top w:val="nil"/>
              <w:left w:val="nil"/>
              <w:bottom w:val="nil"/>
              <w:right w:val="nil"/>
            </w:tcBorders>
            <w:vAlign w:val="center"/>
            <w:hideMark/>
          </w:tcPr>
          <w:p w14:paraId="31FDD1BE" w14:textId="77777777" w:rsidR="00DD6549" w:rsidRPr="004F02AF" w:rsidRDefault="00DD6549" w:rsidP="00341F86">
            <w:r w:rsidRPr="004F02AF">
              <w:t>1.764</w:t>
            </w:r>
          </w:p>
        </w:tc>
        <w:tc>
          <w:tcPr>
            <w:tcW w:w="521" w:type="pct"/>
            <w:tcBorders>
              <w:top w:val="nil"/>
              <w:left w:val="nil"/>
              <w:bottom w:val="nil"/>
              <w:right w:val="nil"/>
            </w:tcBorders>
            <w:vAlign w:val="center"/>
            <w:hideMark/>
          </w:tcPr>
          <w:p w14:paraId="71643C43" w14:textId="77777777" w:rsidR="00DD6549" w:rsidRPr="004F02AF" w:rsidRDefault="00DD6549" w:rsidP="00341F86">
            <w:r w:rsidRPr="004F02AF">
              <w:t>0</w:t>
            </w:r>
          </w:p>
        </w:tc>
        <w:tc>
          <w:tcPr>
            <w:tcW w:w="512" w:type="pct"/>
            <w:tcBorders>
              <w:top w:val="nil"/>
              <w:left w:val="nil"/>
              <w:bottom w:val="nil"/>
              <w:right w:val="nil"/>
            </w:tcBorders>
            <w:vAlign w:val="center"/>
            <w:hideMark/>
          </w:tcPr>
          <w:p w14:paraId="2D68D92B" w14:textId="77777777" w:rsidR="00DD6549" w:rsidRPr="004F02AF" w:rsidRDefault="00DD6549" w:rsidP="00341F86">
            <w:r w:rsidRPr="004F02AF">
              <w:t>40.813</w:t>
            </w:r>
          </w:p>
        </w:tc>
      </w:tr>
      <w:tr w:rsidR="00DD6549" w:rsidRPr="004F02AF" w14:paraId="6D7B2695" w14:textId="77777777" w:rsidTr="00341F86">
        <w:trPr>
          <w:trHeight w:val="113"/>
          <w:jc w:val="center"/>
        </w:trPr>
        <w:tc>
          <w:tcPr>
            <w:tcW w:w="717" w:type="pct"/>
            <w:vMerge w:val="restart"/>
            <w:tcBorders>
              <w:top w:val="single" w:sz="8" w:space="0" w:color="auto"/>
              <w:left w:val="nil"/>
              <w:bottom w:val="single" w:sz="8" w:space="0" w:color="auto"/>
              <w:right w:val="single" w:sz="4" w:space="0" w:color="auto"/>
            </w:tcBorders>
            <w:vAlign w:val="center"/>
            <w:hideMark/>
          </w:tcPr>
          <w:p w14:paraId="3FE4D8ED" w14:textId="77777777" w:rsidR="00DD6549" w:rsidRPr="004F02AF" w:rsidRDefault="00DD6549" w:rsidP="00341F86">
            <w:pPr>
              <w:rPr>
                <w:i/>
                <w:iCs/>
              </w:rPr>
            </w:pPr>
            <w:r w:rsidRPr="004F02AF">
              <w:t>Control Variable</w:t>
            </w:r>
          </w:p>
        </w:tc>
        <w:tc>
          <w:tcPr>
            <w:tcW w:w="615" w:type="pct"/>
            <w:tcBorders>
              <w:top w:val="single" w:sz="8" w:space="0" w:color="auto"/>
              <w:left w:val="single" w:sz="4" w:space="0" w:color="auto"/>
              <w:bottom w:val="nil"/>
              <w:right w:val="nil"/>
            </w:tcBorders>
            <w:vAlign w:val="center"/>
            <w:hideMark/>
          </w:tcPr>
          <w:p w14:paraId="4962CF31" w14:textId="77777777" w:rsidR="00DD6549" w:rsidRPr="004F02AF" w:rsidRDefault="00DD6549" w:rsidP="00341F86">
            <w:r w:rsidRPr="004F02AF">
              <w:t>LnGDP</w:t>
            </w:r>
          </w:p>
        </w:tc>
        <w:tc>
          <w:tcPr>
            <w:tcW w:w="1065" w:type="pct"/>
            <w:tcBorders>
              <w:top w:val="single" w:sz="8" w:space="0" w:color="auto"/>
              <w:left w:val="nil"/>
              <w:bottom w:val="nil"/>
              <w:right w:val="nil"/>
            </w:tcBorders>
            <w:vAlign w:val="center"/>
            <w:hideMark/>
          </w:tcPr>
          <w:p w14:paraId="6EB3757F" w14:textId="77777777" w:rsidR="00DD6549" w:rsidRPr="004F02AF" w:rsidRDefault="00DD6549" w:rsidP="00341F86">
            <w:r w:rsidRPr="004F02AF">
              <w:t>County-Level GDP (Logarithm)</w:t>
            </w:r>
          </w:p>
        </w:tc>
        <w:tc>
          <w:tcPr>
            <w:tcW w:w="538" w:type="pct"/>
            <w:tcBorders>
              <w:top w:val="single" w:sz="8" w:space="0" w:color="auto"/>
              <w:left w:val="nil"/>
              <w:bottom w:val="nil"/>
              <w:right w:val="nil"/>
            </w:tcBorders>
            <w:vAlign w:val="center"/>
            <w:hideMark/>
          </w:tcPr>
          <w:p w14:paraId="75AF7C26" w14:textId="77777777" w:rsidR="00DD6549" w:rsidRPr="004F02AF" w:rsidRDefault="00DD6549" w:rsidP="00341F86">
            <w:r w:rsidRPr="004F02AF">
              <w:t>43170</w:t>
            </w:r>
          </w:p>
        </w:tc>
        <w:tc>
          <w:tcPr>
            <w:tcW w:w="515" w:type="pct"/>
            <w:tcBorders>
              <w:top w:val="single" w:sz="8" w:space="0" w:color="auto"/>
              <w:left w:val="nil"/>
              <w:bottom w:val="nil"/>
              <w:right w:val="nil"/>
            </w:tcBorders>
            <w:vAlign w:val="center"/>
            <w:hideMark/>
          </w:tcPr>
          <w:p w14:paraId="683AB71D" w14:textId="77777777" w:rsidR="00DD6549" w:rsidRPr="004F02AF" w:rsidRDefault="00DD6549" w:rsidP="00341F86">
            <w:r w:rsidRPr="004F02AF">
              <w:t>14.492</w:t>
            </w:r>
          </w:p>
        </w:tc>
        <w:tc>
          <w:tcPr>
            <w:tcW w:w="518" w:type="pct"/>
            <w:tcBorders>
              <w:top w:val="single" w:sz="8" w:space="0" w:color="auto"/>
              <w:left w:val="nil"/>
              <w:bottom w:val="nil"/>
              <w:right w:val="nil"/>
            </w:tcBorders>
            <w:vAlign w:val="center"/>
            <w:hideMark/>
          </w:tcPr>
          <w:p w14:paraId="2F8FB05F" w14:textId="77777777" w:rsidR="00DD6549" w:rsidRPr="004F02AF" w:rsidRDefault="00DD6549" w:rsidP="00341F86">
            <w:r w:rsidRPr="004F02AF">
              <w:t>0.946</w:t>
            </w:r>
          </w:p>
        </w:tc>
        <w:tc>
          <w:tcPr>
            <w:tcW w:w="521" w:type="pct"/>
            <w:tcBorders>
              <w:top w:val="single" w:sz="8" w:space="0" w:color="auto"/>
              <w:left w:val="nil"/>
              <w:bottom w:val="nil"/>
              <w:right w:val="nil"/>
            </w:tcBorders>
            <w:vAlign w:val="center"/>
            <w:hideMark/>
          </w:tcPr>
          <w:p w14:paraId="366E0860" w14:textId="77777777" w:rsidR="00DD6549" w:rsidRPr="004F02AF" w:rsidRDefault="00DD6549" w:rsidP="00341F86">
            <w:r w:rsidRPr="004F02AF">
              <w:t>10.275</w:t>
            </w:r>
          </w:p>
        </w:tc>
        <w:tc>
          <w:tcPr>
            <w:tcW w:w="512" w:type="pct"/>
            <w:tcBorders>
              <w:top w:val="single" w:sz="8" w:space="0" w:color="auto"/>
              <w:left w:val="nil"/>
              <w:bottom w:val="nil"/>
              <w:right w:val="nil"/>
            </w:tcBorders>
            <w:vAlign w:val="center"/>
            <w:hideMark/>
          </w:tcPr>
          <w:p w14:paraId="364418E0" w14:textId="77777777" w:rsidR="00DD6549" w:rsidRPr="004F02AF" w:rsidRDefault="00DD6549" w:rsidP="00341F86">
            <w:r w:rsidRPr="004F02AF">
              <w:t>17.729</w:t>
            </w:r>
          </w:p>
        </w:tc>
      </w:tr>
      <w:tr w:rsidR="00DD6549" w:rsidRPr="004F02AF" w14:paraId="154352AA"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288420D6" w14:textId="77777777" w:rsidR="00DD6549" w:rsidRPr="004F02AF" w:rsidRDefault="00DD6549" w:rsidP="00341F86"/>
        </w:tc>
        <w:tc>
          <w:tcPr>
            <w:tcW w:w="615" w:type="pct"/>
            <w:tcBorders>
              <w:top w:val="nil"/>
              <w:left w:val="single" w:sz="4" w:space="0" w:color="auto"/>
              <w:bottom w:val="nil"/>
              <w:right w:val="nil"/>
            </w:tcBorders>
            <w:vAlign w:val="center"/>
            <w:hideMark/>
          </w:tcPr>
          <w:p w14:paraId="6FEC6B36" w14:textId="77777777" w:rsidR="00DD6549" w:rsidRPr="004F02AF" w:rsidRDefault="00DD6549" w:rsidP="00341F86">
            <w:r w:rsidRPr="004F02AF">
              <w:t>Ind</w:t>
            </w:r>
          </w:p>
        </w:tc>
        <w:tc>
          <w:tcPr>
            <w:tcW w:w="1065" w:type="pct"/>
            <w:tcBorders>
              <w:top w:val="nil"/>
              <w:left w:val="nil"/>
              <w:bottom w:val="nil"/>
              <w:right w:val="nil"/>
            </w:tcBorders>
            <w:vAlign w:val="center"/>
            <w:hideMark/>
          </w:tcPr>
          <w:p w14:paraId="5BD9DCAB" w14:textId="77777777" w:rsidR="00DD6549" w:rsidRPr="004F02AF" w:rsidRDefault="00DD6549" w:rsidP="00341F86">
            <w:r w:rsidRPr="004F02AF">
              <w:t>Value-Added of the Tertiary Industry / County-Level GDP</w:t>
            </w:r>
          </w:p>
        </w:tc>
        <w:tc>
          <w:tcPr>
            <w:tcW w:w="538" w:type="pct"/>
            <w:tcBorders>
              <w:top w:val="nil"/>
              <w:left w:val="nil"/>
              <w:bottom w:val="nil"/>
              <w:right w:val="nil"/>
            </w:tcBorders>
            <w:vAlign w:val="center"/>
            <w:hideMark/>
          </w:tcPr>
          <w:p w14:paraId="4FF3753F"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49E5C5A8" w14:textId="77777777" w:rsidR="00DD6549" w:rsidRPr="004F02AF" w:rsidRDefault="00DD6549" w:rsidP="00341F86">
            <w:r w:rsidRPr="004F02AF">
              <w:t>0.431</w:t>
            </w:r>
          </w:p>
        </w:tc>
        <w:tc>
          <w:tcPr>
            <w:tcW w:w="518" w:type="pct"/>
            <w:tcBorders>
              <w:top w:val="nil"/>
              <w:left w:val="nil"/>
              <w:bottom w:val="nil"/>
              <w:right w:val="nil"/>
            </w:tcBorders>
            <w:vAlign w:val="center"/>
            <w:hideMark/>
          </w:tcPr>
          <w:p w14:paraId="0EDC9AB9" w14:textId="77777777" w:rsidR="00DD6549" w:rsidRPr="004F02AF" w:rsidRDefault="00DD6549" w:rsidP="00341F86">
            <w:r w:rsidRPr="004F02AF">
              <w:t>0.106</w:t>
            </w:r>
          </w:p>
        </w:tc>
        <w:tc>
          <w:tcPr>
            <w:tcW w:w="521" w:type="pct"/>
            <w:tcBorders>
              <w:top w:val="nil"/>
              <w:left w:val="nil"/>
              <w:bottom w:val="nil"/>
              <w:right w:val="nil"/>
            </w:tcBorders>
            <w:vAlign w:val="center"/>
            <w:hideMark/>
          </w:tcPr>
          <w:p w14:paraId="402852C5" w14:textId="77777777" w:rsidR="00DD6549" w:rsidRPr="004F02AF" w:rsidRDefault="00DD6549" w:rsidP="00341F86">
            <w:r w:rsidRPr="004F02AF">
              <w:t>0.076</w:t>
            </w:r>
          </w:p>
        </w:tc>
        <w:tc>
          <w:tcPr>
            <w:tcW w:w="512" w:type="pct"/>
            <w:tcBorders>
              <w:top w:val="nil"/>
              <w:left w:val="nil"/>
              <w:bottom w:val="nil"/>
              <w:right w:val="nil"/>
            </w:tcBorders>
            <w:vAlign w:val="center"/>
            <w:hideMark/>
          </w:tcPr>
          <w:p w14:paraId="65FC25CF" w14:textId="77777777" w:rsidR="00DD6549" w:rsidRPr="004F02AF" w:rsidRDefault="00DD6549" w:rsidP="00341F86">
            <w:r w:rsidRPr="004F02AF">
              <w:t>1.117</w:t>
            </w:r>
          </w:p>
        </w:tc>
      </w:tr>
      <w:tr w:rsidR="00DD6549" w:rsidRPr="004F02AF" w14:paraId="23C99E67"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52C6FCC7" w14:textId="77777777" w:rsidR="00DD6549" w:rsidRPr="004F02AF" w:rsidRDefault="00DD6549" w:rsidP="00341F86"/>
        </w:tc>
        <w:tc>
          <w:tcPr>
            <w:tcW w:w="615" w:type="pct"/>
            <w:tcBorders>
              <w:top w:val="nil"/>
              <w:left w:val="single" w:sz="4" w:space="0" w:color="auto"/>
              <w:bottom w:val="nil"/>
              <w:right w:val="nil"/>
            </w:tcBorders>
            <w:vAlign w:val="center"/>
            <w:hideMark/>
          </w:tcPr>
          <w:p w14:paraId="36DC40E6" w14:textId="77777777" w:rsidR="00DD6549" w:rsidRPr="004F02AF" w:rsidRDefault="00DD6549" w:rsidP="00341F86">
            <w:r w:rsidRPr="004F02AF">
              <w:t>Consume</w:t>
            </w:r>
          </w:p>
        </w:tc>
        <w:tc>
          <w:tcPr>
            <w:tcW w:w="1065" w:type="pct"/>
            <w:tcBorders>
              <w:top w:val="nil"/>
              <w:left w:val="nil"/>
              <w:bottom w:val="nil"/>
              <w:right w:val="nil"/>
            </w:tcBorders>
            <w:vAlign w:val="center"/>
            <w:hideMark/>
          </w:tcPr>
          <w:p w14:paraId="3AB292E5" w14:textId="77777777" w:rsidR="00DD6549" w:rsidRPr="004F02AF" w:rsidRDefault="00DD6549" w:rsidP="00341F86">
            <w:r w:rsidRPr="004F02AF">
              <w:t>Total Retail Sales of Consumer Goods / County-Level GDP</w:t>
            </w:r>
          </w:p>
        </w:tc>
        <w:tc>
          <w:tcPr>
            <w:tcW w:w="538" w:type="pct"/>
            <w:tcBorders>
              <w:top w:val="nil"/>
              <w:left w:val="nil"/>
              <w:bottom w:val="nil"/>
              <w:right w:val="nil"/>
            </w:tcBorders>
            <w:vAlign w:val="center"/>
            <w:hideMark/>
          </w:tcPr>
          <w:p w14:paraId="6FBA1EC6"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523B8BFD" w14:textId="77777777" w:rsidR="00DD6549" w:rsidRPr="004F02AF" w:rsidRDefault="00DD6549" w:rsidP="00341F86">
            <w:r w:rsidRPr="004F02AF">
              <w:t>0.367</w:t>
            </w:r>
          </w:p>
        </w:tc>
        <w:tc>
          <w:tcPr>
            <w:tcW w:w="518" w:type="pct"/>
            <w:tcBorders>
              <w:top w:val="nil"/>
              <w:left w:val="nil"/>
              <w:bottom w:val="nil"/>
              <w:right w:val="nil"/>
            </w:tcBorders>
            <w:vAlign w:val="center"/>
            <w:hideMark/>
          </w:tcPr>
          <w:p w14:paraId="51763EB4" w14:textId="77777777" w:rsidR="00DD6549" w:rsidRPr="004F02AF" w:rsidRDefault="00DD6549" w:rsidP="00341F86">
            <w:r w:rsidRPr="004F02AF">
              <w:t>0.162</w:t>
            </w:r>
          </w:p>
        </w:tc>
        <w:tc>
          <w:tcPr>
            <w:tcW w:w="521" w:type="pct"/>
            <w:tcBorders>
              <w:top w:val="nil"/>
              <w:left w:val="nil"/>
              <w:bottom w:val="nil"/>
              <w:right w:val="nil"/>
            </w:tcBorders>
            <w:vAlign w:val="center"/>
            <w:hideMark/>
          </w:tcPr>
          <w:p w14:paraId="40505868" w14:textId="77777777" w:rsidR="00DD6549" w:rsidRPr="004F02AF" w:rsidRDefault="00DD6549" w:rsidP="00341F86">
            <w:r w:rsidRPr="004F02AF">
              <w:t>0</w:t>
            </w:r>
          </w:p>
        </w:tc>
        <w:tc>
          <w:tcPr>
            <w:tcW w:w="512" w:type="pct"/>
            <w:tcBorders>
              <w:top w:val="nil"/>
              <w:left w:val="nil"/>
              <w:bottom w:val="nil"/>
              <w:right w:val="nil"/>
            </w:tcBorders>
            <w:vAlign w:val="center"/>
            <w:hideMark/>
          </w:tcPr>
          <w:p w14:paraId="655C5F87" w14:textId="77777777" w:rsidR="00DD6549" w:rsidRPr="004F02AF" w:rsidRDefault="00DD6549" w:rsidP="00341F86">
            <w:r w:rsidRPr="004F02AF">
              <w:t>2.027</w:t>
            </w:r>
          </w:p>
        </w:tc>
      </w:tr>
      <w:tr w:rsidR="00DD6549" w:rsidRPr="004F02AF" w14:paraId="1AAB45AB"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08CE9F87" w14:textId="77777777" w:rsidR="00DD6549" w:rsidRPr="004F02AF" w:rsidRDefault="00DD6549" w:rsidP="00341F86"/>
        </w:tc>
        <w:tc>
          <w:tcPr>
            <w:tcW w:w="615" w:type="pct"/>
            <w:tcBorders>
              <w:top w:val="nil"/>
              <w:left w:val="single" w:sz="4" w:space="0" w:color="auto"/>
              <w:bottom w:val="nil"/>
              <w:right w:val="nil"/>
            </w:tcBorders>
            <w:vAlign w:val="center"/>
            <w:hideMark/>
          </w:tcPr>
          <w:p w14:paraId="79CAA3CE" w14:textId="77777777" w:rsidR="00DD6549" w:rsidRPr="004F02AF" w:rsidRDefault="00DD6549" w:rsidP="00341F86">
            <w:r w:rsidRPr="004F02AF">
              <w:t>Medical</w:t>
            </w:r>
          </w:p>
        </w:tc>
        <w:tc>
          <w:tcPr>
            <w:tcW w:w="1065" w:type="pct"/>
            <w:tcBorders>
              <w:top w:val="nil"/>
              <w:left w:val="nil"/>
              <w:bottom w:val="nil"/>
              <w:right w:val="nil"/>
            </w:tcBorders>
            <w:vAlign w:val="center"/>
            <w:hideMark/>
          </w:tcPr>
          <w:p w14:paraId="6DFB04A7" w14:textId="77777777" w:rsidR="00DD6549" w:rsidRPr="004F02AF" w:rsidRDefault="00DD6549" w:rsidP="00341F86">
            <w:r w:rsidRPr="004F02AF">
              <w:t>Number of Hospital Beds per 10,000 Population</w:t>
            </w:r>
          </w:p>
        </w:tc>
        <w:tc>
          <w:tcPr>
            <w:tcW w:w="538" w:type="pct"/>
            <w:tcBorders>
              <w:top w:val="nil"/>
              <w:left w:val="nil"/>
              <w:bottom w:val="nil"/>
              <w:right w:val="nil"/>
            </w:tcBorders>
            <w:vAlign w:val="center"/>
            <w:hideMark/>
          </w:tcPr>
          <w:p w14:paraId="51EE6D62"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42E7260A" w14:textId="77777777" w:rsidR="00DD6549" w:rsidRPr="004F02AF" w:rsidRDefault="00DD6549" w:rsidP="00341F86">
            <w:r w:rsidRPr="004F02AF">
              <w:t>50.471</w:t>
            </w:r>
          </w:p>
        </w:tc>
        <w:tc>
          <w:tcPr>
            <w:tcW w:w="518" w:type="pct"/>
            <w:tcBorders>
              <w:top w:val="nil"/>
              <w:left w:val="nil"/>
              <w:bottom w:val="nil"/>
              <w:right w:val="nil"/>
            </w:tcBorders>
            <w:vAlign w:val="center"/>
            <w:hideMark/>
          </w:tcPr>
          <w:p w14:paraId="38AB1484" w14:textId="77777777" w:rsidR="00DD6549" w:rsidRPr="004F02AF" w:rsidRDefault="00DD6549" w:rsidP="00341F86">
            <w:r w:rsidRPr="004F02AF">
              <w:t>27.417</w:t>
            </w:r>
          </w:p>
        </w:tc>
        <w:tc>
          <w:tcPr>
            <w:tcW w:w="521" w:type="pct"/>
            <w:tcBorders>
              <w:top w:val="nil"/>
              <w:left w:val="nil"/>
              <w:bottom w:val="nil"/>
              <w:right w:val="nil"/>
            </w:tcBorders>
            <w:vAlign w:val="center"/>
            <w:hideMark/>
          </w:tcPr>
          <w:p w14:paraId="163EDF5A" w14:textId="77777777" w:rsidR="00DD6549" w:rsidRPr="004F02AF" w:rsidRDefault="00DD6549" w:rsidP="00341F86">
            <w:r w:rsidRPr="004F02AF">
              <w:t>0</w:t>
            </w:r>
          </w:p>
        </w:tc>
        <w:tc>
          <w:tcPr>
            <w:tcW w:w="512" w:type="pct"/>
            <w:tcBorders>
              <w:top w:val="nil"/>
              <w:left w:val="nil"/>
              <w:bottom w:val="nil"/>
              <w:right w:val="nil"/>
            </w:tcBorders>
            <w:vAlign w:val="center"/>
            <w:hideMark/>
          </w:tcPr>
          <w:p w14:paraId="050B398B" w14:textId="77777777" w:rsidR="00DD6549" w:rsidRPr="004F02AF" w:rsidRDefault="00DD6549" w:rsidP="00341F86">
            <w:r w:rsidRPr="004F02AF">
              <w:t>1858</w:t>
            </w:r>
          </w:p>
        </w:tc>
      </w:tr>
      <w:tr w:rsidR="00DD6549" w:rsidRPr="004F02AF" w14:paraId="69FA9967"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379C5F21" w14:textId="77777777" w:rsidR="00DD6549" w:rsidRPr="004F02AF" w:rsidRDefault="00DD6549" w:rsidP="00341F86"/>
        </w:tc>
        <w:tc>
          <w:tcPr>
            <w:tcW w:w="615" w:type="pct"/>
            <w:tcBorders>
              <w:top w:val="nil"/>
              <w:left w:val="single" w:sz="4" w:space="0" w:color="auto"/>
              <w:bottom w:val="nil"/>
              <w:right w:val="nil"/>
            </w:tcBorders>
            <w:vAlign w:val="center"/>
            <w:hideMark/>
          </w:tcPr>
          <w:p w14:paraId="04FA3CB3" w14:textId="77777777" w:rsidR="00DD6549" w:rsidRPr="004F02AF" w:rsidRDefault="00DD6549" w:rsidP="00341F86">
            <w:r w:rsidRPr="004F02AF">
              <w:t>Mobile</w:t>
            </w:r>
          </w:p>
        </w:tc>
        <w:tc>
          <w:tcPr>
            <w:tcW w:w="1065" w:type="pct"/>
            <w:tcBorders>
              <w:top w:val="nil"/>
              <w:left w:val="nil"/>
              <w:bottom w:val="nil"/>
              <w:right w:val="nil"/>
            </w:tcBorders>
            <w:vAlign w:val="center"/>
            <w:hideMark/>
          </w:tcPr>
          <w:p w14:paraId="0EF74BFD" w14:textId="77777777" w:rsidR="00DD6549" w:rsidRPr="004F02AF" w:rsidRDefault="00DD6549" w:rsidP="00341F86">
            <w:r w:rsidRPr="004F02AF">
              <w:t>Mobile Phone Subscribers per Capita * 100</w:t>
            </w:r>
          </w:p>
        </w:tc>
        <w:tc>
          <w:tcPr>
            <w:tcW w:w="538" w:type="pct"/>
            <w:tcBorders>
              <w:top w:val="nil"/>
              <w:left w:val="nil"/>
              <w:bottom w:val="nil"/>
              <w:right w:val="nil"/>
            </w:tcBorders>
            <w:vAlign w:val="center"/>
            <w:hideMark/>
          </w:tcPr>
          <w:p w14:paraId="402ADBC9"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473E94AC" w14:textId="77777777" w:rsidR="00DD6549" w:rsidRPr="004F02AF" w:rsidRDefault="00DD6549" w:rsidP="00341F86">
            <w:r w:rsidRPr="004F02AF">
              <w:t>0.144</w:t>
            </w:r>
          </w:p>
        </w:tc>
        <w:tc>
          <w:tcPr>
            <w:tcW w:w="518" w:type="pct"/>
            <w:tcBorders>
              <w:top w:val="nil"/>
              <w:left w:val="nil"/>
              <w:bottom w:val="nil"/>
              <w:right w:val="nil"/>
            </w:tcBorders>
            <w:vAlign w:val="center"/>
            <w:hideMark/>
          </w:tcPr>
          <w:p w14:paraId="46DA5E7B" w14:textId="77777777" w:rsidR="00DD6549" w:rsidRPr="004F02AF" w:rsidRDefault="00DD6549" w:rsidP="00341F86">
            <w:r w:rsidRPr="004F02AF">
              <w:t>0.225</w:t>
            </w:r>
          </w:p>
        </w:tc>
        <w:tc>
          <w:tcPr>
            <w:tcW w:w="521" w:type="pct"/>
            <w:tcBorders>
              <w:top w:val="nil"/>
              <w:left w:val="nil"/>
              <w:bottom w:val="nil"/>
              <w:right w:val="nil"/>
            </w:tcBorders>
            <w:vAlign w:val="center"/>
            <w:hideMark/>
          </w:tcPr>
          <w:p w14:paraId="42675FE9" w14:textId="77777777" w:rsidR="00DD6549" w:rsidRPr="004F02AF" w:rsidRDefault="00DD6549" w:rsidP="00341F86">
            <w:r w:rsidRPr="004F02AF">
              <w:t>0</w:t>
            </w:r>
          </w:p>
        </w:tc>
        <w:tc>
          <w:tcPr>
            <w:tcW w:w="512" w:type="pct"/>
            <w:tcBorders>
              <w:top w:val="nil"/>
              <w:left w:val="nil"/>
              <w:bottom w:val="nil"/>
              <w:right w:val="nil"/>
            </w:tcBorders>
            <w:vAlign w:val="center"/>
            <w:hideMark/>
          </w:tcPr>
          <w:p w14:paraId="12D75593" w14:textId="77777777" w:rsidR="00DD6549" w:rsidRPr="004F02AF" w:rsidRDefault="00DD6549" w:rsidP="00341F86">
            <w:r w:rsidRPr="004F02AF">
              <w:t>5.285</w:t>
            </w:r>
          </w:p>
        </w:tc>
      </w:tr>
      <w:tr w:rsidR="00DD6549" w:rsidRPr="004F02AF" w14:paraId="4F1FADDA"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4DDBFCAD" w14:textId="77777777" w:rsidR="00DD6549" w:rsidRPr="004F02AF" w:rsidRDefault="00DD6549" w:rsidP="00341F86"/>
        </w:tc>
        <w:tc>
          <w:tcPr>
            <w:tcW w:w="615" w:type="pct"/>
            <w:tcBorders>
              <w:top w:val="nil"/>
              <w:left w:val="single" w:sz="4" w:space="0" w:color="auto"/>
              <w:bottom w:val="nil"/>
              <w:right w:val="nil"/>
            </w:tcBorders>
            <w:vAlign w:val="center"/>
            <w:hideMark/>
          </w:tcPr>
          <w:p w14:paraId="0B796725" w14:textId="77777777" w:rsidR="00DD6549" w:rsidRPr="004F02AF" w:rsidRDefault="00DD6549" w:rsidP="00341F86">
            <w:r w:rsidRPr="004F02AF">
              <w:t>GovSize</w:t>
            </w:r>
          </w:p>
        </w:tc>
        <w:tc>
          <w:tcPr>
            <w:tcW w:w="1065" w:type="pct"/>
            <w:tcBorders>
              <w:top w:val="nil"/>
              <w:left w:val="nil"/>
              <w:bottom w:val="nil"/>
              <w:right w:val="nil"/>
            </w:tcBorders>
            <w:vAlign w:val="center"/>
            <w:hideMark/>
          </w:tcPr>
          <w:p w14:paraId="4B76B84E" w14:textId="77777777" w:rsidR="00DD6549" w:rsidRPr="004F02AF" w:rsidRDefault="00DD6549" w:rsidP="00341F86">
            <w:r w:rsidRPr="004F02AF">
              <w:t>Local Government General Budget Expenditure / County-Level GDP</w:t>
            </w:r>
          </w:p>
        </w:tc>
        <w:tc>
          <w:tcPr>
            <w:tcW w:w="538" w:type="pct"/>
            <w:tcBorders>
              <w:top w:val="nil"/>
              <w:left w:val="nil"/>
              <w:bottom w:val="nil"/>
              <w:right w:val="nil"/>
            </w:tcBorders>
            <w:vAlign w:val="center"/>
            <w:hideMark/>
          </w:tcPr>
          <w:p w14:paraId="24895537" w14:textId="77777777" w:rsidR="00DD6549" w:rsidRPr="004F02AF" w:rsidRDefault="00DD6549" w:rsidP="00341F86">
            <w:r w:rsidRPr="004F02AF">
              <w:t>43170</w:t>
            </w:r>
          </w:p>
        </w:tc>
        <w:tc>
          <w:tcPr>
            <w:tcW w:w="515" w:type="pct"/>
            <w:tcBorders>
              <w:top w:val="nil"/>
              <w:left w:val="nil"/>
              <w:bottom w:val="nil"/>
              <w:right w:val="nil"/>
            </w:tcBorders>
            <w:vAlign w:val="center"/>
            <w:hideMark/>
          </w:tcPr>
          <w:p w14:paraId="4396E065" w14:textId="77777777" w:rsidR="00DD6549" w:rsidRPr="004F02AF" w:rsidRDefault="00DD6549" w:rsidP="00341F86">
            <w:r w:rsidRPr="004F02AF">
              <w:t>0.243</w:t>
            </w:r>
          </w:p>
        </w:tc>
        <w:tc>
          <w:tcPr>
            <w:tcW w:w="518" w:type="pct"/>
            <w:tcBorders>
              <w:top w:val="nil"/>
              <w:left w:val="nil"/>
              <w:bottom w:val="nil"/>
              <w:right w:val="nil"/>
            </w:tcBorders>
            <w:vAlign w:val="center"/>
            <w:hideMark/>
          </w:tcPr>
          <w:p w14:paraId="0E2B4C20" w14:textId="77777777" w:rsidR="00DD6549" w:rsidRPr="004F02AF" w:rsidRDefault="00DD6549" w:rsidP="00341F86">
            <w:r w:rsidRPr="004F02AF">
              <w:t>0.189</w:t>
            </w:r>
          </w:p>
        </w:tc>
        <w:tc>
          <w:tcPr>
            <w:tcW w:w="521" w:type="pct"/>
            <w:tcBorders>
              <w:top w:val="nil"/>
              <w:left w:val="nil"/>
              <w:bottom w:val="nil"/>
              <w:right w:val="nil"/>
            </w:tcBorders>
            <w:vAlign w:val="center"/>
            <w:hideMark/>
          </w:tcPr>
          <w:p w14:paraId="2E141B67" w14:textId="77777777" w:rsidR="00DD6549" w:rsidRPr="004F02AF" w:rsidRDefault="00DD6549" w:rsidP="00341F86">
            <w:r w:rsidRPr="004F02AF">
              <w:t>0.0133</w:t>
            </w:r>
          </w:p>
        </w:tc>
        <w:tc>
          <w:tcPr>
            <w:tcW w:w="512" w:type="pct"/>
            <w:tcBorders>
              <w:top w:val="nil"/>
              <w:left w:val="nil"/>
              <w:bottom w:val="nil"/>
              <w:right w:val="nil"/>
            </w:tcBorders>
            <w:vAlign w:val="center"/>
            <w:hideMark/>
          </w:tcPr>
          <w:p w14:paraId="546C0599" w14:textId="77777777" w:rsidR="00DD6549" w:rsidRPr="004F02AF" w:rsidRDefault="00DD6549" w:rsidP="00341F86">
            <w:r w:rsidRPr="004F02AF">
              <w:t>3.941</w:t>
            </w:r>
          </w:p>
        </w:tc>
      </w:tr>
      <w:tr w:rsidR="00DD6549" w:rsidRPr="004F02AF" w14:paraId="12DF28C0" w14:textId="77777777" w:rsidTr="00341F86">
        <w:trPr>
          <w:trHeight w:val="113"/>
          <w:jc w:val="center"/>
        </w:trPr>
        <w:tc>
          <w:tcPr>
            <w:tcW w:w="0" w:type="auto"/>
            <w:vMerge/>
            <w:tcBorders>
              <w:top w:val="single" w:sz="8" w:space="0" w:color="auto"/>
              <w:left w:val="nil"/>
              <w:bottom w:val="single" w:sz="8" w:space="0" w:color="auto"/>
              <w:right w:val="single" w:sz="4" w:space="0" w:color="auto"/>
            </w:tcBorders>
            <w:vAlign w:val="center"/>
            <w:hideMark/>
          </w:tcPr>
          <w:p w14:paraId="0D5D53EC" w14:textId="77777777" w:rsidR="00DD6549" w:rsidRPr="004F02AF" w:rsidRDefault="00DD6549" w:rsidP="00341F86"/>
        </w:tc>
        <w:tc>
          <w:tcPr>
            <w:tcW w:w="615" w:type="pct"/>
            <w:tcBorders>
              <w:top w:val="nil"/>
              <w:left w:val="single" w:sz="4" w:space="0" w:color="auto"/>
              <w:bottom w:val="single" w:sz="8" w:space="0" w:color="auto"/>
              <w:right w:val="nil"/>
            </w:tcBorders>
            <w:vAlign w:val="center"/>
            <w:hideMark/>
          </w:tcPr>
          <w:p w14:paraId="50694266" w14:textId="77777777" w:rsidR="00DD6549" w:rsidRPr="004F02AF" w:rsidRDefault="00DD6549" w:rsidP="00341F86">
            <w:r w:rsidRPr="004F02AF">
              <w:t>Innov</w:t>
            </w:r>
          </w:p>
        </w:tc>
        <w:tc>
          <w:tcPr>
            <w:tcW w:w="1065" w:type="pct"/>
            <w:tcBorders>
              <w:top w:val="nil"/>
              <w:left w:val="nil"/>
              <w:bottom w:val="single" w:sz="8" w:space="0" w:color="auto"/>
              <w:right w:val="nil"/>
            </w:tcBorders>
            <w:vAlign w:val="center"/>
            <w:hideMark/>
          </w:tcPr>
          <w:p w14:paraId="71252FB3" w14:textId="77777777" w:rsidR="00DD6549" w:rsidRPr="004F02AF" w:rsidRDefault="00DD6549" w:rsidP="00341F86">
            <w:r w:rsidRPr="004F02AF">
              <w:t>Number of Secondary Vocational Education Students per 10,000 Population (Logarithm)</w:t>
            </w:r>
          </w:p>
        </w:tc>
        <w:tc>
          <w:tcPr>
            <w:tcW w:w="538" w:type="pct"/>
            <w:tcBorders>
              <w:top w:val="nil"/>
              <w:left w:val="nil"/>
              <w:bottom w:val="single" w:sz="8" w:space="0" w:color="auto"/>
              <w:right w:val="nil"/>
            </w:tcBorders>
            <w:vAlign w:val="center"/>
            <w:hideMark/>
          </w:tcPr>
          <w:p w14:paraId="3AA3CE67" w14:textId="77777777" w:rsidR="00DD6549" w:rsidRPr="004F02AF" w:rsidRDefault="00DD6549" w:rsidP="00341F86">
            <w:r w:rsidRPr="004F02AF">
              <w:t>43170</w:t>
            </w:r>
          </w:p>
        </w:tc>
        <w:tc>
          <w:tcPr>
            <w:tcW w:w="515" w:type="pct"/>
            <w:tcBorders>
              <w:top w:val="nil"/>
              <w:left w:val="nil"/>
              <w:bottom w:val="single" w:sz="8" w:space="0" w:color="auto"/>
              <w:right w:val="nil"/>
            </w:tcBorders>
            <w:vAlign w:val="center"/>
            <w:hideMark/>
          </w:tcPr>
          <w:p w14:paraId="3932204F" w14:textId="77777777" w:rsidR="00DD6549" w:rsidRPr="004F02AF" w:rsidRDefault="00DD6549" w:rsidP="00341F86">
            <w:r w:rsidRPr="004F02AF">
              <w:t>6.440</w:t>
            </w:r>
          </w:p>
        </w:tc>
        <w:tc>
          <w:tcPr>
            <w:tcW w:w="518" w:type="pct"/>
            <w:tcBorders>
              <w:top w:val="nil"/>
              <w:left w:val="nil"/>
              <w:bottom w:val="single" w:sz="8" w:space="0" w:color="auto"/>
              <w:right w:val="nil"/>
            </w:tcBorders>
            <w:vAlign w:val="center"/>
            <w:hideMark/>
          </w:tcPr>
          <w:p w14:paraId="530E36D6" w14:textId="77777777" w:rsidR="00DD6549" w:rsidRPr="004F02AF" w:rsidRDefault="00DD6549" w:rsidP="00341F86">
            <w:r w:rsidRPr="004F02AF">
              <w:t>1.227</w:t>
            </w:r>
          </w:p>
        </w:tc>
        <w:tc>
          <w:tcPr>
            <w:tcW w:w="521" w:type="pct"/>
            <w:tcBorders>
              <w:top w:val="nil"/>
              <w:left w:val="nil"/>
              <w:bottom w:val="single" w:sz="8" w:space="0" w:color="auto"/>
              <w:right w:val="nil"/>
            </w:tcBorders>
            <w:vAlign w:val="center"/>
            <w:hideMark/>
          </w:tcPr>
          <w:p w14:paraId="635A9C29" w14:textId="77777777" w:rsidR="00DD6549" w:rsidRPr="004F02AF" w:rsidRDefault="00DD6549" w:rsidP="00341F86">
            <w:r w:rsidRPr="004F02AF">
              <w:t>0</w:t>
            </w:r>
          </w:p>
        </w:tc>
        <w:tc>
          <w:tcPr>
            <w:tcW w:w="512" w:type="pct"/>
            <w:tcBorders>
              <w:top w:val="nil"/>
              <w:left w:val="nil"/>
              <w:bottom w:val="single" w:sz="8" w:space="0" w:color="auto"/>
              <w:right w:val="nil"/>
            </w:tcBorders>
            <w:vAlign w:val="center"/>
            <w:hideMark/>
          </w:tcPr>
          <w:p w14:paraId="2625CABB" w14:textId="77777777" w:rsidR="00DD6549" w:rsidRPr="004F02AF" w:rsidRDefault="00DD6549" w:rsidP="00341F86">
            <w:r w:rsidRPr="004F02AF">
              <w:t>11.010</w:t>
            </w:r>
          </w:p>
        </w:tc>
      </w:tr>
    </w:tbl>
    <w:p w14:paraId="162B05CD" w14:textId="77777777" w:rsidR="00DD6549" w:rsidRDefault="00DD6549" w:rsidP="00DD6549"/>
    <w:p w14:paraId="0B8A37DB" w14:textId="77777777" w:rsidR="00DD6549" w:rsidRPr="006C6670" w:rsidRDefault="00DD6549" w:rsidP="00DD6549">
      <w:r w:rsidRPr="006C6670">
        <w:t>Steps for Relevant Variables:</w:t>
      </w:r>
    </w:p>
    <w:p w14:paraId="508D90BE" w14:textId="77777777" w:rsidR="00DD6549" w:rsidRPr="006C6670" w:rsidRDefault="00DD6549" w:rsidP="00DD6549">
      <w:pPr>
        <w:ind w:firstLine="422"/>
      </w:pPr>
      <w:r w:rsidRPr="006C6670">
        <w:rPr>
          <w:b/>
          <w:bCs/>
        </w:rPr>
        <w:t>1. Artificial Intelligence Technology:</w:t>
      </w:r>
      <w:r w:rsidRPr="006C6670">
        <w:t> Measured using the number of AI patents granted.</w:t>
      </w:r>
      <w:r w:rsidRPr="006C6670">
        <w:br/>
      </w:r>
      <w:r w:rsidRPr="006C6670">
        <w:rPr>
          <w:b/>
          <w:bCs/>
        </w:rPr>
        <w:t>Specific Steps:</w:t>
      </w:r>
      <w:r w:rsidRPr="006C6670">
        <w:t xml:space="preserve"> This study selected the top 1000 most cited AI patent data from the Incopat global patent database and parsed all IPC classification numbers associated with these patents. By statistically analyzing the co-occurrence frequency of IPC classification numbers, a global knowledge network in the AI field was constructed. Based on the topological structure of this network, the Jaccard similarity algorithm was used to perform precise clustering analysis on the IPC classification numbers. Consequently, AI technologies were categorized into four types: perception technologies, underlying algorithms, platform technologies, and industry application technologies. For further analysis, the IPC classification numbers of all invention and utility model patents granted </w:t>
      </w:r>
      <w:r w:rsidRPr="006C6670">
        <w:lastRenderedPageBreak/>
        <w:t>to listed companies in the relevant years were parsed. These were aggregated by "county-year" dimensions to derive the counts (and their sum) of the four types of AI technology patents for each county, which served as proxy variables for regional AI technology development levels. In the empirical analysis, the logarithmic transformation (after adding 1) of these indicator data was used in regressions.</w:t>
      </w:r>
    </w:p>
    <w:p w14:paraId="61F6AE1A" w14:textId="77777777" w:rsidR="00DD6549" w:rsidRPr="006C6670" w:rsidRDefault="00DD6549" w:rsidP="00DD6549">
      <w:pPr>
        <w:ind w:firstLine="422"/>
      </w:pPr>
      <w:r w:rsidRPr="006C6670">
        <w:rPr>
          <w:b/>
          <w:bCs/>
        </w:rPr>
        <w:t>2. Number and Frequency of Digital Job Postings by Listed Companies:</w:t>
      </w:r>
      <w:r w:rsidRPr="006C6670">
        <w:t> Based on publicly released recruitment data of listed companies, job descriptions in recruitment information were first subjected to text search and matching using the digital technology keyword dictionary referenced from Tan Ying (2025) to identify and determine whether they belonged to digital positions. Subsequently, the annual total number of digital job postings and the total number of personnel sought by each listed company were aggregated (if the required number of personnel was null, it was recorded as 1; if marked as "unlimited" or "several," it was recorded as 5). Finally, the result was transformed by taking the logarithm after adding one.</w:t>
      </w:r>
    </w:p>
    <w:p w14:paraId="4F81F68F" w14:textId="77777777" w:rsidR="00DD6549" w:rsidRPr="006C6670" w:rsidRDefault="00DD6549" w:rsidP="00DD6549">
      <w:pPr>
        <w:ind w:firstLine="422"/>
      </w:pPr>
      <w:r w:rsidRPr="006C6670">
        <w:rPr>
          <w:b/>
          <w:bCs/>
        </w:rPr>
        <w:t>3. Bank Competition Level:</w:t>
      </w:r>
      <w:r w:rsidRPr="006C6670">
        <w:t> First, based on the financial license information for banking institutions released by the China Banking Regulatory Commission, data on branches of commercial banks within each county-level administrative region for each year were extracted (policy banks, rural cooperative banks, and credit cooperatives were excluded, retaining only commercial banks to ensure statistical consistency). Next, the total number of branches belonging to the top 3, top 4, and top 5 commercial banks by branch count within a county-level region were calculated respectively. These totals were then divided by the total number of branches of all sample commercial banks in that region to obtain the ratios CR3, CR4, and CR5. The value range for all three indicators is (0,1), and they are all inverse measures: a larger value indicates that the market share of bank branches within that county-level administrative region is more concentrated among the leading banks (top 3, top 4, or top 5), implying lower bank competition; conversely, a smaller value indicates higher competition.</w:t>
      </w:r>
    </w:p>
    <w:p w14:paraId="47DCA0FE" w14:textId="77777777" w:rsidR="00DD6549" w:rsidRPr="006C6670" w:rsidRDefault="00DD6549" w:rsidP="00DD6549">
      <w:pPr>
        <w:ind w:firstLine="422"/>
      </w:pPr>
      <w:r w:rsidRPr="006C6670">
        <w:rPr>
          <w:b/>
          <w:bCs/>
        </w:rPr>
        <w:t>4. Digital Inclusive Finance:</w:t>
      </w:r>
      <w:r w:rsidRPr="006C6670">
        <w:t> The construction of this indicator system is based on microdata from a representative digital financial institution. It synthesizes a composite index from three major dimensions: coverage breadth (e.g., account coverage rate), usage depth (e.g., actual usage of payment, credit, insurance services), and digitalization level (e.g., mobility, credit-based services, convenience, and affordability). The weights for each indicator were determined comprehensively using the Analytic Hierarchy Process (AHP) and the Coefficient of Variation Method.</w:t>
      </w:r>
    </w:p>
    <w:p w14:paraId="76191054" w14:textId="77777777" w:rsidR="00DD6549" w:rsidRPr="006C6670" w:rsidRDefault="00DD6549" w:rsidP="00DD6549"/>
    <w:p w14:paraId="716AC24D" w14:textId="77777777" w:rsidR="00F553FF" w:rsidRDefault="00F553FF"/>
    <w:sectPr w:rsidR="00F553FF" w:rsidSect="00DD65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49"/>
    <w:rsid w:val="003C2EF4"/>
    <w:rsid w:val="00446799"/>
    <w:rsid w:val="004D04B1"/>
    <w:rsid w:val="006A7E07"/>
    <w:rsid w:val="00701021"/>
    <w:rsid w:val="00B74216"/>
    <w:rsid w:val="00D62F8C"/>
    <w:rsid w:val="00DD6549"/>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CB78"/>
  <w15:chartTrackingRefBased/>
  <w15:docId w15:val="{11913E28-6A25-417B-87B0-C49C5A31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DD6549"/>
    <w:pPr>
      <w:widowControl w:val="0"/>
      <w:spacing w:after="0" w:line="240" w:lineRule="auto"/>
      <w:ind w:firstLineChars="200" w:firstLine="420"/>
      <w:jc w:val="both"/>
    </w:pPr>
    <w:rPr>
      <w:rFonts w:ascii="Times New Roman" w:eastAsia="SimSun" w:hAnsi="Times New Roman" w:cs="Calibri"/>
      <w:color w:val="0D0D0D"/>
      <w:sz w:val="21"/>
      <w:szCs w:val="21"/>
      <w:shd w:val="clear" w:color="auto" w:fill="FFFFFF"/>
      <w:lang w:eastAsia="zh-CN"/>
      <w14:ligatures w14:val="none"/>
    </w:rPr>
  </w:style>
  <w:style w:type="paragraph" w:styleId="Heading1">
    <w:name w:val="heading 1"/>
    <w:basedOn w:val="Normal"/>
    <w:next w:val="Normal"/>
    <w:link w:val="Heading1Char"/>
    <w:uiPriority w:val="9"/>
    <w:qFormat/>
    <w:rsid w:val="00DD6549"/>
    <w:pPr>
      <w:keepNext/>
      <w:keepLines/>
      <w:widowControl/>
      <w:spacing w:before="360" w:after="80" w:line="278" w:lineRule="auto"/>
      <w:ind w:firstLineChars="0" w:firstLine="0"/>
      <w:jc w:val="left"/>
      <w:outlineLvl w:val="0"/>
    </w:pPr>
    <w:rPr>
      <w:rFonts w:asciiTheme="majorHAnsi" w:eastAsiaTheme="majorEastAsia" w:hAnsiTheme="majorHAnsi" w:cstheme="majorBidi"/>
      <w:color w:val="0F4761" w:themeColor="accent1" w:themeShade="BF"/>
      <w:sz w:val="40"/>
      <w:szCs w:val="40"/>
      <w:shd w:val="clear" w:color="auto" w:fill="auto"/>
      <w:lang w:eastAsia="en-US"/>
      <w14:ligatures w14:val="standardContextual"/>
    </w:rPr>
  </w:style>
  <w:style w:type="paragraph" w:styleId="Heading2">
    <w:name w:val="heading 2"/>
    <w:basedOn w:val="Normal"/>
    <w:next w:val="Normal"/>
    <w:link w:val="Heading2Char"/>
    <w:uiPriority w:val="9"/>
    <w:semiHidden/>
    <w:unhideWhenUsed/>
    <w:qFormat/>
    <w:rsid w:val="00DD6549"/>
    <w:pPr>
      <w:keepNext/>
      <w:keepLines/>
      <w:widowControl/>
      <w:spacing w:before="160" w:after="80" w:line="278" w:lineRule="auto"/>
      <w:ind w:firstLineChars="0" w:firstLine="0"/>
      <w:jc w:val="left"/>
      <w:outlineLvl w:val="1"/>
    </w:pPr>
    <w:rPr>
      <w:rFonts w:asciiTheme="majorHAnsi" w:eastAsiaTheme="majorEastAsia" w:hAnsiTheme="majorHAnsi" w:cstheme="majorBidi"/>
      <w:color w:val="0F4761" w:themeColor="accent1" w:themeShade="BF"/>
      <w:sz w:val="32"/>
      <w:szCs w:val="32"/>
      <w:shd w:val="clear" w:color="auto" w:fill="auto"/>
      <w:lang w:eastAsia="en-US"/>
      <w14:ligatures w14:val="standardContextual"/>
    </w:rPr>
  </w:style>
  <w:style w:type="paragraph" w:styleId="Heading3">
    <w:name w:val="heading 3"/>
    <w:basedOn w:val="Normal"/>
    <w:next w:val="Normal"/>
    <w:link w:val="Heading3Char"/>
    <w:uiPriority w:val="9"/>
    <w:semiHidden/>
    <w:unhideWhenUsed/>
    <w:qFormat/>
    <w:rsid w:val="00DD6549"/>
    <w:pPr>
      <w:keepNext/>
      <w:keepLines/>
      <w:widowControl/>
      <w:spacing w:before="160" w:after="80" w:line="278" w:lineRule="auto"/>
      <w:ind w:firstLineChars="0" w:firstLine="0"/>
      <w:jc w:val="left"/>
      <w:outlineLvl w:val="2"/>
    </w:pPr>
    <w:rPr>
      <w:rFonts w:asciiTheme="minorHAnsi" w:eastAsiaTheme="majorEastAsia" w:hAnsiTheme="minorHAnsi" w:cstheme="majorBidi"/>
      <w:color w:val="0F4761" w:themeColor="accent1" w:themeShade="BF"/>
      <w:sz w:val="28"/>
      <w:szCs w:val="28"/>
      <w:shd w:val="clear" w:color="auto" w:fill="auto"/>
      <w:lang w:eastAsia="en-US"/>
      <w14:ligatures w14:val="standardContextual"/>
    </w:rPr>
  </w:style>
  <w:style w:type="paragraph" w:styleId="Heading4">
    <w:name w:val="heading 4"/>
    <w:basedOn w:val="Normal"/>
    <w:next w:val="Normal"/>
    <w:link w:val="Heading4Char"/>
    <w:uiPriority w:val="9"/>
    <w:semiHidden/>
    <w:unhideWhenUsed/>
    <w:qFormat/>
    <w:rsid w:val="00DD6549"/>
    <w:pPr>
      <w:keepNext/>
      <w:keepLines/>
      <w:widowControl/>
      <w:spacing w:before="80" w:after="40" w:line="278" w:lineRule="auto"/>
      <w:ind w:firstLineChars="0" w:firstLine="0"/>
      <w:jc w:val="left"/>
      <w:outlineLvl w:val="3"/>
    </w:pPr>
    <w:rPr>
      <w:rFonts w:asciiTheme="minorHAnsi" w:eastAsiaTheme="majorEastAsia" w:hAnsiTheme="minorHAnsi" w:cstheme="majorBidi"/>
      <w:i/>
      <w:iCs/>
      <w:color w:val="0F4761" w:themeColor="accent1" w:themeShade="BF"/>
      <w:sz w:val="24"/>
      <w:szCs w:val="24"/>
      <w:shd w:val="clear" w:color="auto" w:fill="auto"/>
      <w:lang w:eastAsia="en-US"/>
      <w14:ligatures w14:val="standardContextual"/>
    </w:rPr>
  </w:style>
  <w:style w:type="paragraph" w:styleId="Heading5">
    <w:name w:val="heading 5"/>
    <w:basedOn w:val="Normal"/>
    <w:next w:val="Normal"/>
    <w:link w:val="Heading5Char"/>
    <w:uiPriority w:val="9"/>
    <w:semiHidden/>
    <w:unhideWhenUsed/>
    <w:qFormat/>
    <w:rsid w:val="00DD6549"/>
    <w:pPr>
      <w:keepNext/>
      <w:keepLines/>
      <w:widowControl/>
      <w:spacing w:before="80" w:after="40" w:line="278" w:lineRule="auto"/>
      <w:ind w:firstLineChars="0" w:firstLine="0"/>
      <w:jc w:val="left"/>
      <w:outlineLvl w:val="4"/>
    </w:pPr>
    <w:rPr>
      <w:rFonts w:asciiTheme="minorHAnsi" w:eastAsiaTheme="majorEastAsia" w:hAnsiTheme="minorHAnsi" w:cstheme="majorBidi"/>
      <w:color w:val="0F4761" w:themeColor="accent1" w:themeShade="BF"/>
      <w:sz w:val="24"/>
      <w:szCs w:val="24"/>
      <w:shd w:val="clear" w:color="auto" w:fill="auto"/>
      <w:lang w:eastAsia="en-US"/>
      <w14:ligatures w14:val="standardContextual"/>
    </w:rPr>
  </w:style>
  <w:style w:type="paragraph" w:styleId="Heading6">
    <w:name w:val="heading 6"/>
    <w:basedOn w:val="Normal"/>
    <w:next w:val="Normal"/>
    <w:link w:val="Heading6Char"/>
    <w:uiPriority w:val="9"/>
    <w:semiHidden/>
    <w:unhideWhenUsed/>
    <w:qFormat/>
    <w:rsid w:val="00DD6549"/>
    <w:pPr>
      <w:keepNext/>
      <w:keepLines/>
      <w:widowControl/>
      <w:spacing w:before="40" w:line="278" w:lineRule="auto"/>
      <w:ind w:firstLineChars="0" w:firstLine="0"/>
      <w:jc w:val="left"/>
      <w:outlineLvl w:val="5"/>
    </w:pPr>
    <w:rPr>
      <w:rFonts w:asciiTheme="minorHAnsi" w:eastAsiaTheme="majorEastAsia" w:hAnsiTheme="minorHAnsi" w:cstheme="majorBidi"/>
      <w:i/>
      <w:iCs/>
      <w:color w:val="595959" w:themeColor="text1" w:themeTint="A6"/>
      <w:sz w:val="24"/>
      <w:szCs w:val="24"/>
      <w:shd w:val="clear" w:color="auto" w:fill="auto"/>
      <w:lang w:eastAsia="en-US"/>
      <w14:ligatures w14:val="standardContextual"/>
    </w:rPr>
  </w:style>
  <w:style w:type="paragraph" w:styleId="Heading7">
    <w:name w:val="heading 7"/>
    <w:basedOn w:val="Normal"/>
    <w:next w:val="Normal"/>
    <w:link w:val="Heading7Char"/>
    <w:uiPriority w:val="9"/>
    <w:semiHidden/>
    <w:unhideWhenUsed/>
    <w:qFormat/>
    <w:rsid w:val="00DD6549"/>
    <w:pPr>
      <w:keepNext/>
      <w:keepLines/>
      <w:widowControl/>
      <w:spacing w:before="40" w:line="278" w:lineRule="auto"/>
      <w:ind w:firstLineChars="0" w:firstLine="0"/>
      <w:jc w:val="left"/>
      <w:outlineLvl w:val="6"/>
    </w:pPr>
    <w:rPr>
      <w:rFonts w:asciiTheme="minorHAnsi" w:eastAsiaTheme="majorEastAsia" w:hAnsiTheme="minorHAnsi" w:cstheme="majorBidi"/>
      <w:color w:val="595959" w:themeColor="text1" w:themeTint="A6"/>
      <w:sz w:val="24"/>
      <w:szCs w:val="24"/>
      <w:shd w:val="clear" w:color="auto" w:fill="auto"/>
      <w:lang w:eastAsia="en-US"/>
      <w14:ligatures w14:val="standardContextual"/>
    </w:rPr>
  </w:style>
  <w:style w:type="paragraph" w:styleId="Heading8">
    <w:name w:val="heading 8"/>
    <w:basedOn w:val="Normal"/>
    <w:next w:val="Normal"/>
    <w:link w:val="Heading8Char"/>
    <w:uiPriority w:val="9"/>
    <w:semiHidden/>
    <w:unhideWhenUsed/>
    <w:qFormat/>
    <w:rsid w:val="00DD6549"/>
    <w:pPr>
      <w:keepNext/>
      <w:keepLines/>
      <w:widowControl/>
      <w:spacing w:line="278" w:lineRule="auto"/>
      <w:ind w:firstLineChars="0" w:firstLine="0"/>
      <w:jc w:val="left"/>
      <w:outlineLvl w:val="7"/>
    </w:pPr>
    <w:rPr>
      <w:rFonts w:asciiTheme="minorHAnsi" w:eastAsiaTheme="majorEastAsia" w:hAnsiTheme="minorHAnsi" w:cstheme="majorBidi"/>
      <w:i/>
      <w:iCs/>
      <w:color w:val="272727" w:themeColor="text1" w:themeTint="D8"/>
      <w:sz w:val="24"/>
      <w:szCs w:val="24"/>
      <w:shd w:val="clear" w:color="auto" w:fill="auto"/>
      <w:lang w:eastAsia="en-US"/>
      <w14:ligatures w14:val="standardContextual"/>
    </w:rPr>
  </w:style>
  <w:style w:type="paragraph" w:styleId="Heading9">
    <w:name w:val="heading 9"/>
    <w:basedOn w:val="Normal"/>
    <w:next w:val="Normal"/>
    <w:link w:val="Heading9Char"/>
    <w:uiPriority w:val="9"/>
    <w:semiHidden/>
    <w:unhideWhenUsed/>
    <w:qFormat/>
    <w:rsid w:val="00DD6549"/>
    <w:pPr>
      <w:keepNext/>
      <w:keepLines/>
      <w:widowControl/>
      <w:spacing w:line="278" w:lineRule="auto"/>
      <w:ind w:firstLineChars="0" w:firstLine="0"/>
      <w:jc w:val="left"/>
      <w:outlineLvl w:val="8"/>
    </w:pPr>
    <w:rPr>
      <w:rFonts w:asciiTheme="minorHAnsi" w:eastAsiaTheme="majorEastAsia" w:hAnsiTheme="minorHAnsi" w:cstheme="majorBidi"/>
      <w:color w:val="272727" w:themeColor="text1" w:themeTint="D8"/>
      <w:sz w:val="24"/>
      <w:szCs w:val="24"/>
      <w:shd w:val="clear" w:color="auto" w:fill="auto"/>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5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5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5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5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5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5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5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5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549"/>
    <w:rPr>
      <w:rFonts w:eastAsiaTheme="majorEastAsia" w:cstheme="majorBidi"/>
      <w:color w:val="272727" w:themeColor="text1" w:themeTint="D8"/>
    </w:rPr>
  </w:style>
  <w:style w:type="paragraph" w:styleId="Title">
    <w:name w:val="Title"/>
    <w:basedOn w:val="Normal"/>
    <w:next w:val="Normal"/>
    <w:link w:val="TitleChar"/>
    <w:uiPriority w:val="10"/>
    <w:qFormat/>
    <w:rsid w:val="00DD6549"/>
    <w:pPr>
      <w:widowControl/>
      <w:spacing w:after="80"/>
      <w:ind w:firstLineChars="0" w:firstLine="0"/>
      <w:contextualSpacing/>
      <w:jc w:val="left"/>
    </w:pPr>
    <w:rPr>
      <w:rFonts w:asciiTheme="majorHAnsi" w:eastAsiaTheme="majorEastAsia" w:hAnsiTheme="majorHAnsi" w:cstheme="majorBidi"/>
      <w:color w:val="auto"/>
      <w:spacing w:val="-10"/>
      <w:kern w:val="28"/>
      <w:sz w:val="56"/>
      <w:szCs w:val="56"/>
      <w:shd w:val="clear" w:color="auto" w:fill="auto"/>
      <w:lang w:eastAsia="en-US"/>
      <w14:ligatures w14:val="standardContextual"/>
    </w:rPr>
  </w:style>
  <w:style w:type="character" w:customStyle="1" w:styleId="TitleChar">
    <w:name w:val="Title Char"/>
    <w:basedOn w:val="DefaultParagraphFont"/>
    <w:link w:val="Title"/>
    <w:uiPriority w:val="10"/>
    <w:rsid w:val="00DD65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549"/>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shd w:val="clear" w:color="auto" w:fill="auto"/>
      <w:lang w:eastAsia="en-US"/>
      <w14:ligatures w14:val="standardContextual"/>
    </w:rPr>
  </w:style>
  <w:style w:type="character" w:customStyle="1" w:styleId="SubtitleChar">
    <w:name w:val="Subtitle Char"/>
    <w:basedOn w:val="DefaultParagraphFont"/>
    <w:link w:val="Subtitle"/>
    <w:uiPriority w:val="11"/>
    <w:rsid w:val="00DD65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549"/>
    <w:pPr>
      <w:widowControl/>
      <w:spacing w:before="160" w:after="160" w:line="278" w:lineRule="auto"/>
      <w:ind w:firstLineChars="0" w:firstLine="0"/>
      <w:jc w:val="center"/>
    </w:pPr>
    <w:rPr>
      <w:rFonts w:asciiTheme="minorHAnsi" w:eastAsiaTheme="minorHAnsi" w:hAnsiTheme="minorHAnsi" w:cstheme="minorBidi"/>
      <w:i/>
      <w:iCs/>
      <w:color w:val="404040" w:themeColor="text1" w:themeTint="BF"/>
      <w:sz w:val="24"/>
      <w:szCs w:val="24"/>
      <w:shd w:val="clear" w:color="auto" w:fill="auto"/>
      <w:lang w:eastAsia="en-US"/>
      <w14:ligatures w14:val="standardContextual"/>
    </w:rPr>
  </w:style>
  <w:style w:type="character" w:customStyle="1" w:styleId="QuoteChar">
    <w:name w:val="Quote Char"/>
    <w:basedOn w:val="DefaultParagraphFont"/>
    <w:link w:val="Quote"/>
    <w:uiPriority w:val="29"/>
    <w:rsid w:val="00DD6549"/>
    <w:rPr>
      <w:i/>
      <w:iCs/>
      <w:color w:val="404040" w:themeColor="text1" w:themeTint="BF"/>
    </w:rPr>
  </w:style>
  <w:style w:type="paragraph" w:styleId="ListParagraph">
    <w:name w:val="List Paragraph"/>
    <w:basedOn w:val="Normal"/>
    <w:uiPriority w:val="34"/>
    <w:qFormat/>
    <w:rsid w:val="00DD6549"/>
    <w:pPr>
      <w:widowControl/>
      <w:spacing w:after="160" w:line="278" w:lineRule="auto"/>
      <w:ind w:left="720" w:firstLineChars="0" w:firstLine="0"/>
      <w:contextualSpacing/>
      <w:jc w:val="left"/>
    </w:pPr>
    <w:rPr>
      <w:rFonts w:asciiTheme="minorHAnsi" w:eastAsiaTheme="minorHAnsi" w:hAnsiTheme="minorHAnsi" w:cstheme="minorBidi"/>
      <w:color w:val="auto"/>
      <w:sz w:val="24"/>
      <w:szCs w:val="24"/>
      <w:shd w:val="clear" w:color="auto" w:fill="auto"/>
      <w:lang w:eastAsia="en-US"/>
      <w14:ligatures w14:val="standardContextual"/>
    </w:rPr>
  </w:style>
  <w:style w:type="character" w:styleId="IntenseEmphasis">
    <w:name w:val="Intense Emphasis"/>
    <w:basedOn w:val="DefaultParagraphFont"/>
    <w:uiPriority w:val="21"/>
    <w:qFormat/>
    <w:rsid w:val="00DD6549"/>
    <w:rPr>
      <w:i/>
      <w:iCs/>
      <w:color w:val="0F4761" w:themeColor="accent1" w:themeShade="BF"/>
    </w:rPr>
  </w:style>
  <w:style w:type="paragraph" w:styleId="IntenseQuote">
    <w:name w:val="Intense Quote"/>
    <w:basedOn w:val="Normal"/>
    <w:next w:val="Normal"/>
    <w:link w:val="IntenseQuoteChar"/>
    <w:uiPriority w:val="30"/>
    <w:qFormat/>
    <w:rsid w:val="00DD6549"/>
    <w:pPr>
      <w:widowControl/>
      <w:pBdr>
        <w:top w:val="single" w:sz="4" w:space="10" w:color="0F4761" w:themeColor="accent1" w:themeShade="BF"/>
        <w:bottom w:val="single" w:sz="4" w:space="10" w:color="0F4761" w:themeColor="accent1" w:themeShade="BF"/>
      </w:pBdr>
      <w:spacing w:before="360" w:after="360" w:line="278" w:lineRule="auto"/>
      <w:ind w:left="864" w:right="864" w:firstLineChars="0" w:firstLine="0"/>
      <w:jc w:val="center"/>
    </w:pPr>
    <w:rPr>
      <w:rFonts w:asciiTheme="minorHAnsi" w:eastAsiaTheme="minorHAnsi" w:hAnsiTheme="minorHAnsi" w:cstheme="minorBidi"/>
      <w:i/>
      <w:iCs/>
      <w:color w:val="0F4761" w:themeColor="accent1" w:themeShade="BF"/>
      <w:sz w:val="24"/>
      <w:szCs w:val="24"/>
      <w:shd w:val="clear" w:color="auto" w:fill="auto"/>
      <w:lang w:eastAsia="en-US"/>
      <w14:ligatures w14:val="standardContextual"/>
    </w:rPr>
  </w:style>
  <w:style w:type="character" w:customStyle="1" w:styleId="IntenseQuoteChar">
    <w:name w:val="Intense Quote Char"/>
    <w:basedOn w:val="DefaultParagraphFont"/>
    <w:link w:val="IntenseQuote"/>
    <w:uiPriority w:val="30"/>
    <w:rsid w:val="00DD6549"/>
    <w:rPr>
      <w:i/>
      <w:iCs/>
      <w:color w:val="0F4761" w:themeColor="accent1" w:themeShade="BF"/>
    </w:rPr>
  </w:style>
  <w:style w:type="character" w:styleId="IntenseReference">
    <w:name w:val="Intense Reference"/>
    <w:basedOn w:val="DefaultParagraphFont"/>
    <w:uiPriority w:val="32"/>
    <w:qFormat/>
    <w:rsid w:val="00DD6549"/>
    <w:rPr>
      <w:b/>
      <w:bCs/>
      <w:smallCaps/>
      <w:color w:val="0F4761" w:themeColor="accent1" w:themeShade="BF"/>
      <w:spacing w:val="5"/>
    </w:rPr>
  </w:style>
  <w:style w:type="table" w:styleId="TableGrid">
    <w:name w:val="Table Grid"/>
    <w:basedOn w:val="TableNormal"/>
    <w:autoRedefine/>
    <w:uiPriority w:val="39"/>
    <w:qFormat/>
    <w:rsid w:val="00DD6549"/>
    <w:pPr>
      <w:spacing w:after="0" w:line="240" w:lineRule="auto"/>
    </w:pPr>
    <w:rPr>
      <w:rFonts w:ascii="Times New Roman" w:eastAsia="SimSun" w:hAnsi="Times New Roman" w:cs="Times New Roman"/>
      <w:kern w:val="0"/>
      <w:sz w:val="20"/>
      <w:szCs w:val="20"/>
      <w:lang w:eastAsia="zh-C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4116</Characters>
  <Application>Microsoft Office Word</Application>
  <DocSecurity>0</DocSecurity>
  <Lines>85</Lines>
  <Paragraphs>41</Paragraphs>
  <ScaleCrop>false</ScaleCrop>
  <Company>Springer Nature</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2026-03-02T09:21:00Z</dcterms:created>
  <dcterms:modified xsi:type="dcterms:W3CDTF">2026-03-02T09:21:00Z</dcterms:modified>
</cp:coreProperties>
</file>