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EB21" w14:textId="7C9380E3" w:rsidR="00FB5BC6" w:rsidRPr="00FB5BC6" w:rsidRDefault="00FB5BC6" w:rsidP="00FB5BC6">
      <w:pPr>
        <w:pStyle w:val="Heading3"/>
        <w:rPr>
          <w:b/>
          <w:bCs/>
          <w:sz w:val="26"/>
          <w:szCs w:val="26"/>
        </w:rPr>
      </w:pPr>
      <w:r w:rsidRPr="00FB5BC6">
        <w:rPr>
          <w:b/>
          <w:bCs/>
          <w:sz w:val="26"/>
          <w:szCs w:val="26"/>
        </w:rPr>
        <w:t>Supplementary Figure 1. Distribution of Clinical or Regional Characteristics</w:t>
      </w:r>
    </w:p>
    <w:p w14:paraId="16C82F53" w14:textId="77777777" w:rsidR="00FB5BC6" w:rsidRDefault="00FB5BC6" w:rsidP="00FB5BC6">
      <w:r>
        <w:rPr>
          <w:noProof/>
        </w:rPr>
        <w:drawing>
          <wp:inline distT="0" distB="0" distL="0" distR="0" wp14:anchorId="18CC50EE" wp14:editId="48593183">
            <wp:extent cx="6096322" cy="3035300"/>
            <wp:effectExtent l="0" t="0" r="0" b="0"/>
            <wp:docPr id="1" name="Picture 1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f different colored ba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6941" cy="304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30B27" w14:textId="58839546" w:rsidR="00FB5BC6" w:rsidRPr="00FB5BC6" w:rsidRDefault="00FB5BC6" w:rsidP="00FB5BC6">
      <w:pPr>
        <w:pStyle w:val="Heading3"/>
        <w:rPr>
          <w:b/>
          <w:bCs/>
          <w:sz w:val="26"/>
          <w:szCs w:val="26"/>
        </w:rPr>
      </w:pPr>
      <w:r w:rsidRPr="00FB5BC6">
        <w:rPr>
          <w:b/>
          <w:bCs/>
          <w:sz w:val="26"/>
          <w:szCs w:val="26"/>
        </w:rPr>
        <w:t xml:space="preserve">Supplementary Figure </w:t>
      </w:r>
      <w:r>
        <w:rPr>
          <w:b/>
          <w:bCs/>
          <w:sz w:val="26"/>
          <w:szCs w:val="26"/>
        </w:rPr>
        <w:t>2</w:t>
      </w:r>
      <w:r w:rsidRPr="00FB5BC6">
        <w:rPr>
          <w:b/>
          <w:bCs/>
          <w:sz w:val="26"/>
          <w:szCs w:val="26"/>
        </w:rPr>
        <w:t>. Distribution of Clinical or Regional Characteristics</w:t>
      </w:r>
    </w:p>
    <w:p w14:paraId="242FB37B" w14:textId="77777777" w:rsidR="00FB5BC6" w:rsidRDefault="00FB5BC6" w:rsidP="00FB5BC6">
      <w:r>
        <w:rPr>
          <w:noProof/>
        </w:rPr>
        <w:drawing>
          <wp:inline distT="0" distB="0" distL="0" distR="0" wp14:anchorId="55054721" wp14:editId="6003B689">
            <wp:extent cx="5029200" cy="2155371"/>
            <wp:effectExtent l="0" t="0" r="0" b="0"/>
            <wp:docPr id="4" name="Picture 4" descr="A comparison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omparison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15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9462E" w14:textId="3CB513BC" w:rsidR="00FB5BC6" w:rsidRPr="00FB5BC6" w:rsidRDefault="00FB5BC6" w:rsidP="00FB5BC6">
      <w:pPr>
        <w:pStyle w:val="Heading3"/>
        <w:rPr>
          <w:b/>
          <w:bCs/>
          <w:sz w:val="26"/>
          <w:szCs w:val="26"/>
        </w:rPr>
      </w:pPr>
      <w:r w:rsidRPr="00FB5BC6">
        <w:rPr>
          <w:b/>
          <w:bCs/>
          <w:sz w:val="26"/>
          <w:szCs w:val="26"/>
        </w:rPr>
        <w:lastRenderedPageBreak/>
        <w:t xml:space="preserve">Supplementary Figure </w:t>
      </w:r>
      <w:r>
        <w:rPr>
          <w:b/>
          <w:bCs/>
          <w:sz w:val="26"/>
          <w:szCs w:val="26"/>
        </w:rPr>
        <w:t>3</w:t>
      </w:r>
      <w:r w:rsidRPr="00FB5BC6">
        <w:rPr>
          <w:b/>
          <w:bCs/>
          <w:sz w:val="26"/>
          <w:szCs w:val="26"/>
        </w:rPr>
        <w:t>. Distribution of Clinical or Regional Characteristics</w:t>
      </w:r>
    </w:p>
    <w:p w14:paraId="5245FF84" w14:textId="77777777" w:rsidR="00FB5BC6" w:rsidRDefault="00FB5BC6" w:rsidP="00FB5BC6">
      <w:r>
        <w:rPr>
          <w:noProof/>
        </w:rPr>
        <w:drawing>
          <wp:inline distT="0" distB="0" distL="0" distR="0" wp14:anchorId="62685C9E" wp14:editId="2DCDACC5">
            <wp:extent cx="5029200" cy="2998660"/>
            <wp:effectExtent l="0" t="0" r="0" b="0"/>
            <wp:docPr id="2" name="Picture 2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 of different colored ba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99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6BEFA" w14:textId="77777777" w:rsidR="00FB5BC6" w:rsidRDefault="00FB5BC6" w:rsidP="00FB5BC6"/>
    <w:p w14:paraId="723588B2" w14:textId="03F85DA6" w:rsidR="00FB5BC6" w:rsidRPr="00FB5BC6" w:rsidRDefault="00FB5BC6" w:rsidP="00FB5BC6">
      <w:pPr>
        <w:pStyle w:val="Heading2"/>
        <w:rPr>
          <w:rFonts w:ascii="Calibri" w:hAnsi="Calibri" w:cs="Calibri"/>
          <w:b/>
          <w:bCs/>
          <w:sz w:val="26"/>
          <w:szCs w:val="26"/>
        </w:rPr>
      </w:pPr>
      <w:r w:rsidRPr="00FB5BC6">
        <w:rPr>
          <w:rFonts w:ascii="Calibri" w:hAnsi="Calibri" w:cs="Calibri"/>
          <w:b/>
          <w:bCs/>
          <w:sz w:val="26"/>
          <w:szCs w:val="26"/>
        </w:rPr>
        <w:t>Supplementary Table 1. Regression Analysis of LOS by Race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B5BC6" w14:paraId="766655FA" w14:textId="77777777" w:rsidTr="00F518A7">
        <w:tc>
          <w:tcPr>
            <w:tcW w:w="1728" w:type="dxa"/>
          </w:tcPr>
          <w:p w14:paraId="0AC9F9BF" w14:textId="77777777" w:rsidR="00FB5BC6" w:rsidRDefault="00FB5BC6" w:rsidP="00F518A7">
            <w:r>
              <w:t>Variable</w:t>
            </w:r>
          </w:p>
        </w:tc>
        <w:tc>
          <w:tcPr>
            <w:tcW w:w="1728" w:type="dxa"/>
          </w:tcPr>
          <w:p w14:paraId="017EC937" w14:textId="77777777" w:rsidR="00FB5BC6" w:rsidRDefault="00FB5BC6" w:rsidP="00F518A7">
            <w:r>
              <w:t>Coefficient</w:t>
            </w:r>
          </w:p>
        </w:tc>
        <w:tc>
          <w:tcPr>
            <w:tcW w:w="1728" w:type="dxa"/>
          </w:tcPr>
          <w:p w14:paraId="77F9F8A0" w14:textId="77777777" w:rsidR="00FB5BC6" w:rsidRDefault="00FB5BC6" w:rsidP="00F518A7">
            <w:r>
              <w:t>Std. Error</w:t>
            </w:r>
          </w:p>
        </w:tc>
        <w:tc>
          <w:tcPr>
            <w:tcW w:w="1728" w:type="dxa"/>
          </w:tcPr>
          <w:p w14:paraId="4BC4146D" w14:textId="77777777" w:rsidR="00FB5BC6" w:rsidRDefault="00FB5BC6" w:rsidP="00F518A7">
            <w:r>
              <w:t>95% CI</w:t>
            </w:r>
          </w:p>
        </w:tc>
        <w:tc>
          <w:tcPr>
            <w:tcW w:w="1728" w:type="dxa"/>
          </w:tcPr>
          <w:p w14:paraId="3C507A08" w14:textId="77777777" w:rsidR="00FB5BC6" w:rsidRDefault="00FB5BC6" w:rsidP="00F518A7">
            <w:r>
              <w:t>P-value</w:t>
            </w:r>
          </w:p>
        </w:tc>
      </w:tr>
      <w:tr w:rsidR="00FB5BC6" w14:paraId="1C2D7E33" w14:textId="77777777" w:rsidTr="00F518A7">
        <w:tc>
          <w:tcPr>
            <w:tcW w:w="1728" w:type="dxa"/>
          </w:tcPr>
          <w:p w14:paraId="4EFD4630" w14:textId="77777777" w:rsidR="00FB5BC6" w:rsidRDefault="00FB5BC6" w:rsidP="00F518A7">
            <w:r>
              <w:t>Race (</w:t>
            </w:r>
            <w:proofErr w:type="spellStart"/>
            <w:r>
              <w:t>catgRACE</w:t>
            </w:r>
            <w:proofErr w:type="spellEnd"/>
            <w:r>
              <w:t>)</w:t>
            </w:r>
          </w:p>
        </w:tc>
        <w:tc>
          <w:tcPr>
            <w:tcW w:w="1728" w:type="dxa"/>
          </w:tcPr>
          <w:p w14:paraId="657A8EB4" w14:textId="77777777" w:rsidR="00FB5BC6" w:rsidRDefault="00FB5BC6" w:rsidP="00F518A7">
            <w:r>
              <w:t>0.262</w:t>
            </w:r>
          </w:p>
        </w:tc>
        <w:tc>
          <w:tcPr>
            <w:tcW w:w="1728" w:type="dxa"/>
          </w:tcPr>
          <w:p w14:paraId="29C1857B" w14:textId="77777777" w:rsidR="00FB5BC6" w:rsidRDefault="00FB5BC6" w:rsidP="00F518A7">
            <w:r>
              <w:t>0.041</w:t>
            </w:r>
          </w:p>
        </w:tc>
        <w:tc>
          <w:tcPr>
            <w:tcW w:w="1728" w:type="dxa"/>
          </w:tcPr>
          <w:p w14:paraId="002A7D5B" w14:textId="77777777" w:rsidR="00FB5BC6" w:rsidRDefault="00FB5BC6" w:rsidP="00F518A7">
            <w:r>
              <w:t>0.182–0.342</w:t>
            </w:r>
          </w:p>
        </w:tc>
        <w:tc>
          <w:tcPr>
            <w:tcW w:w="1728" w:type="dxa"/>
          </w:tcPr>
          <w:p w14:paraId="7917ABFA" w14:textId="77777777" w:rsidR="00FB5BC6" w:rsidRDefault="00FB5BC6" w:rsidP="00F518A7">
            <w:r>
              <w:t>&lt;0.001</w:t>
            </w:r>
          </w:p>
        </w:tc>
      </w:tr>
    </w:tbl>
    <w:p w14:paraId="380B3A88" w14:textId="76167445" w:rsidR="00FB5BC6" w:rsidRPr="00FB5BC6" w:rsidRDefault="00FB5BC6" w:rsidP="00FB5BC6">
      <w:pPr>
        <w:rPr>
          <w:rStyle w:val="Strong"/>
          <w:rFonts w:cs="Times New Roman (Body CS)"/>
          <w:color w:val="2F5496" w:themeColor="accent1" w:themeShade="BF"/>
          <w:sz w:val="26"/>
          <w:szCs w:val="26"/>
        </w:rPr>
      </w:pPr>
      <w:r w:rsidRPr="00FB5BC6">
        <w:rPr>
          <w:rFonts w:cs="Times New Roman (Body CS)"/>
          <w:b/>
          <w:bCs/>
          <w:color w:val="2F5496" w:themeColor="accent1" w:themeShade="BF"/>
          <w:sz w:val="26"/>
          <w:szCs w:val="26"/>
        </w:rPr>
        <w:t xml:space="preserve">Supplementary </w:t>
      </w:r>
      <w:r w:rsidRPr="00FB5BC6">
        <w:rPr>
          <w:rStyle w:val="Strong"/>
          <w:rFonts w:cs="Times New Roman (Body CS)"/>
          <w:color w:val="2F5496" w:themeColor="accent1" w:themeShade="BF"/>
          <w:sz w:val="26"/>
          <w:szCs w:val="26"/>
        </w:rPr>
        <w:t>Table 2. Multivariable Survey-Weighted Linear Regression for Length of Stay</w:t>
      </w:r>
    </w:p>
    <w:p w14:paraId="21D1393E" w14:textId="77777777" w:rsidR="00FB5BC6" w:rsidRDefault="00FB5BC6" w:rsidP="00FB5BC6">
      <w:pPr>
        <w:pStyle w:val="NormalWeb"/>
      </w:pPr>
      <w:r>
        <w:rPr>
          <w:rStyle w:val="Strong"/>
        </w:rPr>
        <w:t>Outcome:</w:t>
      </w:r>
      <w:r>
        <w:t xml:space="preserve"> Length of stay (days)</w:t>
      </w:r>
      <w:r>
        <w:br/>
      </w:r>
      <w:r>
        <w:rPr>
          <w:rStyle w:val="Strong"/>
        </w:rPr>
        <w:t>Reference groups:</w:t>
      </w:r>
      <w:r>
        <w:t xml:space="preserve"> White race, male sex, income quartile 1, hospital region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786"/>
        <w:gridCol w:w="1349"/>
        <w:gridCol w:w="738"/>
      </w:tblGrid>
      <w:tr w:rsidR="00FB5BC6" w14:paraId="5E04F44F" w14:textId="77777777" w:rsidTr="00F518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8DBE16" w14:textId="77777777" w:rsidR="00FB5BC6" w:rsidRDefault="00FB5BC6" w:rsidP="00F51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42C24588" w14:textId="77777777" w:rsidR="00FB5BC6" w:rsidRDefault="00FB5BC6" w:rsidP="00F51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 (days)</w:t>
            </w:r>
          </w:p>
        </w:tc>
        <w:tc>
          <w:tcPr>
            <w:tcW w:w="0" w:type="auto"/>
            <w:vAlign w:val="center"/>
            <w:hideMark/>
          </w:tcPr>
          <w:p w14:paraId="31F24FB1" w14:textId="77777777" w:rsidR="00FB5BC6" w:rsidRDefault="00FB5BC6" w:rsidP="00F51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37E8189C" w14:textId="77777777" w:rsidR="00FB5BC6" w:rsidRDefault="00FB5BC6" w:rsidP="00F51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 value</w:t>
            </w:r>
          </w:p>
        </w:tc>
      </w:tr>
      <w:tr w:rsidR="00FB5BC6" w14:paraId="59EF5BED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D5A28" w14:textId="77777777" w:rsidR="00FB5BC6" w:rsidRDefault="00FB5BC6" w:rsidP="00F518A7">
            <w:r>
              <w:rPr>
                <w:rStyle w:val="Strong"/>
              </w:rPr>
              <w:t>Race</w:t>
            </w:r>
          </w:p>
        </w:tc>
        <w:tc>
          <w:tcPr>
            <w:tcW w:w="0" w:type="auto"/>
            <w:vAlign w:val="center"/>
            <w:hideMark/>
          </w:tcPr>
          <w:p w14:paraId="24189A1B" w14:textId="77777777" w:rsidR="00FB5BC6" w:rsidRDefault="00FB5BC6" w:rsidP="00F518A7"/>
        </w:tc>
        <w:tc>
          <w:tcPr>
            <w:tcW w:w="0" w:type="auto"/>
            <w:vAlign w:val="center"/>
            <w:hideMark/>
          </w:tcPr>
          <w:p w14:paraId="5EDCD519" w14:textId="77777777" w:rsidR="00FB5BC6" w:rsidRDefault="00FB5BC6" w:rsidP="00F518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E8115F" w14:textId="77777777" w:rsidR="00FB5BC6" w:rsidRDefault="00FB5BC6" w:rsidP="00F518A7">
            <w:pPr>
              <w:rPr>
                <w:sz w:val="20"/>
                <w:szCs w:val="20"/>
              </w:rPr>
            </w:pPr>
          </w:p>
        </w:tc>
      </w:tr>
      <w:tr w:rsidR="00FB5BC6" w14:paraId="398520B7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67AF3" w14:textId="77777777" w:rsidR="00FB5BC6" w:rsidRDefault="00FB5BC6" w:rsidP="00F518A7">
            <w:pPr>
              <w:rPr>
                <w:sz w:val="24"/>
                <w:szCs w:val="24"/>
              </w:rPr>
            </w:pPr>
            <w:r>
              <w:t>Black vs White</w:t>
            </w:r>
          </w:p>
        </w:tc>
        <w:tc>
          <w:tcPr>
            <w:tcW w:w="0" w:type="auto"/>
            <w:vAlign w:val="center"/>
            <w:hideMark/>
          </w:tcPr>
          <w:p w14:paraId="63C78CAC" w14:textId="77777777" w:rsidR="00FB5BC6" w:rsidRDefault="00FB5BC6" w:rsidP="00F518A7">
            <w:r>
              <w:t>+0.42</w:t>
            </w:r>
          </w:p>
        </w:tc>
        <w:tc>
          <w:tcPr>
            <w:tcW w:w="0" w:type="auto"/>
            <w:vAlign w:val="center"/>
            <w:hideMark/>
          </w:tcPr>
          <w:p w14:paraId="796C9EDD" w14:textId="77777777" w:rsidR="00FB5BC6" w:rsidRDefault="00FB5BC6" w:rsidP="00F518A7">
            <w:r>
              <w:t>0.30–0.54</w:t>
            </w:r>
          </w:p>
        </w:tc>
        <w:tc>
          <w:tcPr>
            <w:tcW w:w="0" w:type="auto"/>
            <w:vAlign w:val="center"/>
            <w:hideMark/>
          </w:tcPr>
          <w:p w14:paraId="57177234" w14:textId="77777777" w:rsidR="00FB5BC6" w:rsidRDefault="00FB5BC6" w:rsidP="00F518A7">
            <w:r>
              <w:t>&lt;0.001</w:t>
            </w:r>
          </w:p>
        </w:tc>
      </w:tr>
      <w:tr w:rsidR="00FB5BC6" w14:paraId="3254A5AC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4CE91" w14:textId="77777777" w:rsidR="00FB5BC6" w:rsidRDefault="00FB5BC6" w:rsidP="00F518A7">
            <w:r>
              <w:t>Hispanic vs White</w:t>
            </w:r>
          </w:p>
        </w:tc>
        <w:tc>
          <w:tcPr>
            <w:tcW w:w="0" w:type="auto"/>
            <w:vAlign w:val="center"/>
            <w:hideMark/>
          </w:tcPr>
          <w:p w14:paraId="41B57275" w14:textId="77777777" w:rsidR="00FB5BC6" w:rsidRDefault="00FB5BC6" w:rsidP="00F518A7">
            <w:r>
              <w:t>+0.29</w:t>
            </w:r>
          </w:p>
        </w:tc>
        <w:tc>
          <w:tcPr>
            <w:tcW w:w="0" w:type="auto"/>
            <w:vAlign w:val="center"/>
            <w:hideMark/>
          </w:tcPr>
          <w:p w14:paraId="68F4CDEA" w14:textId="77777777" w:rsidR="00FB5BC6" w:rsidRDefault="00FB5BC6" w:rsidP="00F518A7">
            <w:r>
              <w:t>0.14–0.44</w:t>
            </w:r>
          </w:p>
        </w:tc>
        <w:tc>
          <w:tcPr>
            <w:tcW w:w="0" w:type="auto"/>
            <w:vAlign w:val="center"/>
            <w:hideMark/>
          </w:tcPr>
          <w:p w14:paraId="128C7AEE" w14:textId="77777777" w:rsidR="00FB5BC6" w:rsidRDefault="00FB5BC6" w:rsidP="00F518A7">
            <w:r>
              <w:t>&lt;0.001</w:t>
            </w:r>
          </w:p>
        </w:tc>
      </w:tr>
      <w:tr w:rsidR="00FB5BC6" w14:paraId="6D5D4802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48D93" w14:textId="77777777" w:rsidR="00FB5BC6" w:rsidRDefault="00FB5BC6" w:rsidP="00F518A7">
            <w:r>
              <w:t>Other vs White</w:t>
            </w:r>
          </w:p>
        </w:tc>
        <w:tc>
          <w:tcPr>
            <w:tcW w:w="0" w:type="auto"/>
            <w:vAlign w:val="center"/>
            <w:hideMark/>
          </w:tcPr>
          <w:p w14:paraId="5098354A" w14:textId="77777777" w:rsidR="00FB5BC6" w:rsidRDefault="00FB5BC6" w:rsidP="00F518A7">
            <w:r>
              <w:t>+0.21</w:t>
            </w:r>
          </w:p>
        </w:tc>
        <w:tc>
          <w:tcPr>
            <w:tcW w:w="0" w:type="auto"/>
            <w:vAlign w:val="center"/>
            <w:hideMark/>
          </w:tcPr>
          <w:p w14:paraId="7A413F81" w14:textId="77777777" w:rsidR="00FB5BC6" w:rsidRDefault="00FB5BC6" w:rsidP="00F518A7">
            <w:r>
              <w:t>0.08–0.34</w:t>
            </w:r>
          </w:p>
        </w:tc>
        <w:tc>
          <w:tcPr>
            <w:tcW w:w="0" w:type="auto"/>
            <w:vAlign w:val="center"/>
            <w:hideMark/>
          </w:tcPr>
          <w:p w14:paraId="342E4015" w14:textId="77777777" w:rsidR="00FB5BC6" w:rsidRDefault="00FB5BC6" w:rsidP="00F518A7">
            <w:r>
              <w:t>0.002</w:t>
            </w:r>
          </w:p>
        </w:tc>
      </w:tr>
      <w:tr w:rsidR="00FB5BC6" w14:paraId="7065A26E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06186" w14:textId="77777777" w:rsidR="00FB5BC6" w:rsidRDefault="00FB5BC6" w:rsidP="00F518A7">
            <w:r>
              <w:t>Female sex</w:t>
            </w:r>
          </w:p>
        </w:tc>
        <w:tc>
          <w:tcPr>
            <w:tcW w:w="0" w:type="auto"/>
            <w:vAlign w:val="center"/>
            <w:hideMark/>
          </w:tcPr>
          <w:p w14:paraId="59CA21A0" w14:textId="77777777" w:rsidR="00FB5BC6" w:rsidRDefault="00FB5BC6" w:rsidP="00F518A7">
            <w:r>
              <w:t>−0.37</w:t>
            </w:r>
          </w:p>
        </w:tc>
        <w:tc>
          <w:tcPr>
            <w:tcW w:w="0" w:type="auto"/>
            <w:vAlign w:val="center"/>
            <w:hideMark/>
          </w:tcPr>
          <w:p w14:paraId="3A78F00F" w14:textId="77777777" w:rsidR="00FB5BC6" w:rsidRDefault="00FB5BC6" w:rsidP="00F518A7">
            <w:r>
              <w:t>−0.49 to −0.25</w:t>
            </w:r>
          </w:p>
        </w:tc>
        <w:tc>
          <w:tcPr>
            <w:tcW w:w="0" w:type="auto"/>
            <w:vAlign w:val="center"/>
            <w:hideMark/>
          </w:tcPr>
          <w:p w14:paraId="4C9E4FBB" w14:textId="77777777" w:rsidR="00FB5BC6" w:rsidRDefault="00FB5BC6" w:rsidP="00F518A7">
            <w:r>
              <w:t>&lt;0.001</w:t>
            </w:r>
          </w:p>
        </w:tc>
      </w:tr>
      <w:tr w:rsidR="00FB5BC6" w14:paraId="2A8B2DF6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54C94" w14:textId="77777777" w:rsidR="00FB5BC6" w:rsidRDefault="00FB5BC6" w:rsidP="00F518A7">
            <w:r>
              <w:lastRenderedPageBreak/>
              <w:t>COPD</w:t>
            </w:r>
          </w:p>
        </w:tc>
        <w:tc>
          <w:tcPr>
            <w:tcW w:w="0" w:type="auto"/>
            <w:vAlign w:val="center"/>
            <w:hideMark/>
          </w:tcPr>
          <w:p w14:paraId="7A276B8E" w14:textId="77777777" w:rsidR="00FB5BC6" w:rsidRDefault="00FB5BC6" w:rsidP="00F518A7">
            <w:r>
              <w:t>+0.71</w:t>
            </w:r>
          </w:p>
        </w:tc>
        <w:tc>
          <w:tcPr>
            <w:tcW w:w="0" w:type="auto"/>
            <w:vAlign w:val="center"/>
            <w:hideMark/>
          </w:tcPr>
          <w:p w14:paraId="555623B7" w14:textId="77777777" w:rsidR="00FB5BC6" w:rsidRDefault="00FB5BC6" w:rsidP="00F518A7">
            <w:r>
              <w:t>0.58–0.84</w:t>
            </w:r>
          </w:p>
        </w:tc>
        <w:tc>
          <w:tcPr>
            <w:tcW w:w="0" w:type="auto"/>
            <w:vAlign w:val="center"/>
            <w:hideMark/>
          </w:tcPr>
          <w:p w14:paraId="64A50A5B" w14:textId="77777777" w:rsidR="00FB5BC6" w:rsidRDefault="00FB5BC6" w:rsidP="00F518A7">
            <w:r>
              <w:t>&lt;0.001</w:t>
            </w:r>
          </w:p>
        </w:tc>
      </w:tr>
      <w:tr w:rsidR="00FB5BC6" w14:paraId="29770021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EF53C" w14:textId="77777777" w:rsidR="00FB5BC6" w:rsidRDefault="00FB5BC6" w:rsidP="00F518A7">
            <w:r>
              <w:t>Congestive heart failure</w:t>
            </w:r>
          </w:p>
        </w:tc>
        <w:tc>
          <w:tcPr>
            <w:tcW w:w="0" w:type="auto"/>
            <w:vAlign w:val="center"/>
            <w:hideMark/>
          </w:tcPr>
          <w:p w14:paraId="13C2C17C" w14:textId="77777777" w:rsidR="00FB5BC6" w:rsidRDefault="00FB5BC6" w:rsidP="00F518A7">
            <w:r>
              <w:t>+1.55</w:t>
            </w:r>
          </w:p>
        </w:tc>
        <w:tc>
          <w:tcPr>
            <w:tcW w:w="0" w:type="auto"/>
            <w:vAlign w:val="center"/>
            <w:hideMark/>
          </w:tcPr>
          <w:p w14:paraId="31857ED9" w14:textId="77777777" w:rsidR="00FB5BC6" w:rsidRDefault="00FB5BC6" w:rsidP="00F518A7">
            <w:r>
              <w:t>1.33–1.76</w:t>
            </w:r>
          </w:p>
        </w:tc>
        <w:tc>
          <w:tcPr>
            <w:tcW w:w="0" w:type="auto"/>
            <w:vAlign w:val="center"/>
            <w:hideMark/>
          </w:tcPr>
          <w:p w14:paraId="69602BA3" w14:textId="77777777" w:rsidR="00FB5BC6" w:rsidRDefault="00FB5BC6" w:rsidP="00F518A7">
            <w:r>
              <w:t>&lt;0.001</w:t>
            </w:r>
          </w:p>
        </w:tc>
      </w:tr>
      <w:tr w:rsidR="00FB5BC6" w14:paraId="67E82B68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CCBC0" w14:textId="77777777" w:rsidR="00FB5BC6" w:rsidRDefault="00FB5BC6" w:rsidP="00F518A7">
            <w:r>
              <w:t>Diabetes mellitus</w:t>
            </w:r>
          </w:p>
        </w:tc>
        <w:tc>
          <w:tcPr>
            <w:tcW w:w="0" w:type="auto"/>
            <w:vAlign w:val="center"/>
            <w:hideMark/>
          </w:tcPr>
          <w:p w14:paraId="7E3175D0" w14:textId="77777777" w:rsidR="00FB5BC6" w:rsidRDefault="00FB5BC6" w:rsidP="00F518A7">
            <w:r>
              <w:t>−0.03</w:t>
            </w:r>
          </w:p>
        </w:tc>
        <w:tc>
          <w:tcPr>
            <w:tcW w:w="0" w:type="auto"/>
            <w:vAlign w:val="center"/>
            <w:hideMark/>
          </w:tcPr>
          <w:p w14:paraId="4A81B070" w14:textId="77777777" w:rsidR="00FB5BC6" w:rsidRDefault="00FB5BC6" w:rsidP="00F518A7">
            <w:r>
              <w:t>−0.17 to 0.11</w:t>
            </w:r>
          </w:p>
        </w:tc>
        <w:tc>
          <w:tcPr>
            <w:tcW w:w="0" w:type="auto"/>
            <w:vAlign w:val="center"/>
            <w:hideMark/>
          </w:tcPr>
          <w:p w14:paraId="6C5A8689" w14:textId="77777777" w:rsidR="00FB5BC6" w:rsidRDefault="00FB5BC6" w:rsidP="00F518A7">
            <w:r>
              <w:t>0.651</w:t>
            </w:r>
          </w:p>
        </w:tc>
      </w:tr>
      <w:tr w:rsidR="00FB5BC6" w14:paraId="1EE3EEB8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6155D" w14:textId="77777777" w:rsidR="00FB5BC6" w:rsidRDefault="00FB5BC6" w:rsidP="00F518A7">
            <w:r>
              <w:t>Chronic kidney disease</w:t>
            </w:r>
          </w:p>
        </w:tc>
        <w:tc>
          <w:tcPr>
            <w:tcW w:w="0" w:type="auto"/>
            <w:vAlign w:val="center"/>
            <w:hideMark/>
          </w:tcPr>
          <w:p w14:paraId="3FFE6FCB" w14:textId="77777777" w:rsidR="00FB5BC6" w:rsidRDefault="00FB5BC6" w:rsidP="00F518A7">
            <w:r>
              <w:t>+0.42</w:t>
            </w:r>
          </w:p>
        </w:tc>
        <w:tc>
          <w:tcPr>
            <w:tcW w:w="0" w:type="auto"/>
            <w:vAlign w:val="center"/>
            <w:hideMark/>
          </w:tcPr>
          <w:p w14:paraId="1F13A4E0" w14:textId="77777777" w:rsidR="00FB5BC6" w:rsidRDefault="00FB5BC6" w:rsidP="00F518A7">
            <w:r>
              <w:t>0.24–0.61</w:t>
            </w:r>
          </w:p>
        </w:tc>
        <w:tc>
          <w:tcPr>
            <w:tcW w:w="0" w:type="auto"/>
            <w:vAlign w:val="center"/>
            <w:hideMark/>
          </w:tcPr>
          <w:p w14:paraId="4FA8EEF4" w14:textId="77777777" w:rsidR="00FB5BC6" w:rsidRDefault="00FB5BC6" w:rsidP="00F518A7">
            <w:r>
              <w:t>&lt;0.001</w:t>
            </w:r>
          </w:p>
        </w:tc>
      </w:tr>
      <w:tr w:rsidR="00FB5BC6" w14:paraId="59ACC319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9C7C9" w14:textId="77777777" w:rsidR="00FB5BC6" w:rsidRDefault="00FB5BC6" w:rsidP="00F518A7">
            <w:r>
              <w:t>Smoking</w:t>
            </w:r>
          </w:p>
        </w:tc>
        <w:tc>
          <w:tcPr>
            <w:tcW w:w="0" w:type="auto"/>
            <w:vAlign w:val="center"/>
            <w:hideMark/>
          </w:tcPr>
          <w:p w14:paraId="0E8233AD" w14:textId="77777777" w:rsidR="00FB5BC6" w:rsidRDefault="00FB5BC6" w:rsidP="00F518A7">
            <w:r>
              <w:t>−0.89</w:t>
            </w:r>
          </w:p>
        </w:tc>
        <w:tc>
          <w:tcPr>
            <w:tcW w:w="0" w:type="auto"/>
            <w:vAlign w:val="center"/>
            <w:hideMark/>
          </w:tcPr>
          <w:p w14:paraId="34053C87" w14:textId="77777777" w:rsidR="00FB5BC6" w:rsidRDefault="00FB5BC6" w:rsidP="00F518A7">
            <w:r>
              <w:t>−1.01 to −0.78</w:t>
            </w:r>
          </w:p>
        </w:tc>
        <w:tc>
          <w:tcPr>
            <w:tcW w:w="0" w:type="auto"/>
            <w:vAlign w:val="center"/>
            <w:hideMark/>
          </w:tcPr>
          <w:p w14:paraId="47EFE83A" w14:textId="77777777" w:rsidR="00FB5BC6" w:rsidRDefault="00FB5BC6" w:rsidP="00F518A7">
            <w:r>
              <w:t>&lt;0.001</w:t>
            </w:r>
          </w:p>
        </w:tc>
      </w:tr>
      <w:tr w:rsidR="00FB5BC6" w14:paraId="24532D74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5819A" w14:textId="77777777" w:rsidR="00FB5BC6" w:rsidRDefault="00FB5BC6" w:rsidP="00F518A7">
            <w:r>
              <w:t>Age &gt;60 years</w:t>
            </w:r>
          </w:p>
        </w:tc>
        <w:tc>
          <w:tcPr>
            <w:tcW w:w="0" w:type="auto"/>
            <w:vAlign w:val="center"/>
            <w:hideMark/>
          </w:tcPr>
          <w:p w14:paraId="5B09E3E2" w14:textId="77777777" w:rsidR="00FB5BC6" w:rsidRDefault="00FB5BC6" w:rsidP="00F518A7">
            <w:r>
              <w:t>−0.20</w:t>
            </w:r>
          </w:p>
        </w:tc>
        <w:tc>
          <w:tcPr>
            <w:tcW w:w="0" w:type="auto"/>
            <w:vAlign w:val="center"/>
            <w:hideMark/>
          </w:tcPr>
          <w:p w14:paraId="2578475F" w14:textId="77777777" w:rsidR="00FB5BC6" w:rsidRDefault="00FB5BC6" w:rsidP="00F518A7">
            <w:r>
              <w:t>−0.37 to −0.04</w:t>
            </w:r>
          </w:p>
        </w:tc>
        <w:tc>
          <w:tcPr>
            <w:tcW w:w="0" w:type="auto"/>
            <w:vAlign w:val="center"/>
            <w:hideMark/>
          </w:tcPr>
          <w:p w14:paraId="1256BB11" w14:textId="77777777" w:rsidR="00FB5BC6" w:rsidRDefault="00FB5BC6" w:rsidP="00F518A7">
            <w:r>
              <w:t>0.017</w:t>
            </w:r>
          </w:p>
        </w:tc>
      </w:tr>
      <w:tr w:rsidR="00FB5BC6" w14:paraId="2ABE9B1C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39069" w14:textId="77777777" w:rsidR="00FB5BC6" w:rsidRDefault="00FB5BC6" w:rsidP="00F518A7">
            <w:r>
              <w:t>Obesity</w:t>
            </w:r>
          </w:p>
        </w:tc>
        <w:tc>
          <w:tcPr>
            <w:tcW w:w="0" w:type="auto"/>
            <w:vAlign w:val="center"/>
            <w:hideMark/>
          </w:tcPr>
          <w:p w14:paraId="71C7DABE" w14:textId="77777777" w:rsidR="00FB5BC6" w:rsidRDefault="00FB5BC6" w:rsidP="00F518A7">
            <w:r>
              <w:t>+0.16</w:t>
            </w:r>
          </w:p>
        </w:tc>
        <w:tc>
          <w:tcPr>
            <w:tcW w:w="0" w:type="auto"/>
            <w:vAlign w:val="center"/>
            <w:hideMark/>
          </w:tcPr>
          <w:p w14:paraId="1B1F999F" w14:textId="77777777" w:rsidR="00FB5BC6" w:rsidRDefault="00FB5BC6" w:rsidP="00F518A7">
            <w:r>
              <w:t>−0.02 to 0.34</w:t>
            </w:r>
          </w:p>
        </w:tc>
        <w:tc>
          <w:tcPr>
            <w:tcW w:w="0" w:type="auto"/>
            <w:vAlign w:val="center"/>
            <w:hideMark/>
          </w:tcPr>
          <w:p w14:paraId="26552023" w14:textId="77777777" w:rsidR="00FB5BC6" w:rsidRDefault="00FB5BC6" w:rsidP="00F518A7">
            <w:r>
              <w:t>0.088</w:t>
            </w:r>
          </w:p>
        </w:tc>
      </w:tr>
      <w:tr w:rsidR="00FB5BC6" w14:paraId="58FC623C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14415" w14:textId="77777777" w:rsidR="00FB5BC6" w:rsidRDefault="00FB5BC6" w:rsidP="00F518A7">
            <w:r>
              <w:t>Income quartile 2 vs 1</w:t>
            </w:r>
          </w:p>
        </w:tc>
        <w:tc>
          <w:tcPr>
            <w:tcW w:w="0" w:type="auto"/>
            <w:vAlign w:val="center"/>
            <w:hideMark/>
          </w:tcPr>
          <w:p w14:paraId="61ADBB55" w14:textId="77777777" w:rsidR="00FB5BC6" w:rsidRDefault="00FB5BC6" w:rsidP="00F518A7">
            <w:r>
              <w:t>−0.36</w:t>
            </w:r>
          </w:p>
        </w:tc>
        <w:tc>
          <w:tcPr>
            <w:tcW w:w="0" w:type="auto"/>
            <w:vAlign w:val="center"/>
            <w:hideMark/>
          </w:tcPr>
          <w:p w14:paraId="60F8A6AF" w14:textId="77777777" w:rsidR="00FB5BC6" w:rsidRDefault="00FB5BC6" w:rsidP="00F518A7">
            <w:r>
              <w:t>−0.53 to −0.20</w:t>
            </w:r>
          </w:p>
        </w:tc>
        <w:tc>
          <w:tcPr>
            <w:tcW w:w="0" w:type="auto"/>
            <w:vAlign w:val="center"/>
            <w:hideMark/>
          </w:tcPr>
          <w:p w14:paraId="3E1F7C9D" w14:textId="77777777" w:rsidR="00FB5BC6" w:rsidRDefault="00FB5BC6" w:rsidP="00F518A7">
            <w:r>
              <w:t>&lt;0.001</w:t>
            </w:r>
          </w:p>
        </w:tc>
      </w:tr>
      <w:tr w:rsidR="00FB5BC6" w14:paraId="56882F2A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17169" w14:textId="77777777" w:rsidR="00FB5BC6" w:rsidRDefault="00FB5BC6" w:rsidP="00F518A7">
            <w:r>
              <w:t>Income quartile 3 vs 1</w:t>
            </w:r>
          </w:p>
        </w:tc>
        <w:tc>
          <w:tcPr>
            <w:tcW w:w="0" w:type="auto"/>
            <w:vAlign w:val="center"/>
            <w:hideMark/>
          </w:tcPr>
          <w:p w14:paraId="0078AC47" w14:textId="77777777" w:rsidR="00FB5BC6" w:rsidRDefault="00FB5BC6" w:rsidP="00F518A7">
            <w:r>
              <w:t>−0.58</w:t>
            </w:r>
          </w:p>
        </w:tc>
        <w:tc>
          <w:tcPr>
            <w:tcW w:w="0" w:type="auto"/>
            <w:vAlign w:val="center"/>
            <w:hideMark/>
          </w:tcPr>
          <w:p w14:paraId="3075DF2F" w14:textId="77777777" w:rsidR="00FB5BC6" w:rsidRDefault="00FB5BC6" w:rsidP="00F518A7">
            <w:r>
              <w:t>−0.75 to −0.41</w:t>
            </w:r>
          </w:p>
        </w:tc>
        <w:tc>
          <w:tcPr>
            <w:tcW w:w="0" w:type="auto"/>
            <w:vAlign w:val="center"/>
            <w:hideMark/>
          </w:tcPr>
          <w:p w14:paraId="34FFDB2D" w14:textId="77777777" w:rsidR="00FB5BC6" w:rsidRDefault="00FB5BC6" w:rsidP="00F518A7">
            <w:r>
              <w:t>&lt;0.001</w:t>
            </w:r>
          </w:p>
        </w:tc>
      </w:tr>
      <w:tr w:rsidR="00FB5BC6" w14:paraId="29007A15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65056" w14:textId="77777777" w:rsidR="00FB5BC6" w:rsidRDefault="00FB5BC6" w:rsidP="00F518A7">
            <w:r>
              <w:t>Income quartile 4 vs 1</w:t>
            </w:r>
          </w:p>
        </w:tc>
        <w:tc>
          <w:tcPr>
            <w:tcW w:w="0" w:type="auto"/>
            <w:vAlign w:val="center"/>
            <w:hideMark/>
          </w:tcPr>
          <w:p w14:paraId="58C4CEF4" w14:textId="77777777" w:rsidR="00FB5BC6" w:rsidRDefault="00FB5BC6" w:rsidP="00F518A7">
            <w:r>
              <w:t>−0.62</w:t>
            </w:r>
          </w:p>
        </w:tc>
        <w:tc>
          <w:tcPr>
            <w:tcW w:w="0" w:type="auto"/>
            <w:vAlign w:val="center"/>
            <w:hideMark/>
          </w:tcPr>
          <w:p w14:paraId="11444D12" w14:textId="77777777" w:rsidR="00FB5BC6" w:rsidRDefault="00FB5BC6" w:rsidP="00F518A7">
            <w:r>
              <w:t>−0.82 to −0.43</w:t>
            </w:r>
          </w:p>
        </w:tc>
        <w:tc>
          <w:tcPr>
            <w:tcW w:w="0" w:type="auto"/>
            <w:vAlign w:val="center"/>
            <w:hideMark/>
          </w:tcPr>
          <w:p w14:paraId="044D6AA2" w14:textId="77777777" w:rsidR="00FB5BC6" w:rsidRDefault="00FB5BC6" w:rsidP="00F518A7">
            <w:r>
              <w:t>&lt;0.001</w:t>
            </w:r>
          </w:p>
        </w:tc>
      </w:tr>
      <w:tr w:rsidR="00FB5BC6" w14:paraId="0738E795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83812" w14:textId="77777777" w:rsidR="00FB5BC6" w:rsidRDefault="00FB5BC6" w:rsidP="00F518A7">
            <w:r>
              <w:t>Region 2 vs 1</w:t>
            </w:r>
          </w:p>
        </w:tc>
        <w:tc>
          <w:tcPr>
            <w:tcW w:w="0" w:type="auto"/>
            <w:vAlign w:val="center"/>
            <w:hideMark/>
          </w:tcPr>
          <w:p w14:paraId="5D6BC61B" w14:textId="77777777" w:rsidR="00FB5BC6" w:rsidRDefault="00FB5BC6" w:rsidP="00F518A7">
            <w:r>
              <w:t>−0.30</w:t>
            </w:r>
          </w:p>
        </w:tc>
        <w:tc>
          <w:tcPr>
            <w:tcW w:w="0" w:type="auto"/>
            <w:vAlign w:val="center"/>
            <w:hideMark/>
          </w:tcPr>
          <w:p w14:paraId="0A9BE329" w14:textId="77777777" w:rsidR="00FB5BC6" w:rsidRDefault="00FB5BC6" w:rsidP="00F518A7">
            <w:r>
              <w:t>−0.60 to −0.01</w:t>
            </w:r>
          </w:p>
        </w:tc>
        <w:tc>
          <w:tcPr>
            <w:tcW w:w="0" w:type="auto"/>
            <w:vAlign w:val="center"/>
            <w:hideMark/>
          </w:tcPr>
          <w:p w14:paraId="19665E35" w14:textId="77777777" w:rsidR="00FB5BC6" w:rsidRDefault="00FB5BC6" w:rsidP="00F518A7">
            <w:r>
              <w:t>0.043</w:t>
            </w:r>
          </w:p>
        </w:tc>
      </w:tr>
      <w:tr w:rsidR="00FB5BC6" w14:paraId="69B5971A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8E7D1" w14:textId="77777777" w:rsidR="00FB5BC6" w:rsidRDefault="00FB5BC6" w:rsidP="00F518A7">
            <w:r>
              <w:t>Region 3 vs 1</w:t>
            </w:r>
          </w:p>
        </w:tc>
        <w:tc>
          <w:tcPr>
            <w:tcW w:w="0" w:type="auto"/>
            <w:vAlign w:val="center"/>
            <w:hideMark/>
          </w:tcPr>
          <w:p w14:paraId="2F82089B" w14:textId="77777777" w:rsidR="00FB5BC6" w:rsidRDefault="00FB5BC6" w:rsidP="00F518A7">
            <w:r>
              <w:t>−0.07</w:t>
            </w:r>
          </w:p>
        </w:tc>
        <w:tc>
          <w:tcPr>
            <w:tcW w:w="0" w:type="auto"/>
            <w:vAlign w:val="center"/>
            <w:hideMark/>
          </w:tcPr>
          <w:p w14:paraId="2A90E752" w14:textId="77777777" w:rsidR="00FB5BC6" w:rsidRDefault="00FB5BC6" w:rsidP="00F518A7">
            <w:r>
              <w:t>−0.36 to 0.21</w:t>
            </w:r>
          </w:p>
        </w:tc>
        <w:tc>
          <w:tcPr>
            <w:tcW w:w="0" w:type="auto"/>
            <w:vAlign w:val="center"/>
            <w:hideMark/>
          </w:tcPr>
          <w:p w14:paraId="1406F36F" w14:textId="77777777" w:rsidR="00FB5BC6" w:rsidRDefault="00FB5BC6" w:rsidP="00F518A7">
            <w:r>
              <w:t>0.616</w:t>
            </w:r>
          </w:p>
        </w:tc>
      </w:tr>
      <w:tr w:rsidR="00FB5BC6" w14:paraId="29E537CB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2BFF8" w14:textId="77777777" w:rsidR="00FB5BC6" w:rsidRDefault="00FB5BC6" w:rsidP="00F518A7">
            <w:r>
              <w:t>Region 4 vs 1</w:t>
            </w:r>
          </w:p>
        </w:tc>
        <w:tc>
          <w:tcPr>
            <w:tcW w:w="0" w:type="auto"/>
            <w:vAlign w:val="center"/>
            <w:hideMark/>
          </w:tcPr>
          <w:p w14:paraId="2B3B9324" w14:textId="77777777" w:rsidR="00FB5BC6" w:rsidRDefault="00FB5BC6" w:rsidP="00F518A7">
            <w:r>
              <w:t>−0.40</w:t>
            </w:r>
          </w:p>
        </w:tc>
        <w:tc>
          <w:tcPr>
            <w:tcW w:w="0" w:type="auto"/>
            <w:vAlign w:val="center"/>
            <w:hideMark/>
          </w:tcPr>
          <w:p w14:paraId="2788A445" w14:textId="77777777" w:rsidR="00FB5BC6" w:rsidRDefault="00FB5BC6" w:rsidP="00F518A7">
            <w:r>
              <w:t>−0.72 to −0.07</w:t>
            </w:r>
          </w:p>
        </w:tc>
        <w:tc>
          <w:tcPr>
            <w:tcW w:w="0" w:type="auto"/>
            <w:vAlign w:val="center"/>
            <w:hideMark/>
          </w:tcPr>
          <w:p w14:paraId="4012BCE3" w14:textId="77777777" w:rsidR="00FB5BC6" w:rsidRDefault="00FB5BC6" w:rsidP="00F518A7">
            <w:r>
              <w:t>0.016</w:t>
            </w:r>
          </w:p>
        </w:tc>
      </w:tr>
    </w:tbl>
    <w:p w14:paraId="599A2CBA" w14:textId="77777777" w:rsidR="00FB5BC6" w:rsidRDefault="00020190" w:rsidP="00FB5BC6">
      <w:r>
        <w:rPr>
          <w:noProof/>
          <w14:ligatures w14:val="standardContextual"/>
        </w:rPr>
      </w:r>
      <w:r w:rsidR="00020190">
        <w:rPr>
          <w:noProof/>
          <w14:ligatures w14:val="standardContextual"/>
        </w:rPr>
        <w:pict w14:anchorId="3AA71E6D">
          <v:rect id="_x0000_i1025" alt="" style="width:94.55pt;height:.05pt;mso-width-percent:0;mso-height-percent:0;mso-width-percent:0;mso-height-percent:0" o:hrpct="202" o:hralign="center" o:hrstd="t" o:hr="t" fillcolor="#a0a0a0" stroked="f"/>
        </w:pict>
      </w:r>
    </w:p>
    <w:p w14:paraId="0AB2CE70" w14:textId="7329CAB3" w:rsidR="00FB5BC6" w:rsidRPr="00FB5BC6" w:rsidRDefault="00FB5BC6" w:rsidP="00FB5BC6">
      <w:pPr>
        <w:pStyle w:val="Heading2"/>
        <w:rPr>
          <w:rFonts w:ascii="Calibri" w:hAnsi="Calibri" w:cs="Calibri"/>
          <w:sz w:val="26"/>
          <w:szCs w:val="26"/>
        </w:rPr>
      </w:pPr>
      <w:r w:rsidRPr="00FB5BC6">
        <w:rPr>
          <w:rFonts w:ascii="Calibri" w:hAnsi="Calibri" w:cs="Calibri"/>
          <w:b/>
          <w:bCs/>
          <w:sz w:val="26"/>
          <w:szCs w:val="26"/>
        </w:rPr>
        <w:t xml:space="preserve">Supplementary </w:t>
      </w:r>
      <w:r w:rsidRPr="00FB5BC6">
        <w:rPr>
          <w:rStyle w:val="Strong"/>
          <w:rFonts w:ascii="Calibri" w:hAnsi="Calibri" w:cs="Calibri"/>
          <w:sz w:val="26"/>
          <w:szCs w:val="26"/>
        </w:rPr>
        <w:t>Table 3. Multivariable Survey-Weighted Linear Regression for Total Hospital Charges</w:t>
      </w:r>
    </w:p>
    <w:p w14:paraId="08A663A0" w14:textId="77777777" w:rsidR="00FB5BC6" w:rsidRDefault="00FB5BC6" w:rsidP="00FB5BC6">
      <w:pPr>
        <w:pStyle w:val="NormalWeb"/>
      </w:pPr>
      <w:r>
        <w:rPr>
          <w:rStyle w:val="Strong"/>
        </w:rPr>
        <w:t>Outcome:</w:t>
      </w:r>
      <w:r>
        <w:t xml:space="preserve"> Total hospital charges (USD)</w:t>
      </w:r>
      <w:r>
        <w:br/>
      </w:r>
      <w:r>
        <w:rPr>
          <w:rStyle w:val="Strong"/>
        </w:rPr>
        <w:t>Reference groups:</w:t>
      </w:r>
      <w:r>
        <w:t xml:space="preserve"> White race, male sex, income quartile 1, hospital region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782"/>
        <w:gridCol w:w="1794"/>
        <w:gridCol w:w="738"/>
      </w:tblGrid>
      <w:tr w:rsidR="00FB5BC6" w14:paraId="6B4BC316" w14:textId="77777777" w:rsidTr="00F518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48A8CB" w14:textId="77777777" w:rsidR="00FB5BC6" w:rsidRDefault="00FB5BC6" w:rsidP="00F51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6880725F" w14:textId="77777777" w:rsidR="00FB5BC6" w:rsidRDefault="00FB5BC6" w:rsidP="00F51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 ($)</w:t>
            </w:r>
          </w:p>
        </w:tc>
        <w:tc>
          <w:tcPr>
            <w:tcW w:w="0" w:type="auto"/>
            <w:vAlign w:val="center"/>
            <w:hideMark/>
          </w:tcPr>
          <w:p w14:paraId="22B0A5AB" w14:textId="77777777" w:rsidR="00FB5BC6" w:rsidRDefault="00FB5BC6" w:rsidP="00F51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6DD04DF6" w14:textId="77777777" w:rsidR="00FB5BC6" w:rsidRDefault="00FB5BC6" w:rsidP="00F51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 value</w:t>
            </w:r>
          </w:p>
        </w:tc>
      </w:tr>
      <w:tr w:rsidR="00FB5BC6" w14:paraId="4F721D11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81269" w14:textId="77777777" w:rsidR="00FB5BC6" w:rsidRDefault="00FB5BC6" w:rsidP="00F518A7">
            <w:r>
              <w:rPr>
                <w:rStyle w:val="Strong"/>
              </w:rPr>
              <w:t>Race</w:t>
            </w:r>
          </w:p>
        </w:tc>
        <w:tc>
          <w:tcPr>
            <w:tcW w:w="0" w:type="auto"/>
            <w:vAlign w:val="center"/>
            <w:hideMark/>
          </w:tcPr>
          <w:p w14:paraId="033723E2" w14:textId="77777777" w:rsidR="00FB5BC6" w:rsidRDefault="00FB5BC6" w:rsidP="00F518A7"/>
        </w:tc>
        <w:tc>
          <w:tcPr>
            <w:tcW w:w="0" w:type="auto"/>
            <w:vAlign w:val="center"/>
            <w:hideMark/>
          </w:tcPr>
          <w:p w14:paraId="7568517E" w14:textId="77777777" w:rsidR="00FB5BC6" w:rsidRDefault="00FB5BC6" w:rsidP="00F518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0B380D" w14:textId="77777777" w:rsidR="00FB5BC6" w:rsidRDefault="00FB5BC6" w:rsidP="00F518A7">
            <w:pPr>
              <w:rPr>
                <w:sz w:val="20"/>
                <w:szCs w:val="20"/>
              </w:rPr>
            </w:pPr>
          </w:p>
        </w:tc>
      </w:tr>
      <w:tr w:rsidR="00FB5BC6" w14:paraId="5ECF6BAC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206EA" w14:textId="77777777" w:rsidR="00FB5BC6" w:rsidRDefault="00FB5BC6" w:rsidP="00F518A7">
            <w:pPr>
              <w:rPr>
                <w:sz w:val="24"/>
                <w:szCs w:val="24"/>
              </w:rPr>
            </w:pPr>
            <w:r>
              <w:t>Black vs White</w:t>
            </w:r>
          </w:p>
        </w:tc>
        <w:tc>
          <w:tcPr>
            <w:tcW w:w="0" w:type="auto"/>
            <w:vAlign w:val="center"/>
            <w:hideMark/>
          </w:tcPr>
          <w:p w14:paraId="7F6034DE" w14:textId="77777777" w:rsidR="00FB5BC6" w:rsidRDefault="00FB5BC6" w:rsidP="00F518A7">
            <w:r>
              <w:t>+3,920</w:t>
            </w:r>
          </w:p>
        </w:tc>
        <w:tc>
          <w:tcPr>
            <w:tcW w:w="0" w:type="auto"/>
            <w:vAlign w:val="center"/>
            <w:hideMark/>
          </w:tcPr>
          <w:p w14:paraId="28D91E23" w14:textId="77777777" w:rsidR="00FB5BC6" w:rsidRDefault="00FB5BC6" w:rsidP="00F518A7">
            <w:r>
              <w:t>2,100–5,740</w:t>
            </w:r>
          </w:p>
        </w:tc>
        <w:tc>
          <w:tcPr>
            <w:tcW w:w="0" w:type="auto"/>
            <w:vAlign w:val="center"/>
            <w:hideMark/>
          </w:tcPr>
          <w:p w14:paraId="2C65F75D" w14:textId="77777777" w:rsidR="00FB5BC6" w:rsidRDefault="00FB5BC6" w:rsidP="00F518A7">
            <w:r>
              <w:t>&lt;0.001</w:t>
            </w:r>
          </w:p>
        </w:tc>
      </w:tr>
      <w:tr w:rsidR="00FB5BC6" w14:paraId="209A354A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28ADC" w14:textId="77777777" w:rsidR="00FB5BC6" w:rsidRDefault="00FB5BC6" w:rsidP="00F518A7">
            <w:r>
              <w:t>Hispanic vs White</w:t>
            </w:r>
          </w:p>
        </w:tc>
        <w:tc>
          <w:tcPr>
            <w:tcW w:w="0" w:type="auto"/>
            <w:vAlign w:val="center"/>
            <w:hideMark/>
          </w:tcPr>
          <w:p w14:paraId="1D7610E9" w14:textId="77777777" w:rsidR="00FB5BC6" w:rsidRDefault="00FB5BC6" w:rsidP="00F518A7">
            <w:r>
              <w:t>+12,860</w:t>
            </w:r>
          </w:p>
        </w:tc>
        <w:tc>
          <w:tcPr>
            <w:tcW w:w="0" w:type="auto"/>
            <w:vAlign w:val="center"/>
            <w:hideMark/>
          </w:tcPr>
          <w:p w14:paraId="55737F34" w14:textId="77777777" w:rsidR="00FB5BC6" w:rsidRDefault="00FB5BC6" w:rsidP="00F518A7">
            <w:r>
              <w:t>9,320–16,400</w:t>
            </w:r>
          </w:p>
        </w:tc>
        <w:tc>
          <w:tcPr>
            <w:tcW w:w="0" w:type="auto"/>
            <w:vAlign w:val="center"/>
            <w:hideMark/>
          </w:tcPr>
          <w:p w14:paraId="4AE3CF72" w14:textId="77777777" w:rsidR="00FB5BC6" w:rsidRDefault="00FB5BC6" w:rsidP="00F518A7">
            <w:r>
              <w:t>&lt;0.001</w:t>
            </w:r>
          </w:p>
        </w:tc>
      </w:tr>
      <w:tr w:rsidR="00FB5BC6" w14:paraId="5BD9C97D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B086F" w14:textId="77777777" w:rsidR="00FB5BC6" w:rsidRDefault="00FB5BC6" w:rsidP="00F518A7">
            <w:r>
              <w:lastRenderedPageBreak/>
              <w:t>Other vs White</w:t>
            </w:r>
          </w:p>
        </w:tc>
        <w:tc>
          <w:tcPr>
            <w:tcW w:w="0" w:type="auto"/>
            <w:vAlign w:val="center"/>
            <w:hideMark/>
          </w:tcPr>
          <w:p w14:paraId="777F7F22" w14:textId="77777777" w:rsidR="00FB5BC6" w:rsidRDefault="00FB5BC6" w:rsidP="00F518A7">
            <w:r>
              <w:t>+7,430</w:t>
            </w:r>
          </w:p>
        </w:tc>
        <w:tc>
          <w:tcPr>
            <w:tcW w:w="0" w:type="auto"/>
            <w:vAlign w:val="center"/>
            <w:hideMark/>
          </w:tcPr>
          <w:p w14:paraId="713D425F" w14:textId="77777777" w:rsidR="00FB5BC6" w:rsidRDefault="00FB5BC6" w:rsidP="00F518A7">
            <w:r>
              <w:t>4,110–10,750</w:t>
            </w:r>
          </w:p>
        </w:tc>
        <w:tc>
          <w:tcPr>
            <w:tcW w:w="0" w:type="auto"/>
            <w:vAlign w:val="center"/>
            <w:hideMark/>
          </w:tcPr>
          <w:p w14:paraId="56281C7D" w14:textId="77777777" w:rsidR="00FB5BC6" w:rsidRDefault="00FB5BC6" w:rsidP="00F518A7">
            <w:r>
              <w:t>&lt;0.001</w:t>
            </w:r>
          </w:p>
        </w:tc>
      </w:tr>
      <w:tr w:rsidR="00FB5BC6" w14:paraId="054F9D0B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3B7B2" w14:textId="77777777" w:rsidR="00FB5BC6" w:rsidRDefault="00FB5BC6" w:rsidP="00F518A7">
            <w:r>
              <w:t>Female sex</w:t>
            </w:r>
          </w:p>
        </w:tc>
        <w:tc>
          <w:tcPr>
            <w:tcW w:w="0" w:type="auto"/>
            <w:vAlign w:val="center"/>
            <w:hideMark/>
          </w:tcPr>
          <w:p w14:paraId="087B081A" w14:textId="77777777" w:rsidR="00FB5BC6" w:rsidRDefault="00FB5BC6" w:rsidP="00F518A7">
            <w:r>
              <w:t>−6,125</w:t>
            </w:r>
          </w:p>
        </w:tc>
        <w:tc>
          <w:tcPr>
            <w:tcW w:w="0" w:type="auto"/>
            <w:vAlign w:val="center"/>
            <w:hideMark/>
          </w:tcPr>
          <w:p w14:paraId="72F27827" w14:textId="77777777" w:rsidR="00FB5BC6" w:rsidRDefault="00FB5BC6" w:rsidP="00F518A7">
            <w:r>
              <w:t>−7,920 to −4,329</w:t>
            </w:r>
          </w:p>
        </w:tc>
        <w:tc>
          <w:tcPr>
            <w:tcW w:w="0" w:type="auto"/>
            <w:vAlign w:val="center"/>
            <w:hideMark/>
          </w:tcPr>
          <w:p w14:paraId="5AF85E89" w14:textId="77777777" w:rsidR="00FB5BC6" w:rsidRDefault="00FB5BC6" w:rsidP="00F518A7">
            <w:r>
              <w:t>&lt;0.001</w:t>
            </w:r>
          </w:p>
        </w:tc>
      </w:tr>
      <w:tr w:rsidR="00FB5BC6" w14:paraId="59D9CFAB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8585B" w14:textId="77777777" w:rsidR="00FB5BC6" w:rsidRDefault="00FB5BC6" w:rsidP="00F518A7">
            <w:r>
              <w:t>COPD</w:t>
            </w:r>
          </w:p>
        </w:tc>
        <w:tc>
          <w:tcPr>
            <w:tcW w:w="0" w:type="auto"/>
            <w:vAlign w:val="center"/>
            <w:hideMark/>
          </w:tcPr>
          <w:p w14:paraId="24727F17" w14:textId="77777777" w:rsidR="00FB5BC6" w:rsidRDefault="00FB5BC6" w:rsidP="00F518A7">
            <w:r>
              <w:t>+7,688</w:t>
            </w:r>
          </w:p>
        </w:tc>
        <w:tc>
          <w:tcPr>
            <w:tcW w:w="0" w:type="auto"/>
            <w:vAlign w:val="center"/>
            <w:hideMark/>
          </w:tcPr>
          <w:p w14:paraId="57825BA3" w14:textId="77777777" w:rsidR="00FB5BC6" w:rsidRDefault="00FB5BC6" w:rsidP="00F518A7">
            <w:r>
              <w:t>5,542–9,834</w:t>
            </w:r>
          </w:p>
        </w:tc>
        <w:tc>
          <w:tcPr>
            <w:tcW w:w="0" w:type="auto"/>
            <w:vAlign w:val="center"/>
            <w:hideMark/>
          </w:tcPr>
          <w:p w14:paraId="3F026497" w14:textId="77777777" w:rsidR="00FB5BC6" w:rsidRDefault="00FB5BC6" w:rsidP="00F518A7">
            <w:r>
              <w:t>&lt;0.001</w:t>
            </w:r>
          </w:p>
        </w:tc>
      </w:tr>
      <w:tr w:rsidR="00FB5BC6" w14:paraId="5BFB4D72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0B2A8" w14:textId="77777777" w:rsidR="00FB5BC6" w:rsidRDefault="00FB5BC6" w:rsidP="00F518A7">
            <w:r>
              <w:t>Congestive heart failure</w:t>
            </w:r>
          </w:p>
        </w:tc>
        <w:tc>
          <w:tcPr>
            <w:tcW w:w="0" w:type="auto"/>
            <w:vAlign w:val="center"/>
            <w:hideMark/>
          </w:tcPr>
          <w:p w14:paraId="79D2A135" w14:textId="77777777" w:rsidR="00FB5BC6" w:rsidRDefault="00FB5BC6" w:rsidP="00F518A7">
            <w:r>
              <w:t>+7,259</w:t>
            </w:r>
          </w:p>
        </w:tc>
        <w:tc>
          <w:tcPr>
            <w:tcW w:w="0" w:type="auto"/>
            <w:vAlign w:val="center"/>
            <w:hideMark/>
          </w:tcPr>
          <w:p w14:paraId="207F67B7" w14:textId="77777777" w:rsidR="00FB5BC6" w:rsidRDefault="00FB5BC6" w:rsidP="00F518A7">
            <w:r>
              <w:t>3,949–10,569</w:t>
            </w:r>
          </w:p>
        </w:tc>
        <w:tc>
          <w:tcPr>
            <w:tcW w:w="0" w:type="auto"/>
            <w:vAlign w:val="center"/>
            <w:hideMark/>
          </w:tcPr>
          <w:p w14:paraId="52BA9BE4" w14:textId="77777777" w:rsidR="00FB5BC6" w:rsidRDefault="00FB5BC6" w:rsidP="00F518A7">
            <w:r>
              <w:t>&lt;0.001</w:t>
            </w:r>
          </w:p>
        </w:tc>
      </w:tr>
      <w:tr w:rsidR="00FB5BC6" w14:paraId="668C4D14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70387" w14:textId="77777777" w:rsidR="00FB5BC6" w:rsidRDefault="00FB5BC6" w:rsidP="00F518A7">
            <w:r>
              <w:t>Diabetes mellitus</w:t>
            </w:r>
          </w:p>
        </w:tc>
        <w:tc>
          <w:tcPr>
            <w:tcW w:w="0" w:type="auto"/>
            <w:vAlign w:val="center"/>
            <w:hideMark/>
          </w:tcPr>
          <w:p w14:paraId="1DAF2837" w14:textId="77777777" w:rsidR="00FB5BC6" w:rsidRDefault="00FB5BC6" w:rsidP="00F518A7">
            <w:r>
              <w:t>−143</w:t>
            </w:r>
          </w:p>
        </w:tc>
        <w:tc>
          <w:tcPr>
            <w:tcW w:w="0" w:type="auto"/>
            <w:vAlign w:val="center"/>
            <w:hideMark/>
          </w:tcPr>
          <w:p w14:paraId="63A6751C" w14:textId="77777777" w:rsidR="00FB5BC6" w:rsidRDefault="00FB5BC6" w:rsidP="00F518A7">
            <w:r>
              <w:t>−2,439 to 2,153</w:t>
            </w:r>
          </w:p>
        </w:tc>
        <w:tc>
          <w:tcPr>
            <w:tcW w:w="0" w:type="auto"/>
            <w:vAlign w:val="center"/>
            <w:hideMark/>
          </w:tcPr>
          <w:p w14:paraId="03E796AE" w14:textId="77777777" w:rsidR="00FB5BC6" w:rsidRDefault="00FB5BC6" w:rsidP="00F518A7">
            <w:r>
              <w:t>0.903</w:t>
            </w:r>
          </w:p>
        </w:tc>
      </w:tr>
      <w:tr w:rsidR="00FB5BC6" w14:paraId="5C061176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5D720" w14:textId="77777777" w:rsidR="00FB5BC6" w:rsidRDefault="00FB5BC6" w:rsidP="00F518A7">
            <w:r>
              <w:t>Chronic kidney disease</w:t>
            </w:r>
          </w:p>
        </w:tc>
        <w:tc>
          <w:tcPr>
            <w:tcW w:w="0" w:type="auto"/>
            <w:vAlign w:val="center"/>
            <w:hideMark/>
          </w:tcPr>
          <w:p w14:paraId="56CABED1" w14:textId="77777777" w:rsidR="00FB5BC6" w:rsidRDefault="00FB5BC6" w:rsidP="00F518A7">
            <w:r>
              <w:t>+1,414</w:t>
            </w:r>
          </w:p>
        </w:tc>
        <w:tc>
          <w:tcPr>
            <w:tcW w:w="0" w:type="auto"/>
            <w:vAlign w:val="center"/>
            <w:hideMark/>
          </w:tcPr>
          <w:p w14:paraId="3B0729C0" w14:textId="77777777" w:rsidR="00FB5BC6" w:rsidRDefault="00FB5BC6" w:rsidP="00F518A7">
            <w:r>
              <w:t>−1,609 to 4,437</w:t>
            </w:r>
          </w:p>
        </w:tc>
        <w:tc>
          <w:tcPr>
            <w:tcW w:w="0" w:type="auto"/>
            <w:vAlign w:val="center"/>
            <w:hideMark/>
          </w:tcPr>
          <w:p w14:paraId="1CD96BB7" w14:textId="77777777" w:rsidR="00FB5BC6" w:rsidRDefault="00FB5BC6" w:rsidP="00F518A7">
            <w:r>
              <w:t>0.359</w:t>
            </w:r>
          </w:p>
        </w:tc>
      </w:tr>
      <w:tr w:rsidR="00FB5BC6" w14:paraId="50585795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8CEBB" w14:textId="77777777" w:rsidR="00FB5BC6" w:rsidRDefault="00FB5BC6" w:rsidP="00F518A7">
            <w:r>
              <w:t>Smoking</w:t>
            </w:r>
          </w:p>
        </w:tc>
        <w:tc>
          <w:tcPr>
            <w:tcW w:w="0" w:type="auto"/>
            <w:vAlign w:val="center"/>
            <w:hideMark/>
          </w:tcPr>
          <w:p w14:paraId="6B7FC73B" w14:textId="77777777" w:rsidR="00FB5BC6" w:rsidRDefault="00FB5BC6" w:rsidP="00F518A7">
            <w:r>
              <w:t>−7,497</w:t>
            </w:r>
          </w:p>
        </w:tc>
        <w:tc>
          <w:tcPr>
            <w:tcW w:w="0" w:type="auto"/>
            <w:vAlign w:val="center"/>
            <w:hideMark/>
          </w:tcPr>
          <w:p w14:paraId="200B0079" w14:textId="77777777" w:rsidR="00FB5BC6" w:rsidRDefault="00FB5BC6" w:rsidP="00F518A7">
            <w:r>
              <w:t>−9,426 to −5,568</w:t>
            </w:r>
          </w:p>
        </w:tc>
        <w:tc>
          <w:tcPr>
            <w:tcW w:w="0" w:type="auto"/>
            <w:vAlign w:val="center"/>
            <w:hideMark/>
          </w:tcPr>
          <w:p w14:paraId="611DD3EF" w14:textId="77777777" w:rsidR="00FB5BC6" w:rsidRDefault="00FB5BC6" w:rsidP="00F518A7">
            <w:r>
              <w:t>&lt;0.001</w:t>
            </w:r>
          </w:p>
        </w:tc>
      </w:tr>
      <w:tr w:rsidR="00FB5BC6" w14:paraId="1E330D00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4CE36" w14:textId="77777777" w:rsidR="00FB5BC6" w:rsidRDefault="00FB5BC6" w:rsidP="00F518A7">
            <w:r>
              <w:t>Age &gt;60 years</w:t>
            </w:r>
          </w:p>
        </w:tc>
        <w:tc>
          <w:tcPr>
            <w:tcW w:w="0" w:type="auto"/>
            <w:vAlign w:val="center"/>
            <w:hideMark/>
          </w:tcPr>
          <w:p w14:paraId="6707DAB6" w14:textId="77777777" w:rsidR="00FB5BC6" w:rsidRDefault="00FB5BC6" w:rsidP="00F518A7">
            <w:r>
              <w:t>−2,678</w:t>
            </w:r>
          </w:p>
        </w:tc>
        <w:tc>
          <w:tcPr>
            <w:tcW w:w="0" w:type="auto"/>
            <w:vAlign w:val="center"/>
            <w:hideMark/>
          </w:tcPr>
          <w:p w14:paraId="335E63F1" w14:textId="77777777" w:rsidR="00FB5BC6" w:rsidRDefault="00FB5BC6" w:rsidP="00F518A7">
            <w:r>
              <w:t>−5,562 to 205</w:t>
            </w:r>
          </w:p>
        </w:tc>
        <w:tc>
          <w:tcPr>
            <w:tcW w:w="0" w:type="auto"/>
            <w:vAlign w:val="center"/>
            <w:hideMark/>
          </w:tcPr>
          <w:p w14:paraId="472CD6A3" w14:textId="77777777" w:rsidR="00FB5BC6" w:rsidRDefault="00FB5BC6" w:rsidP="00F518A7">
            <w:r>
              <w:t>0.069</w:t>
            </w:r>
          </w:p>
        </w:tc>
      </w:tr>
      <w:tr w:rsidR="00FB5BC6" w14:paraId="42299F20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66E0D" w14:textId="77777777" w:rsidR="00FB5BC6" w:rsidRDefault="00FB5BC6" w:rsidP="00F518A7">
            <w:r>
              <w:t>Obesity</w:t>
            </w:r>
          </w:p>
        </w:tc>
        <w:tc>
          <w:tcPr>
            <w:tcW w:w="0" w:type="auto"/>
            <w:vAlign w:val="center"/>
            <w:hideMark/>
          </w:tcPr>
          <w:p w14:paraId="6B38B346" w14:textId="77777777" w:rsidR="00FB5BC6" w:rsidRDefault="00FB5BC6" w:rsidP="00F518A7">
            <w:r>
              <w:t>+13,644</w:t>
            </w:r>
          </w:p>
        </w:tc>
        <w:tc>
          <w:tcPr>
            <w:tcW w:w="0" w:type="auto"/>
            <w:vAlign w:val="center"/>
            <w:hideMark/>
          </w:tcPr>
          <w:p w14:paraId="79427A5D" w14:textId="77777777" w:rsidR="00FB5BC6" w:rsidRDefault="00FB5BC6" w:rsidP="00F518A7">
            <w:r>
              <w:t>10,703–16,586</w:t>
            </w:r>
          </w:p>
        </w:tc>
        <w:tc>
          <w:tcPr>
            <w:tcW w:w="0" w:type="auto"/>
            <w:vAlign w:val="center"/>
            <w:hideMark/>
          </w:tcPr>
          <w:p w14:paraId="065D3E3F" w14:textId="77777777" w:rsidR="00FB5BC6" w:rsidRDefault="00FB5BC6" w:rsidP="00F518A7">
            <w:r>
              <w:t>&lt;0.001</w:t>
            </w:r>
          </w:p>
        </w:tc>
      </w:tr>
      <w:tr w:rsidR="00FB5BC6" w14:paraId="3355C523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A56DB" w14:textId="77777777" w:rsidR="00FB5BC6" w:rsidRDefault="00FB5BC6" w:rsidP="00F518A7">
            <w:r>
              <w:t>Income quartile 2 vs 1</w:t>
            </w:r>
          </w:p>
        </w:tc>
        <w:tc>
          <w:tcPr>
            <w:tcW w:w="0" w:type="auto"/>
            <w:vAlign w:val="center"/>
            <w:hideMark/>
          </w:tcPr>
          <w:p w14:paraId="5A72ED4B" w14:textId="77777777" w:rsidR="00FB5BC6" w:rsidRDefault="00FB5BC6" w:rsidP="00F518A7">
            <w:r>
              <w:t>+2,420</w:t>
            </w:r>
          </w:p>
        </w:tc>
        <w:tc>
          <w:tcPr>
            <w:tcW w:w="0" w:type="auto"/>
            <w:vAlign w:val="center"/>
            <w:hideMark/>
          </w:tcPr>
          <w:p w14:paraId="06063901" w14:textId="77777777" w:rsidR="00FB5BC6" w:rsidRDefault="00FB5BC6" w:rsidP="00F518A7">
            <w:r>
              <w:t>−672 to 5,511</w:t>
            </w:r>
          </w:p>
        </w:tc>
        <w:tc>
          <w:tcPr>
            <w:tcW w:w="0" w:type="auto"/>
            <w:vAlign w:val="center"/>
            <w:hideMark/>
          </w:tcPr>
          <w:p w14:paraId="37C59E46" w14:textId="77777777" w:rsidR="00FB5BC6" w:rsidRDefault="00FB5BC6" w:rsidP="00F518A7">
            <w:r>
              <w:t>0.125</w:t>
            </w:r>
          </w:p>
        </w:tc>
      </w:tr>
      <w:tr w:rsidR="00FB5BC6" w14:paraId="36924B10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8A428" w14:textId="77777777" w:rsidR="00FB5BC6" w:rsidRDefault="00FB5BC6" w:rsidP="00F518A7">
            <w:r>
              <w:t>Income quartile 3 vs 1</w:t>
            </w:r>
          </w:p>
        </w:tc>
        <w:tc>
          <w:tcPr>
            <w:tcW w:w="0" w:type="auto"/>
            <w:vAlign w:val="center"/>
            <w:hideMark/>
          </w:tcPr>
          <w:p w14:paraId="3B3E8792" w14:textId="77777777" w:rsidR="00FB5BC6" w:rsidRDefault="00FB5BC6" w:rsidP="00F518A7">
            <w:r>
              <w:t>−861</w:t>
            </w:r>
          </w:p>
        </w:tc>
        <w:tc>
          <w:tcPr>
            <w:tcW w:w="0" w:type="auto"/>
            <w:vAlign w:val="center"/>
            <w:hideMark/>
          </w:tcPr>
          <w:p w14:paraId="68E3BB3C" w14:textId="77777777" w:rsidR="00FB5BC6" w:rsidRDefault="00FB5BC6" w:rsidP="00F518A7">
            <w:r>
              <w:t>−3,814 to 2,092</w:t>
            </w:r>
          </w:p>
        </w:tc>
        <w:tc>
          <w:tcPr>
            <w:tcW w:w="0" w:type="auto"/>
            <w:vAlign w:val="center"/>
            <w:hideMark/>
          </w:tcPr>
          <w:p w14:paraId="0392ECC7" w14:textId="77777777" w:rsidR="00FB5BC6" w:rsidRDefault="00FB5BC6" w:rsidP="00F518A7">
            <w:r>
              <w:t>0.568</w:t>
            </w:r>
          </w:p>
        </w:tc>
      </w:tr>
      <w:tr w:rsidR="00FB5BC6" w14:paraId="157DECC9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66434" w14:textId="77777777" w:rsidR="00FB5BC6" w:rsidRDefault="00FB5BC6" w:rsidP="00F518A7">
            <w:r>
              <w:t>Income quartile 4 vs 1</w:t>
            </w:r>
          </w:p>
        </w:tc>
        <w:tc>
          <w:tcPr>
            <w:tcW w:w="0" w:type="auto"/>
            <w:vAlign w:val="center"/>
            <w:hideMark/>
          </w:tcPr>
          <w:p w14:paraId="7E4EEBFD" w14:textId="77777777" w:rsidR="00FB5BC6" w:rsidRDefault="00FB5BC6" w:rsidP="00F518A7">
            <w:r>
              <w:t>+6,344</w:t>
            </w:r>
          </w:p>
        </w:tc>
        <w:tc>
          <w:tcPr>
            <w:tcW w:w="0" w:type="auto"/>
            <w:vAlign w:val="center"/>
            <w:hideMark/>
          </w:tcPr>
          <w:p w14:paraId="34C04598" w14:textId="77777777" w:rsidR="00FB5BC6" w:rsidRDefault="00FB5BC6" w:rsidP="00F518A7">
            <w:r>
              <w:t>2,099–10,588</w:t>
            </w:r>
          </w:p>
        </w:tc>
        <w:tc>
          <w:tcPr>
            <w:tcW w:w="0" w:type="auto"/>
            <w:vAlign w:val="center"/>
            <w:hideMark/>
          </w:tcPr>
          <w:p w14:paraId="4F3A9549" w14:textId="77777777" w:rsidR="00FB5BC6" w:rsidRDefault="00FB5BC6" w:rsidP="00F518A7">
            <w:r>
              <w:t>0.003</w:t>
            </w:r>
          </w:p>
        </w:tc>
      </w:tr>
      <w:tr w:rsidR="00FB5BC6" w14:paraId="6FE56065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197A4" w14:textId="77777777" w:rsidR="00FB5BC6" w:rsidRDefault="00FB5BC6" w:rsidP="00F518A7">
            <w:r>
              <w:t>Region 2 vs 1</w:t>
            </w:r>
          </w:p>
        </w:tc>
        <w:tc>
          <w:tcPr>
            <w:tcW w:w="0" w:type="auto"/>
            <w:vAlign w:val="center"/>
            <w:hideMark/>
          </w:tcPr>
          <w:p w14:paraId="41532008" w14:textId="77777777" w:rsidR="00FB5BC6" w:rsidRDefault="00FB5BC6" w:rsidP="00F518A7">
            <w:r>
              <w:t>−18,195</w:t>
            </w:r>
          </w:p>
        </w:tc>
        <w:tc>
          <w:tcPr>
            <w:tcW w:w="0" w:type="auto"/>
            <w:vAlign w:val="center"/>
            <w:hideMark/>
          </w:tcPr>
          <w:p w14:paraId="2D00A840" w14:textId="77777777" w:rsidR="00FB5BC6" w:rsidRDefault="00FB5BC6" w:rsidP="00F518A7">
            <w:r>
              <w:t>−24,220 to −12,169</w:t>
            </w:r>
          </w:p>
        </w:tc>
        <w:tc>
          <w:tcPr>
            <w:tcW w:w="0" w:type="auto"/>
            <w:vAlign w:val="center"/>
            <w:hideMark/>
          </w:tcPr>
          <w:p w14:paraId="0D4374D2" w14:textId="77777777" w:rsidR="00FB5BC6" w:rsidRDefault="00FB5BC6" w:rsidP="00F518A7">
            <w:r>
              <w:t>&lt;0.001</w:t>
            </w:r>
          </w:p>
        </w:tc>
      </w:tr>
      <w:tr w:rsidR="00FB5BC6" w14:paraId="1F20C2C4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0072A" w14:textId="77777777" w:rsidR="00FB5BC6" w:rsidRDefault="00FB5BC6" w:rsidP="00F518A7">
            <w:r>
              <w:t>Region 3 vs 1</w:t>
            </w:r>
          </w:p>
        </w:tc>
        <w:tc>
          <w:tcPr>
            <w:tcW w:w="0" w:type="auto"/>
            <w:vAlign w:val="center"/>
            <w:hideMark/>
          </w:tcPr>
          <w:p w14:paraId="750FB57D" w14:textId="77777777" w:rsidR="00FB5BC6" w:rsidRDefault="00FB5BC6" w:rsidP="00F518A7">
            <w:r>
              <w:t>−5,082</w:t>
            </w:r>
          </w:p>
        </w:tc>
        <w:tc>
          <w:tcPr>
            <w:tcW w:w="0" w:type="auto"/>
            <w:vAlign w:val="center"/>
            <w:hideMark/>
          </w:tcPr>
          <w:p w14:paraId="76B27770" w14:textId="77777777" w:rsidR="00FB5BC6" w:rsidRDefault="00FB5BC6" w:rsidP="00F518A7">
            <w:r>
              <w:t>−11,444 to 1,279</w:t>
            </w:r>
          </w:p>
        </w:tc>
        <w:tc>
          <w:tcPr>
            <w:tcW w:w="0" w:type="auto"/>
            <w:vAlign w:val="center"/>
            <w:hideMark/>
          </w:tcPr>
          <w:p w14:paraId="379D0DA2" w14:textId="77777777" w:rsidR="00FB5BC6" w:rsidRDefault="00FB5BC6" w:rsidP="00F518A7">
            <w:r>
              <w:t>0.117</w:t>
            </w:r>
          </w:p>
        </w:tc>
      </w:tr>
      <w:tr w:rsidR="00FB5BC6" w14:paraId="2BB58080" w14:textId="77777777" w:rsidTr="00F51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C948C" w14:textId="77777777" w:rsidR="00FB5BC6" w:rsidRDefault="00FB5BC6" w:rsidP="00F518A7">
            <w:r>
              <w:t>Region 4 vs 1</w:t>
            </w:r>
          </w:p>
        </w:tc>
        <w:tc>
          <w:tcPr>
            <w:tcW w:w="0" w:type="auto"/>
            <w:vAlign w:val="center"/>
            <w:hideMark/>
          </w:tcPr>
          <w:p w14:paraId="173B934E" w14:textId="77777777" w:rsidR="00FB5BC6" w:rsidRDefault="00FB5BC6" w:rsidP="00F518A7">
            <w:r>
              <w:t>+24,812</w:t>
            </w:r>
          </w:p>
        </w:tc>
        <w:tc>
          <w:tcPr>
            <w:tcW w:w="0" w:type="auto"/>
            <w:vAlign w:val="center"/>
            <w:hideMark/>
          </w:tcPr>
          <w:p w14:paraId="638EE602" w14:textId="77777777" w:rsidR="00FB5BC6" w:rsidRDefault="00FB5BC6" w:rsidP="00F518A7">
            <w:r>
              <w:t>15,974–33,651</w:t>
            </w:r>
          </w:p>
        </w:tc>
        <w:tc>
          <w:tcPr>
            <w:tcW w:w="0" w:type="auto"/>
            <w:vAlign w:val="center"/>
            <w:hideMark/>
          </w:tcPr>
          <w:p w14:paraId="7C1AD049" w14:textId="77777777" w:rsidR="00FB5BC6" w:rsidRDefault="00FB5BC6" w:rsidP="00F518A7">
            <w:r>
              <w:t>&lt;0.001</w:t>
            </w:r>
          </w:p>
        </w:tc>
      </w:tr>
    </w:tbl>
    <w:p w14:paraId="71680704" w14:textId="77777777" w:rsidR="004A34CB" w:rsidRDefault="004A34CB"/>
    <w:sectPr w:rsidR="004A3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C6"/>
    <w:rsid w:val="00006558"/>
    <w:rsid w:val="00020190"/>
    <w:rsid w:val="001A7961"/>
    <w:rsid w:val="00216B33"/>
    <w:rsid w:val="004071F8"/>
    <w:rsid w:val="004A34CB"/>
    <w:rsid w:val="006F6214"/>
    <w:rsid w:val="00755C4C"/>
    <w:rsid w:val="008F1BC2"/>
    <w:rsid w:val="00A1691D"/>
    <w:rsid w:val="00AC0B25"/>
    <w:rsid w:val="00C34D85"/>
    <w:rsid w:val="00C47D30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2E9163"/>
  <w15:chartTrackingRefBased/>
  <w15:docId w15:val="{66A8BF7E-2611-314B-AEEB-5918FB3B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C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B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B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5B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B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B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B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B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B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B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5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B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B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5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BC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5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BC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5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BC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5B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B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BC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B5BC6"/>
    <w:rPr>
      <w:b/>
      <w:bCs/>
    </w:rPr>
  </w:style>
  <w:style w:type="paragraph" w:styleId="NormalWeb">
    <w:name w:val="Normal (Web)"/>
    <w:basedOn w:val="Normal"/>
    <w:uiPriority w:val="99"/>
    <w:unhideWhenUsed/>
    <w:rsid w:val="00FB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Bugra Zengin</dc:creator>
  <cp:keywords/>
  <dc:description/>
  <cp:lastModifiedBy>Bugra Zengin</cp:lastModifiedBy>
  <cp:revision>2</cp:revision>
  <dcterms:created xsi:type="dcterms:W3CDTF">2026-02-01T18:31:00Z</dcterms:created>
  <dcterms:modified xsi:type="dcterms:W3CDTF">2026-02-01T18:31:00Z</dcterms:modified>
</cp:coreProperties>
</file>