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50FCD" w14:textId="6360D5D3" w:rsidR="00BB183A" w:rsidRDefault="00C34254">
      <w:pPr>
        <w:pStyle w:val="Heading2"/>
        <w:keepLines/>
        <w:spacing w:before="160" w:after="80" w:line="336" w:lineRule="auto"/>
        <w:rPr>
          <w:rFonts w:ascii="Times New Roman" w:eastAsia="Times New Roman" w:hAnsi="Times New Roman" w:cs="Times New Roman"/>
          <w:b w:val="0"/>
          <w:bCs w:val="0"/>
          <w:kern w:val="2"/>
          <w:sz w:val="22"/>
          <w:szCs w:val="22"/>
          <w:u w:color="000000"/>
        </w:rPr>
      </w:pPr>
      <w:r>
        <w:rPr>
          <w:rFonts w:ascii="Times New Roman" w:hAnsi="Times New Roman"/>
          <w:kern w:val="2"/>
          <w:sz w:val="22"/>
          <w:szCs w:val="22"/>
          <w:u w:color="000000"/>
        </w:rPr>
        <w:t>Additional</w:t>
      </w:r>
      <w:r w:rsidR="007B2841">
        <w:rPr>
          <w:rFonts w:ascii="Times New Roman" w:hAnsi="Times New Roman"/>
          <w:kern w:val="2"/>
          <w:sz w:val="22"/>
          <w:szCs w:val="22"/>
          <w:u w:color="000000"/>
        </w:rPr>
        <w:t xml:space="preserve"> Methods</w:t>
      </w:r>
      <w:r w:rsidR="007B2841">
        <w:rPr>
          <w:rFonts w:ascii="Times New Roman" w:eastAsia="Times New Roman" w:hAnsi="Times New Roman" w:cs="Times New Roman"/>
          <w:color w:val="0F4761"/>
          <w:kern w:val="2"/>
          <w:sz w:val="22"/>
          <w:szCs w:val="22"/>
          <w:u w:color="0F4761"/>
        </w:rPr>
        <w:br/>
      </w:r>
      <w:r w:rsidR="007B2841">
        <w:rPr>
          <w:rFonts w:ascii="Times New Roman" w:eastAsia="Times New Roman" w:hAnsi="Times New Roman" w:cs="Times New Roman"/>
          <w:b w:val="0"/>
          <w:bCs w:val="0"/>
          <w:color w:val="0F4761"/>
          <w:kern w:val="2"/>
          <w:sz w:val="22"/>
          <w:szCs w:val="22"/>
          <w:u w:color="0F4761"/>
        </w:rPr>
        <w:br/>
      </w:r>
      <w:r w:rsidR="007B2841">
        <w:rPr>
          <w:rFonts w:ascii="Times New Roman" w:hAnsi="Times New Roman"/>
          <w:i/>
          <w:iCs/>
          <w:kern w:val="2"/>
          <w:sz w:val="22"/>
          <w:szCs w:val="22"/>
          <w:u w:color="000000"/>
          <w:lang w:val="it-IT"/>
        </w:rPr>
        <w:t>Model diagnostics</w:t>
      </w:r>
    </w:p>
    <w:p w14:paraId="65850FCE" w14:textId="77777777" w:rsidR="00BB183A" w:rsidRDefault="007B2841">
      <w:pPr>
        <w:pStyle w:val="Body"/>
        <w:spacing w:line="336" w:lineRule="auto"/>
        <w:rPr>
          <w:rFonts w:ascii="Times New Roman" w:eastAsia="Times New Roman" w:hAnsi="Times New Roman" w:cs="Times New Roman"/>
          <w:u w:color="000000"/>
        </w:rPr>
      </w:pPr>
      <w:r>
        <w:rPr>
          <w:rFonts w:ascii="Times New Roman" w:hAnsi="Times New Roman"/>
          <w:u w:color="000000"/>
        </w:rPr>
        <w:t>ANO and NSS17 were not used in NPC1 vs. control since these metrics were not captured for control samples. From our metadata correlations analysis (described below), we know age varies with NPX for 1,236/2,861 proteins at a rate of as much as +/-0.3 NPX per year of age. Our sensitivity analysis (described below) shows that age and NSS17 substantially affect our models (partial η²). ANO had a smaller partial η² than age or NSS17, and a strong enough effect to warrant the term’s inclusion in the miglustat-effect contrasts.</w:t>
      </w:r>
    </w:p>
    <w:p w14:paraId="65850FCF" w14:textId="77777777" w:rsidR="00BB183A" w:rsidRDefault="00BB183A">
      <w:pPr>
        <w:pStyle w:val="Body"/>
        <w:spacing w:line="336" w:lineRule="auto"/>
        <w:rPr>
          <w:rFonts w:ascii="Times New Roman" w:eastAsia="Times New Roman" w:hAnsi="Times New Roman" w:cs="Times New Roman"/>
          <w:u w:color="000000"/>
        </w:rPr>
      </w:pPr>
    </w:p>
    <w:p w14:paraId="65850FD0" w14:textId="77777777" w:rsidR="00BB183A" w:rsidRDefault="007B2841">
      <w:pPr>
        <w:pStyle w:val="Body"/>
        <w:spacing w:line="336" w:lineRule="auto"/>
        <w:rPr>
          <w:rFonts w:ascii="Times New Roman" w:eastAsia="Times New Roman" w:hAnsi="Times New Roman" w:cs="Times New Roman"/>
          <w:u w:color="000000"/>
        </w:rPr>
      </w:pPr>
      <w:r>
        <w:rPr>
          <w:rFonts w:ascii="Times New Roman" w:hAnsi="Times New Roman"/>
          <w:u w:color="000000"/>
        </w:rPr>
        <w:t>We examined between-group variance homogeneity with per-protein pairwise F-tests comparing our contrast arms. Heteroscedasticity was found in 5.6 % of proteins in the NPC1 vs. control contrast and 4.6 % in the miglustat treatment contrast (FDR &lt; 0.10). The unequal-group variance assumption violation was discovered in a negligible proportion of our tests.</w:t>
      </w:r>
    </w:p>
    <w:p w14:paraId="65850FD1" w14:textId="77777777" w:rsidR="00BB183A" w:rsidRDefault="00BB183A">
      <w:pPr>
        <w:pStyle w:val="Body"/>
        <w:spacing w:line="336" w:lineRule="auto"/>
        <w:rPr>
          <w:rFonts w:ascii="Times New Roman" w:eastAsia="Times New Roman" w:hAnsi="Times New Roman" w:cs="Times New Roman"/>
          <w:u w:color="000000"/>
        </w:rPr>
      </w:pPr>
    </w:p>
    <w:p w14:paraId="65850FD2" w14:textId="77777777" w:rsidR="00BB183A" w:rsidRDefault="007B2841">
      <w:pPr>
        <w:pStyle w:val="Body"/>
        <w:spacing w:line="336" w:lineRule="auto"/>
        <w:rPr>
          <w:rFonts w:ascii="Times New Roman" w:eastAsia="Times New Roman" w:hAnsi="Times New Roman" w:cs="Times New Roman"/>
          <w:u w:color="000000"/>
        </w:rPr>
      </w:pPr>
      <w:r>
        <w:rPr>
          <w:rFonts w:ascii="Times New Roman" w:hAnsi="Times New Roman"/>
          <w:u w:color="000000"/>
        </w:rPr>
        <w:t>We assessed the normality of residuals (normal error) per protein with Shapiro–Wilk tests (Öztuna, 2006) adjusted by the Benjamini–Hochberg procedure (FDR &lt; 0.10) and confirmed visually with quantile-quantile (QQ) plots. Residual sets with Shapiro–Wilk FDR &lt; 0.10 showed heavy tails and some outliers. Heavy-tailed residuals were detected in 35 % of proteins in the NPC1 vs. control contrast and 43 % for the miglustat contrast.</w:t>
      </w:r>
    </w:p>
    <w:p w14:paraId="65850FD3" w14:textId="77777777" w:rsidR="00BB183A" w:rsidRDefault="007B2841">
      <w:pPr>
        <w:pStyle w:val="Body"/>
        <w:spacing w:line="336" w:lineRule="auto"/>
        <w:rPr>
          <w:rFonts w:ascii="Times New Roman" w:eastAsia="Times New Roman" w:hAnsi="Times New Roman" w:cs="Times New Roman"/>
          <w:u w:color="000000"/>
        </w:rPr>
      </w:pPr>
      <w:r>
        <w:rPr>
          <w:rFonts w:ascii="Times New Roman" w:eastAsia="Times New Roman" w:hAnsi="Times New Roman" w:cs="Times New Roman"/>
          <w:u w:color="000000"/>
        </w:rPr>
        <w:br/>
      </w:r>
      <w:r>
        <w:rPr>
          <w:rFonts w:ascii="Times New Roman" w:hAnsi="Times New Roman"/>
          <w:u w:color="000000"/>
        </w:rPr>
        <w:t>We sought biomarkers that generalize across the heterogeneous NPC1 population. Classical parametric tests (e.g., ANOVA F-test) are known to become conservative when the error distribution contains biologically driven outliers. The realized Type I error is typically below the nominal α, while power is sacrificed as a tradeoff. This inherent conservatism aligns with our goal of minimizing false-positive protein discoveries in the presence of NPC1 patient-specific idiosyncrasies.</w:t>
      </w:r>
    </w:p>
    <w:p w14:paraId="65850FD4" w14:textId="77777777" w:rsidR="00BB183A" w:rsidRDefault="00BB183A">
      <w:pPr>
        <w:pStyle w:val="Body"/>
        <w:spacing w:line="336" w:lineRule="auto"/>
        <w:rPr>
          <w:rFonts w:ascii="Times New Roman" w:eastAsia="Times New Roman" w:hAnsi="Times New Roman" w:cs="Times New Roman"/>
          <w:u w:color="000000"/>
        </w:rPr>
      </w:pPr>
    </w:p>
    <w:p w14:paraId="65850FD5" w14:textId="77777777" w:rsidR="00BB183A" w:rsidRDefault="007B2841">
      <w:pPr>
        <w:pStyle w:val="Body"/>
        <w:spacing w:after="160" w:line="336" w:lineRule="auto"/>
        <w:outlineLvl w:val="1"/>
        <w:rPr>
          <w:rFonts w:ascii="Times New Roman" w:eastAsia="Times New Roman" w:hAnsi="Times New Roman" w:cs="Times New Roman"/>
          <w:b/>
          <w:bCs/>
          <w:i/>
          <w:iCs/>
          <w:kern w:val="2"/>
          <w:u w:color="000000"/>
        </w:rPr>
      </w:pPr>
      <w:r>
        <w:rPr>
          <w:rFonts w:ascii="Times New Roman" w:hAnsi="Times New Roman"/>
          <w:b/>
          <w:bCs/>
          <w:i/>
          <w:iCs/>
          <w:kern w:val="2"/>
          <w:u w:color="000000"/>
        </w:rPr>
        <w:t>Sensitivity analyses</w:t>
      </w:r>
    </w:p>
    <w:p w14:paraId="65850FD6" w14:textId="77777777" w:rsidR="00BB183A" w:rsidRDefault="007B2841">
      <w:pPr>
        <w:pStyle w:val="Body"/>
        <w:spacing w:line="336" w:lineRule="auto"/>
        <w:rPr>
          <w:rFonts w:ascii="Times New Roman" w:eastAsia="Times New Roman" w:hAnsi="Times New Roman" w:cs="Times New Roman"/>
          <w:u w:color="000000"/>
        </w:rPr>
      </w:pPr>
      <w:r>
        <w:rPr>
          <w:rFonts w:ascii="Times New Roman" w:hAnsi="Times New Roman"/>
          <w:u w:color="000000"/>
        </w:rPr>
        <w:t xml:space="preserve">We used Cook’s distance heatmaps and leave-one-out (LOO) diagnostics to quantify the leverage of individual samples and assess each term's influence in our models. For every LOO iteration, we computed partial η² effect sizes with and without a sample or term and visualized the effect of removal with partial η² scatter plots. We inspected samples that appeared frequently or extremely in the heavy tails of the residual distributions. In the NPC1 vs. control contrast, samples showing the most considerable influence contributed to heavy-tail residuals for only a few percent of proteins. We observed similar heavy-tail </w:t>
      </w:r>
      <w:r>
        <w:rPr>
          <w:rFonts w:ascii="Times New Roman" w:hAnsi="Times New Roman"/>
          <w:u w:color="000000"/>
        </w:rPr>
        <w:lastRenderedPageBreak/>
        <w:t>patterns in the miglustat contrast, but no single sample exerted extreme influence (</w:t>
      </w:r>
      <m:oMath>
        <m:r>
          <w:rPr>
            <w:rFonts w:ascii="Cambria Math" w:hAnsi="Cambria Math"/>
          </w:rPr>
          <m:t>∆</m:t>
        </m:r>
      </m:oMath>
      <w:r>
        <w:rPr>
          <w:rFonts w:ascii="Times New Roman" w:hAnsi="Times New Roman"/>
          <w:u w:color="000000"/>
        </w:rPr>
        <w:t>partial η²) enough to warrant exclusion.</w:t>
      </w:r>
    </w:p>
    <w:p w14:paraId="65850FD7" w14:textId="77777777" w:rsidR="00BB183A" w:rsidRDefault="00BB183A">
      <w:pPr>
        <w:pStyle w:val="Body"/>
        <w:spacing w:line="336" w:lineRule="auto"/>
        <w:rPr>
          <w:rFonts w:ascii="Times New Roman" w:eastAsia="Times New Roman" w:hAnsi="Times New Roman" w:cs="Times New Roman"/>
          <w:u w:color="000000"/>
        </w:rPr>
      </w:pPr>
    </w:p>
    <w:p w14:paraId="65850FD8" w14:textId="77777777" w:rsidR="00BB183A" w:rsidRDefault="007B2841">
      <w:pPr>
        <w:pStyle w:val="Body"/>
        <w:spacing w:after="160" w:line="336" w:lineRule="auto"/>
        <w:outlineLvl w:val="1"/>
        <w:rPr>
          <w:rFonts w:ascii="Times New Roman" w:eastAsia="Times New Roman" w:hAnsi="Times New Roman" w:cs="Times New Roman"/>
          <w:b/>
          <w:bCs/>
          <w:i/>
          <w:iCs/>
          <w:kern w:val="2"/>
          <w:u w:color="000000"/>
        </w:rPr>
      </w:pPr>
      <w:r>
        <w:rPr>
          <w:rFonts w:ascii="Times New Roman" w:hAnsi="Times New Roman"/>
          <w:b/>
          <w:bCs/>
          <w:i/>
          <w:iCs/>
          <w:kern w:val="2"/>
          <w:u w:color="000000"/>
        </w:rPr>
        <w:t>Covariate balance and metadata correlations</w:t>
      </w:r>
    </w:p>
    <w:p w14:paraId="65850FD9" w14:textId="56AD767D" w:rsidR="00BB183A" w:rsidRDefault="007B2841">
      <w:pPr>
        <w:pStyle w:val="Body"/>
        <w:spacing w:line="336" w:lineRule="auto"/>
        <w:rPr>
          <w:rFonts w:ascii="Times New Roman" w:eastAsia="Times New Roman" w:hAnsi="Times New Roman" w:cs="Times New Roman"/>
          <w:u w:color="000000"/>
        </w:rPr>
      </w:pPr>
      <w:r>
        <w:rPr>
          <w:rFonts w:ascii="Times New Roman" w:hAnsi="Times New Roman"/>
          <w:u w:color="000000"/>
        </w:rPr>
        <w:t>We checked group comparability with Wilcoxon rank-sum tests for age and χ² tests for sex; no imbalance was detected (all BH-adjusted p ≥ 0.59). We calculated Spearman correlations between NPX, age, ANO, NSS5, NSS17, and ASIS for every protein, controlling the false-discovery rate at 0.10 (</w:t>
      </w:r>
      <w:r w:rsidR="00C34254">
        <w:rPr>
          <w:rFonts w:ascii="Times New Roman" w:hAnsi="Times New Roman"/>
          <w:u w:color="000000"/>
        </w:rPr>
        <w:t>Additional</w:t>
      </w:r>
      <w:r>
        <w:rPr>
          <w:rFonts w:ascii="Times New Roman" w:hAnsi="Times New Roman"/>
          <w:u w:color="000000"/>
        </w:rPr>
        <w:t xml:space="preserve"> Figure S1; </w:t>
      </w:r>
      <w:r w:rsidR="00C34254">
        <w:rPr>
          <w:rFonts w:ascii="Times New Roman" w:hAnsi="Times New Roman"/>
          <w:u w:color="000000"/>
        </w:rPr>
        <w:t>Additional</w:t>
      </w:r>
      <w:r>
        <w:rPr>
          <w:rFonts w:ascii="Times New Roman" w:hAnsi="Times New Roman"/>
          <w:u w:color="000000"/>
        </w:rPr>
        <w:t xml:space="preserve"> Table S7). Age NPX correlations testing used the full dataset containing all NPC1 and control samples (</w:t>
      </w:r>
      <m:oMath>
        <m:sSub>
          <m:sSubPr>
            <m:ctrlPr>
              <w:rPr>
                <w:rFonts w:ascii="Cambria Math" w:hAnsi="Cambria Math"/>
              </w:rPr>
            </m:ctrlPr>
          </m:sSubPr>
          <m:e>
            <m:r>
              <w:rPr>
                <w:rFonts w:ascii="Cambria Math" w:hAnsi="Cambria Math"/>
              </w:rPr>
              <m:t>n</m:t>
            </m:r>
          </m:e>
          <m:sub>
            <m:r>
              <w:rPr>
                <w:rFonts w:ascii="Cambria Math" w:hAnsi="Cambria Math"/>
              </w:rPr>
              <m:t>NPC1</m:t>
            </m:r>
          </m:sub>
        </m:sSub>
      </m:oMath>
      <w:r>
        <w:rPr>
          <w:rFonts w:ascii="Times New Roman" w:hAnsi="Times New Roman"/>
          <w:u w:color="000000"/>
        </w:rPr>
        <w:t xml:space="preserve"> = 67 &amp;  </w:t>
      </w:r>
      <m:oMath>
        <m:sSub>
          <m:sSubPr>
            <m:ctrlPr>
              <w:rPr>
                <w:rFonts w:ascii="Cambria Math" w:hAnsi="Cambria Math"/>
              </w:rPr>
            </m:ctrlPr>
          </m:sSubPr>
          <m:e>
            <m:r>
              <w:rPr>
                <w:rFonts w:ascii="Cambria Math" w:hAnsi="Cambria Math"/>
              </w:rPr>
              <m:t>n</m:t>
            </m:r>
          </m:e>
          <m:sub>
            <m:r>
              <w:rPr>
                <w:rFonts w:ascii="Cambria Math" w:hAnsi="Cambria Math"/>
              </w:rPr>
              <m:t>control</m:t>
            </m:r>
          </m:sub>
        </m:sSub>
      </m:oMath>
      <w:r>
        <w:rPr>
          <w:rFonts w:ascii="Times New Roman" w:hAnsi="Times New Roman"/>
          <w:u w:color="000000"/>
        </w:rPr>
        <w:t xml:space="preserve"> = 20). Clinical variable NPX correlations testing used the NPC1 samples only, since these clinical variables are only recorded for NPC1 patients (</w:t>
      </w:r>
      <m:oMath>
        <m:sSub>
          <m:sSubPr>
            <m:ctrlPr>
              <w:rPr>
                <w:rFonts w:ascii="Cambria Math" w:hAnsi="Cambria Math"/>
              </w:rPr>
            </m:ctrlPr>
          </m:sSubPr>
          <m:e>
            <m:r>
              <w:rPr>
                <w:rFonts w:ascii="Cambria Math" w:hAnsi="Cambria Math"/>
              </w:rPr>
              <m:t>n</m:t>
            </m:r>
          </m:e>
          <m:sub>
            <m:r>
              <w:rPr>
                <w:rFonts w:ascii="Cambria Math" w:hAnsi="Cambria Math"/>
              </w:rPr>
              <m:t>NPC1</m:t>
            </m:r>
          </m:sub>
        </m:sSub>
      </m:oMath>
      <w:r>
        <w:rPr>
          <w:rFonts w:ascii="Times New Roman" w:hAnsi="Times New Roman"/>
          <w:u w:color="000000"/>
        </w:rPr>
        <w:t xml:space="preserve"> = 67).</w:t>
      </w:r>
    </w:p>
    <w:p w14:paraId="65850FDA" w14:textId="77777777" w:rsidR="00BB183A" w:rsidRDefault="00BB183A">
      <w:pPr>
        <w:pStyle w:val="Body"/>
        <w:spacing w:line="336" w:lineRule="auto"/>
        <w:rPr>
          <w:rFonts w:ascii="Times New Roman" w:eastAsia="Times New Roman" w:hAnsi="Times New Roman" w:cs="Times New Roman"/>
          <w:u w:color="000000"/>
        </w:rPr>
      </w:pPr>
    </w:p>
    <w:p w14:paraId="65850FDB" w14:textId="77777777" w:rsidR="00BB183A" w:rsidRDefault="007B2841">
      <w:pPr>
        <w:pStyle w:val="Body"/>
        <w:spacing w:line="336" w:lineRule="auto"/>
        <w:rPr>
          <w:rFonts w:ascii="Times New Roman" w:eastAsia="Times New Roman" w:hAnsi="Times New Roman" w:cs="Times New Roman"/>
          <w:u w:color="000000"/>
        </w:rPr>
      </w:pPr>
      <w:r>
        <w:rPr>
          <w:rFonts w:ascii="Times New Roman" w:hAnsi="Times New Roman"/>
          <w:u w:color="000000"/>
        </w:rPr>
        <w:t>Leave-one-out sensitivity analysis and correlation screening showed that age is a major driver: it correlated significantly with 1,173 proteins (FDR &lt; 0.10) and strongly impacted partial η² in our sensitivity analysis. Sex showed lesser partial η² influence, but because sex distributions compared across contrast arms were not perfectly balanced and we have sex linked proteins in our data, we included sex in our models.</w:t>
      </w:r>
    </w:p>
    <w:p w14:paraId="65850FDC" w14:textId="77777777" w:rsidR="00BB183A" w:rsidRDefault="00BB183A">
      <w:pPr>
        <w:pStyle w:val="Body"/>
        <w:spacing w:line="336" w:lineRule="auto"/>
        <w:rPr>
          <w:rFonts w:ascii="Times New Roman" w:eastAsia="Times New Roman" w:hAnsi="Times New Roman" w:cs="Times New Roman"/>
          <w:u w:color="000000"/>
        </w:rPr>
      </w:pPr>
    </w:p>
    <w:p w14:paraId="65850FDD" w14:textId="77777777" w:rsidR="00BB183A" w:rsidRDefault="007B2841">
      <w:pPr>
        <w:pStyle w:val="Body"/>
        <w:spacing w:line="336" w:lineRule="auto"/>
        <w:rPr>
          <w:rFonts w:ascii="Times New Roman" w:eastAsia="Times New Roman" w:hAnsi="Times New Roman" w:cs="Times New Roman"/>
          <w:kern w:val="2"/>
          <w:u w:color="000000"/>
        </w:rPr>
      </w:pPr>
      <w:r>
        <w:rPr>
          <w:rFonts w:ascii="Times New Roman" w:hAnsi="Times New Roman"/>
          <w:u w:color="000000"/>
        </w:rPr>
        <w:t>Disease severity metrics ANO, NSS5, and NSS17 showed substantial NPX correlations. To avoid over-parameterization in our miglustat effect contrasts, we chose the more granular NSS17 rather than including both NSS17 and the coarser NSS5 to allow due variance to be attributed to severity differences while detecting treatment effects. ASIS, defined as NSS17 divided by age, showed few correlations (1 at FDR &lt; 0.10) and is intrinsically noisy and collinear with NSS17 and age and we therefore omitted ASIS as a covariate in all models.</w:t>
      </w:r>
    </w:p>
    <w:p w14:paraId="65850FDE" w14:textId="77777777" w:rsidR="00BB183A" w:rsidRDefault="00BB183A">
      <w:pPr>
        <w:pStyle w:val="Body"/>
        <w:spacing w:line="336" w:lineRule="auto"/>
        <w:rPr>
          <w:rFonts w:ascii="Times New Roman" w:eastAsia="Times New Roman" w:hAnsi="Times New Roman" w:cs="Times New Roman"/>
        </w:rPr>
      </w:pPr>
    </w:p>
    <w:p w14:paraId="65850FDF" w14:textId="50C60FD9" w:rsidR="00BB183A" w:rsidRDefault="007B2841">
      <w:pPr>
        <w:pStyle w:val="Body"/>
        <w:spacing w:line="336" w:lineRule="auto"/>
        <w:jc w:val="center"/>
        <w:rPr>
          <w:rFonts w:ascii="Times New Roman" w:eastAsia="Times New Roman" w:hAnsi="Times New Roman" w:cs="Times New Roman"/>
          <w:b/>
          <w:bCs/>
        </w:rPr>
      </w:pPr>
      <w:r>
        <w:rPr>
          <w:rFonts w:ascii="Times New Roman" w:hAnsi="Times New Roman"/>
          <w:b/>
          <w:bCs/>
        </w:rPr>
        <w:t xml:space="preserve">Legends </w:t>
      </w:r>
      <w:r w:rsidR="00C34254">
        <w:rPr>
          <w:rFonts w:ascii="Times New Roman" w:hAnsi="Times New Roman"/>
          <w:b/>
          <w:bCs/>
        </w:rPr>
        <w:t>Additional</w:t>
      </w:r>
      <w:r>
        <w:rPr>
          <w:rFonts w:ascii="Times New Roman" w:hAnsi="Times New Roman"/>
          <w:b/>
          <w:bCs/>
        </w:rPr>
        <w:t xml:space="preserve"> Tables and Figures</w:t>
      </w:r>
    </w:p>
    <w:p w14:paraId="65850FE0" w14:textId="77777777" w:rsidR="00BB183A" w:rsidRDefault="00BB183A">
      <w:pPr>
        <w:pStyle w:val="Body"/>
        <w:spacing w:line="336" w:lineRule="auto"/>
        <w:rPr>
          <w:rFonts w:ascii="Times New Roman" w:eastAsia="Times New Roman" w:hAnsi="Times New Roman" w:cs="Times New Roman"/>
        </w:rPr>
      </w:pPr>
    </w:p>
    <w:p w14:paraId="65850FE1" w14:textId="0E2A2E24" w:rsidR="00BB183A" w:rsidRDefault="00C34254">
      <w:pPr>
        <w:pStyle w:val="Body"/>
        <w:spacing w:line="336" w:lineRule="auto"/>
        <w:rPr>
          <w:rFonts w:ascii="Times New Roman" w:eastAsia="Times New Roman" w:hAnsi="Times New Roman" w:cs="Times New Roman"/>
          <w:b/>
          <w:bCs/>
        </w:rPr>
      </w:pPr>
      <w:r>
        <w:rPr>
          <w:rFonts w:ascii="Times New Roman" w:hAnsi="Times New Roman"/>
          <w:b/>
          <w:bCs/>
        </w:rPr>
        <w:t>Additional</w:t>
      </w:r>
      <w:r w:rsidR="007B2841">
        <w:rPr>
          <w:rFonts w:ascii="Times New Roman" w:hAnsi="Times New Roman"/>
          <w:b/>
          <w:bCs/>
        </w:rPr>
        <w:t xml:space="preserve"> Tables </w:t>
      </w:r>
    </w:p>
    <w:p w14:paraId="65850FE2" w14:textId="77777777" w:rsidR="00BB183A" w:rsidRDefault="00BB183A">
      <w:pPr>
        <w:pStyle w:val="Body"/>
        <w:spacing w:line="336" w:lineRule="auto"/>
        <w:rPr>
          <w:rFonts w:ascii="Times New Roman" w:eastAsia="Times New Roman" w:hAnsi="Times New Roman" w:cs="Times New Roman"/>
          <w:b/>
          <w:bCs/>
        </w:rPr>
      </w:pPr>
    </w:p>
    <w:p w14:paraId="65850FE3" w14:textId="3495780E" w:rsidR="00BB183A" w:rsidRDefault="00C34254" w:rsidP="00B72B06">
      <w:pPr>
        <w:pStyle w:val="Body"/>
        <w:spacing w:after="240" w:line="336" w:lineRule="auto"/>
        <w:rPr>
          <w:rFonts w:ascii="Times New Roman" w:eastAsia="Times New Roman" w:hAnsi="Times New Roman" w:cs="Times New Roman"/>
        </w:rPr>
      </w:pPr>
      <w:r>
        <w:rPr>
          <w:rFonts w:ascii="Times New Roman" w:hAnsi="Times New Roman"/>
        </w:rPr>
        <w:t>Additional</w:t>
      </w:r>
      <w:r w:rsidR="007B2841">
        <w:rPr>
          <w:rFonts w:ascii="Times New Roman" w:hAnsi="Times New Roman"/>
        </w:rPr>
        <w:t xml:space="preserve"> Table 1 (ST1): Sample IDs, miglustat status, age, and sex information for the NPC1 individuals and</w:t>
      </w:r>
      <w:r w:rsidR="008829F6">
        <w:rPr>
          <w:rFonts w:ascii="Times New Roman" w:hAnsi="Times New Roman"/>
        </w:rPr>
        <w:t xml:space="preserve"> healthy pediatric</w:t>
      </w:r>
      <w:r w:rsidR="007B2841">
        <w:rPr>
          <w:rFonts w:ascii="Times New Roman" w:hAnsi="Times New Roman"/>
        </w:rPr>
        <w:t xml:space="preserve"> controls used in the PEA screening. Sample IDs </w:t>
      </w:r>
      <w:r w:rsidR="00E37C40">
        <w:rPr>
          <w:rFonts w:ascii="Times New Roman" w:hAnsi="Times New Roman"/>
        </w:rPr>
        <w:t>start</w:t>
      </w:r>
      <w:r w:rsidR="008829F6">
        <w:rPr>
          <w:rFonts w:ascii="Times New Roman" w:hAnsi="Times New Roman"/>
        </w:rPr>
        <w:t xml:space="preserve"> </w:t>
      </w:r>
      <w:r w:rsidR="007B2841">
        <w:rPr>
          <w:rFonts w:ascii="Times New Roman" w:hAnsi="Times New Roman"/>
        </w:rPr>
        <w:t>with ‘</w:t>
      </w:r>
      <w:r w:rsidR="007B2841">
        <w:rPr>
          <w:rFonts w:ascii="Times New Roman" w:hAnsi="Times New Roman"/>
          <w:lang w:val="fr-FR"/>
        </w:rPr>
        <w:t>NPC</w:t>
      </w:r>
      <w:r w:rsidR="007B2841">
        <w:rPr>
          <w:rFonts w:ascii="Times New Roman" w:hAnsi="Times New Roman"/>
        </w:rPr>
        <w:t>’ and ‘C’ for NPC1 individuals and healthy pediatric control samples, respectively.</w:t>
      </w:r>
    </w:p>
    <w:p w14:paraId="65850FE4" w14:textId="4E6CFD96" w:rsidR="00BB183A" w:rsidRDefault="00C34254" w:rsidP="00B72B06">
      <w:pPr>
        <w:pStyle w:val="Body"/>
        <w:spacing w:after="240" w:line="336" w:lineRule="auto"/>
        <w:rPr>
          <w:rFonts w:ascii="Times New Roman" w:eastAsia="Times New Roman" w:hAnsi="Times New Roman" w:cs="Times New Roman"/>
        </w:rPr>
      </w:pPr>
      <w:r>
        <w:rPr>
          <w:rFonts w:ascii="Times New Roman" w:hAnsi="Times New Roman"/>
        </w:rPr>
        <w:t>Additional</w:t>
      </w:r>
      <w:r w:rsidR="007B2841">
        <w:rPr>
          <w:rFonts w:ascii="Times New Roman" w:hAnsi="Times New Roman"/>
        </w:rPr>
        <w:t xml:space="preserve"> Table 2 (ST2): Differentially abundant proteins in NPC1 versus control comparisons. </w:t>
      </w:r>
    </w:p>
    <w:p w14:paraId="65850FE6" w14:textId="066EAD44" w:rsidR="00BB183A" w:rsidRDefault="00C34254" w:rsidP="00B72B06">
      <w:pPr>
        <w:pStyle w:val="Body"/>
        <w:spacing w:after="240" w:line="336" w:lineRule="auto"/>
        <w:rPr>
          <w:rFonts w:ascii="Times New Roman" w:eastAsia="Times New Roman" w:hAnsi="Times New Roman" w:cs="Times New Roman"/>
        </w:rPr>
      </w:pPr>
      <w:r>
        <w:rPr>
          <w:rFonts w:ascii="Times New Roman" w:hAnsi="Times New Roman"/>
        </w:rPr>
        <w:t>Additional</w:t>
      </w:r>
      <w:r w:rsidR="007B2841">
        <w:rPr>
          <w:rFonts w:ascii="Times New Roman" w:hAnsi="Times New Roman"/>
        </w:rPr>
        <w:t xml:space="preserve"> Table </w:t>
      </w:r>
      <w:r w:rsidR="000136EE">
        <w:rPr>
          <w:rFonts w:ascii="Times New Roman" w:hAnsi="Times New Roman"/>
        </w:rPr>
        <w:t>3</w:t>
      </w:r>
      <w:r w:rsidR="007B2841">
        <w:rPr>
          <w:rFonts w:ascii="Times New Roman" w:hAnsi="Times New Roman"/>
        </w:rPr>
        <w:t xml:space="preserve"> (ST</w:t>
      </w:r>
      <w:r w:rsidR="000136EE">
        <w:rPr>
          <w:rFonts w:ascii="Times New Roman" w:hAnsi="Times New Roman"/>
        </w:rPr>
        <w:t>3</w:t>
      </w:r>
      <w:r w:rsidR="007B2841">
        <w:rPr>
          <w:rFonts w:ascii="Times New Roman" w:hAnsi="Times New Roman"/>
        </w:rPr>
        <w:t xml:space="preserve">): Differentially abundant proteins in NPC1 samples receiving miglustat versus NPC1 samples not receiving miglustat. </w:t>
      </w:r>
    </w:p>
    <w:p w14:paraId="65850FE7" w14:textId="2D0F4891" w:rsidR="00BB183A" w:rsidRDefault="00C34254" w:rsidP="00B72B06">
      <w:pPr>
        <w:pStyle w:val="Body"/>
        <w:spacing w:after="240" w:line="336" w:lineRule="auto"/>
        <w:rPr>
          <w:rFonts w:ascii="Times New Roman" w:eastAsia="Times New Roman" w:hAnsi="Times New Roman" w:cs="Times New Roman"/>
        </w:rPr>
      </w:pPr>
      <w:r>
        <w:rPr>
          <w:rFonts w:ascii="Times New Roman" w:hAnsi="Times New Roman"/>
        </w:rPr>
        <w:lastRenderedPageBreak/>
        <w:t>Additional</w:t>
      </w:r>
      <w:r w:rsidR="007B2841">
        <w:rPr>
          <w:rFonts w:ascii="Times New Roman" w:hAnsi="Times New Roman"/>
        </w:rPr>
        <w:t xml:space="preserve"> Table </w:t>
      </w:r>
      <w:r w:rsidR="000136EE">
        <w:rPr>
          <w:rFonts w:ascii="Times New Roman" w:hAnsi="Times New Roman"/>
        </w:rPr>
        <w:t>4</w:t>
      </w:r>
      <w:r w:rsidR="007B2841">
        <w:rPr>
          <w:rFonts w:ascii="Times New Roman" w:hAnsi="Times New Roman"/>
        </w:rPr>
        <w:t xml:space="preserve"> (ST</w:t>
      </w:r>
      <w:r w:rsidR="000136EE">
        <w:rPr>
          <w:rFonts w:ascii="Times New Roman" w:hAnsi="Times New Roman"/>
        </w:rPr>
        <w:t>4</w:t>
      </w:r>
      <w:r w:rsidR="007B2841">
        <w:rPr>
          <w:rFonts w:ascii="Times New Roman" w:hAnsi="Times New Roman"/>
        </w:rPr>
        <w:t xml:space="preserve">): Integration of NPC1 disease and miglustat treatment effects on the serum proteome. </w:t>
      </w:r>
    </w:p>
    <w:p w14:paraId="65850FE8" w14:textId="77999F19" w:rsidR="00BB183A" w:rsidRDefault="00C34254" w:rsidP="00B72B06">
      <w:pPr>
        <w:pStyle w:val="Body"/>
        <w:spacing w:after="240" w:line="336" w:lineRule="auto"/>
        <w:rPr>
          <w:rFonts w:ascii="Times New Roman" w:eastAsia="Times New Roman" w:hAnsi="Times New Roman" w:cs="Times New Roman"/>
        </w:rPr>
      </w:pPr>
      <w:r>
        <w:rPr>
          <w:rFonts w:ascii="Times New Roman" w:hAnsi="Times New Roman"/>
        </w:rPr>
        <w:t>Additional</w:t>
      </w:r>
      <w:r w:rsidR="007B2841">
        <w:rPr>
          <w:rFonts w:ascii="Times New Roman" w:hAnsi="Times New Roman"/>
        </w:rPr>
        <w:t xml:space="preserve"> Table </w:t>
      </w:r>
      <w:r w:rsidR="000136EE">
        <w:rPr>
          <w:rFonts w:ascii="Times New Roman" w:hAnsi="Times New Roman"/>
        </w:rPr>
        <w:t>5</w:t>
      </w:r>
      <w:r w:rsidR="007B2841">
        <w:rPr>
          <w:rFonts w:ascii="Times New Roman" w:hAnsi="Times New Roman"/>
        </w:rPr>
        <w:t xml:space="preserve"> (ST</w:t>
      </w:r>
      <w:r w:rsidR="000136EE">
        <w:rPr>
          <w:rFonts w:ascii="Times New Roman" w:hAnsi="Times New Roman"/>
        </w:rPr>
        <w:t>5</w:t>
      </w:r>
      <w:r w:rsidR="007B2841">
        <w:rPr>
          <w:rFonts w:ascii="Times New Roman" w:hAnsi="Times New Roman"/>
        </w:rPr>
        <w:t>)</w:t>
      </w:r>
      <w:r w:rsidR="00B91664">
        <w:rPr>
          <w:rFonts w:ascii="Times New Roman" w:hAnsi="Times New Roman"/>
        </w:rPr>
        <w:t>: Spearman</w:t>
      </w:r>
      <w:r w:rsidR="007B2841">
        <w:rPr>
          <w:rFonts w:ascii="Times New Roman" w:hAnsi="Times New Roman"/>
        </w:rPr>
        <w:t xml:space="preserve"> correlation of NPC1 clinical parameters with proximal extension assay NPX values</w:t>
      </w:r>
      <w:r w:rsidR="00E37C40">
        <w:rPr>
          <w:rFonts w:ascii="Times New Roman" w:hAnsi="Times New Roman"/>
        </w:rPr>
        <w:t>.</w:t>
      </w:r>
    </w:p>
    <w:p w14:paraId="65C5DDF3" w14:textId="6065523B" w:rsidR="00A828B9" w:rsidRDefault="00C34254" w:rsidP="00B72B06">
      <w:pPr>
        <w:pStyle w:val="Body"/>
        <w:spacing w:after="240" w:line="336" w:lineRule="auto"/>
        <w:rPr>
          <w:rFonts w:ascii="Times New Roman" w:hAnsi="Times New Roman"/>
          <w:kern w:val="2"/>
          <w:u w:color="000000"/>
        </w:rPr>
      </w:pPr>
      <w:r>
        <w:rPr>
          <w:rFonts w:ascii="Times New Roman" w:hAnsi="Times New Roman"/>
        </w:rPr>
        <w:t>Additional</w:t>
      </w:r>
      <w:r w:rsidR="007B2841">
        <w:rPr>
          <w:rFonts w:ascii="Times New Roman" w:hAnsi="Times New Roman"/>
        </w:rPr>
        <w:t xml:space="preserve"> Table </w:t>
      </w:r>
      <w:r w:rsidR="000136EE">
        <w:rPr>
          <w:rFonts w:ascii="Times New Roman" w:hAnsi="Times New Roman"/>
        </w:rPr>
        <w:t>6</w:t>
      </w:r>
      <w:r w:rsidR="007B2841">
        <w:rPr>
          <w:rFonts w:ascii="Times New Roman" w:hAnsi="Times New Roman"/>
        </w:rPr>
        <w:t xml:space="preserve"> (ST</w:t>
      </w:r>
      <w:r w:rsidR="000136EE">
        <w:rPr>
          <w:rFonts w:ascii="Times New Roman" w:hAnsi="Times New Roman"/>
        </w:rPr>
        <w:t>6</w:t>
      </w:r>
      <w:r w:rsidR="007B2841">
        <w:rPr>
          <w:rFonts w:ascii="Times New Roman" w:hAnsi="Times New Roman"/>
        </w:rPr>
        <w:t>)</w:t>
      </w:r>
      <w:r w:rsidR="00B91664">
        <w:rPr>
          <w:rFonts w:ascii="Times New Roman" w:hAnsi="Times New Roman"/>
        </w:rPr>
        <w:t xml:space="preserve">: </w:t>
      </w:r>
      <w:r w:rsidR="00B91664">
        <w:rPr>
          <w:rFonts w:ascii="Times New Roman" w:hAnsi="Times New Roman"/>
          <w:kern w:val="2"/>
          <w:u w:color="000000"/>
        </w:rPr>
        <w:t>List</w:t>
      </w:r>
      <w:r w:rsidR="00A828B9">
        <w:rPr>
          <w:rFonts w:ascii="Times New Roman" w:hAnsi="Times New Roman"/>
          <w:kern w:val="2"/>
          <w:u w:color="000000"/>
        </w:rPr>
        <w:t xml:space="preserve"> of </w:t>
      </w:r>
      <w:r w:rsidR="00BA1524">
        <w:rPr>
          <w:rFonts w:ascii="Times New Roman" w:hAnsi="Times New Roman"/>
          <w:kern w:val="2"/>
          <w:u w:color="000000"/>
        </w:rPr>
        <w:t>o</w:t>
      </w:r>
      <w:r w:rsidR="00A828B9" w:rsidRPr="00A814BD">
        <w:rPr>
          <w:rFonts w:ascii="Times New Roman" w:hAnsi="Times New Roman"/>
          <w:kern w:val="2"/>
          <w:u w:color="000000"/>
        </w:rPr>
        <w:t xml:space="preserve">verlapping </w:t>
      </w:r>
      <w:r w:rsidR="00E37C40">
        <w:rPr>
          <w:rFonts w:ascii="Times New Roman" w:hAnsi="Times New Roman"/>
          <w:kern w:val="2"/>
          <w:u w:color="000000"/>
        </w:rPr>
        <w:t>proteins</w:t>
      </w:r>
      <w:r w:rsidR="00A828B9" w:rsidRPr="00A814BD">
        <w:rPr>
          <w:rFonts w:ascii="Times New Roman" w:hAnsi="Times New Roman"/>
          <w:kern w:val="2"/>
          <w:u w:color="000000"/>
        </w:rPr>
        <w:t xml:space="preserve"> between NSS17 and NSS5</w:t>
      </w:r>
      <w:r w:rsidR="00BA1524">
        <w:rPr>
          <w:rFonts w:ascii="Times New Roman" w:hAnsi="Times New Roman"/>
          <w:kern w:val="2"/>
          <w:u w:color="000000"/>
        </w:rPr>
        <w:t>;</w:t>
      </w:r>
      <w:r w:rsidR="00A828B9" w:rsidRPr="00A814BD">
        <w:rPr>
          <w:rFonts w:ascii="Times New Roman" w:hAnsi="Times New Roman"/>
          <w:kern w:val="2"/>
          <w:u w:color="000000"/>
        </w:rPr>
        <w:t xml:space="preserve"> </w:t>
      </w:r>
      <w:r w:rsidR="005E4196" w:rsidRPr="005E4196">
        <w:rPr>
          <w:rFonts w:ascii="Times New Roman" w:hAnsi="Times New Roman"/>
          <w:kern w:val="2"/>
          <w:u w:color="000000"/>
        </w:rPr>
        <w:t>28 proteins positively correlated with both NSS17 and NSS5</w:t>
      </w:r>
      <w:r w:rsidR="00E37C40">
        <w:rPr>
          <w:rFonts w:ascii="Times New Roman" w:hAnsi="Times New Roman"/>
          <w:kern w:val="2"/>
          <w:u w:color="000000"/>
        </w:rPr>
        <w:t>,</w:t>
      </w:r>
      <w:r w:rsidR="005E4196">
        <w:rPr>
          <w:rFonts w:ascii="Times New Roman" w:hAnsi="Times New Roman"/>
          <w:kern w:val="2"/>
          <w:u w:color="000000"/>
        </w:rPr>
        <w:t xml:space="preserve"> and </w:t>
      </w:r>
      <w:r w:rsidR="005E4196" w:rsidRPr="005E4196">
        <w:rPr>
          <w:rFonts w:ascii="Times New Roman" w:hAnsi="Times New Roman"/>
          <w:kern w:val="2"/>
          <w:u w:color="000000"/>
        </w:rPr>
        <w:t xml:space="preserve">336 proteins </w:t>
      </w:r>
      <w:r w:rsidR="005E4196">
        <w:rPr>
          <w:rFonts w:ascii="Times New Roman" w:hAnsi="Times New Roman"/>
          <w:kern w:val="2"/>
          <w:u w:color="000000"/>
        </w:rPr>
        <w:t>n</w:t>
      </w:r>
      <w:r w:rsidR="005E4196" w:rsidRPr="005E4196">
        <w:rPr>
          <w:rFonts w:ascii="Times New Roman" w:hAnsi="Times New Roman"/>
          <w:kern w:val="2"/>
          <w:u w:color="000000"/>
        </w:rPr>
        <w:t xml:space="preserve">egatively </w:t>
      </w:r>
      <w:r w:rsidR="00B91664" w:rsidRPr="005E4196">
        <w:rPr>
          <w:rFonts w:ascii="Times New Roman" w:hAnsi="Times New Roman"/>
          <w:kern w:val="2"/>
          <w:u w:color="000000"/>
        </w:rPr>
        <w:t>correlated with</w:t>
      </w:r>
      <w:r w:rsidR="005E4196" w:rsidRPr="005E4196">
        <w:rPr>
          <w:rFonts w:ascii="Times New Roman" w:hAnsi="Times New Roman"/>
          <w:kern w:val="2"/>
          <w:u w:color="000000"/>
        </w:rPr>
        <w:t xml:space="preserve"> both NSS17 and NSS5</w:t>
      </w:r>
      <w:r w:rsidR="00E37C40">
        <w:rPr>
          <w:rFonts w:ascii="Times New Roman" w:hAnsi="Times New Roman"/>
          <w:kern w:val="2"/>
          <w:u w:color="000000"/>
        </w:rPr>
        <w:t>.</w:t>
      </w:r>
    </w:p>
    <w:p w14:paraId="65850FE9" w14:textId="5974EEA3" w:rsidR="00BB183A" w:rsidRDefault="00C34254" w:rsidP="00B72B06">
      <w:pPr>
        <w:pStyle w:val="Body"/>
        <w:spacing w:after="240" w:line="336" w:lineRule="auto"/>
        <w:rPr>
          <w:rFonts w:ascii="Times New Roman" w:eastAsia="Times New Roman" w:hAnsi="Times New Roman" w:cs="Times New Roman"/>
        </w:rPr>
      </w:pPr>
      <w:r>
        <w:rPr>
          <w:rFonts w:ascii="Times New Roman" w:hAnsi="Times New Roman"/>
        </w:rPr>
        <w:t>Additional</w:t>
      </w:r>
      <w:r w:rsidR="00923317">
        <w:rPr>
          <w:rFonts w:ascii="Times New Roman" w:hAnsi="Times New Roman"/>
        </w:rPr>
        <w:t xml:space="preserve"> Table </w:t>
      </w:r>
      <w:r w:rsidR="000136EE">
        <w:rPr>
          <w:rFonts w:ascii="Times New Roman" w:hAnsi="Times New Roman"/>
        </w:rPr>
        <w:t>7</w:t>
      </w:r>
      <w:r w:rsidR="00923317">
        <w:rPr>
          <w:rFonts w:ascii="Times New Roman" w:hAnsi="Times New Roman"/>
        </w:rPr>
        <w:t xml:space="preserve"> (ST</w:t>
      </w:r>
      <w:r w:rsidR="000136EE">
        <w:rPr>
          <w:rFonts w:ascii="Times New Roman" w:hAnsi="Times New Roman"/>
        </w:rPr>
        <w:t>7</w:t>
      </w:r>
      <w:r w:rsidR="00923317">
        <w:rPr>
          <w:rFonts w:ascii="Times New Roman" w:hAnsi="Times New Roman"/>
        </w:rPr>
        <w:t xml:space="preserve">): </w:t>
      </w:r>
      <w:r w:rsidR="007B2841">
        <w:rPr>
          <w:rFonts w:ascii="Times New Roman" w:hAnsi="Times New Roman"/>
        </w:rPr>
        <w:t>Correlation of NPX values with the age of neurological onset with statistical models</w:t>
      </w:r>
      <w:r w:rsidR="00E37C40">
        <w:rPr>
          <w:rFonts w:ascii="Times New Roman" w:hAnsi="Times New Roman"/>
        </w:rPr>
        <w:t>.</w:t>
      </w:r>
    </w:p>
    <w:p w14:paraId="65850FEA" w14:textId="25E74E62" w:rsidR="00BB183A" w:rsidRDefault="00C34254" w:rsidP="00B72B06">
      <w:pPr>
        <w:pStyle w:val="Body"/>
        <w:spacing w:after="240" w:line="336" w:lineRule="auto"/>
        <w:rPr>
          <w:rFonts w:ascii="Times New Roman" w:eastAsia="Times New Roman" w:hAnsi="Times New Roman" w:cs="Times New Roman"/>
        </w:rPr>
      </w:pPr>
      <w:r>
        <w:rPr>
          <w:rFonts w:ascii="Times New Roman" w:hAnsi="Times New Roman"/>
        </w:rPr>
        <w:t>Additional</w:t>
      </w:r>
      <w:r w:rsidR="007B2841">
        <w:rPr>
          <w:rFonts w:ascii="Times New Roman" w:hAnsi="Times New Roman"/>
        </w:rPr>
        <w:t xml:space="preserve"> Table 8 (ST</w:t>
      </w:r>
      <w:r w:rsidR="000136EE">
        <w:rPr>
          <w:rFonts w:ascii="Times New Roman" w:hAnsi="Times New Roman"/>
        </w:rPr>
        <w:t>8</w:t>
      </w:r>
      <w:r w:rsidR="007B2841">
        <w:rPr>
          <w:rFonts w:ascii="Times New Roman" w:hAnsi="Times New Roman"/>
        </w:rPr>
        <w:t>): Correlation of NPX values with the 17-domain NPC NSS with statistical models</w:t>
      </w:r>
      <w:r w:rsidR="00E37C40">
        <w:rPr>
          <w:rFonts w:ascii="Times New Roman" w:hAnsi="Times New Roman"/>
        </w:rPr>
        <w:t>.</w:t>
      </w:r>
    </w:p>
    <w:p w14:paraId="65850FEB" w14:textId="43564758" w:rsidR="00BB183A" w:rsidRDefault="00C34254" w:rsidP="00B72B06">
      <w:pPr>
        <w:pStyle w:val="Body"/>
        <w:spacing w:after="240" w:line="336" w:lineRule="auto"/>
        <w:rPr>
          <w:rFonts w:ascii="Times New Roman" w:eastAsia="Times New Roman" w:hAnsi="Times New Roman" w:cs="Times New Roman"/>
        </w:rPr>
      </w:pPr>
      <w:r>
        <w:rPr>
          <w:rFonts w:ascii="Times New Roman" w:hAnsi="Times New Roman"/>
        </w:rPr>
        <w:t>Additional</w:t>
      </w:r>
      <w:r w:rsidR="007B2841">
        <w:rPr>
          <w:rFonts w:ascii="Times New Roman" w:hAnsi="Times New Roman"/>
        </w:rPr>
        <w:t xml:space="preserve"> Table </w:t>
      </w:r>
      <w:r w:rsidR="000136EE">
        <w:rPr>
          <w:rFonts w:ascii="Times New Roman" w:hAnsi="Times New Roman"/>
        </w:rPr>
        <w:t>9</w:t>
      </w:r>
      <w:r w:rsidR="007B2841">
        <w:rPr>
          <w:rFonts w:ascii="Times New Roman" w:hAnsi="Times New Roman"/>
        </w:rPr>
        <w:t xml:space="preserve"> (ST</w:t>
      </w:r>
      <w:r w:rsidR="000136EE">
        <w:rPr>
          <w:rFonts w:ascii="Times New Roman" w:hAnsi="Times New Roman"/>
        </w:rPr>
        <w:t>9</w:t>
      </w:r>
      <w:r w:rsidR="007B2841">
        <w:rPr>
          <w:rFonts w:ascii="Times New Roman" w:hAnsi="Times New Roman"/>
        </w:rPr>
        <w:t xml:space="preserve">): Annotations of differentially </w:t>
      </w:r>
      <w:r w:rsidR="00B91664">
        <w:rPr>
          <w:rFonts w:ascii="Times New Roman" w:hAnsi="Times New Roman"/>
        </w:rPr>
        <w:t>abundant proteins</w:t>
      </w:r>
      <w:r w:rsidR="007B2841">
        <w:rPr>
          <w:rFonts w:ascii="Times New Roman" w:hAnsi="Times New Roman"/>
        </w:rPr>
        <w:t xml:space="preserve"> in NPC1 with the </w:t>
      </w:r>
      <w:r w:rsidR="00E37C40">
        <w:rPr>
          <w:rFonts w:ascii="Times New Roman" w:hAnsi="Times New Roman"/>
        </w:rPr>
        <w:t>Human Protein Atlas</w:t>
      </w:r>
      <w:r w:rsidR="007B2841">
        <w:rPr>
          <w:rFonts w:ascii="Times New Roman" w:hAnsi="Times New Roman"/>
        </w:rPr>
        <w:t>.</w:t>
      </w:r>
    </w:p>
    <w:p w14:paraId="65850FEC" w14:textId="5B1A1B21" w:rsidR="00BB183A" w:rsidRDefault="00C34254" w:rsidP="00B72B06">
      <w:pPr>
        <w:pStyle w:val="Body"/>
        <w:spacing w:after="240" w:line="336" w:lineRule="auto"/>
        <w:rPr>
          <w:rFonts w:ascii="Times New Roman" w:hAnsi="Times New Roman"/>
        </w:rPr>
      </w:pPr>
      <w:r>
        <w:rPr>
          <w:rFonts w:ascii="Times New Roman" w:hAnsi="Times New Roman"/>
        </w:rPr>
        <w:t>Additional</w:t>
      </w:r>
      <w:r w:rsidR="00923317">
        <w:rPr>
          <w:rFonts w:ascii="Times New Roman" w:hAnsi="Times New Roman"/>
        </w:rPr>
        <w:t xml:space="preserve"> Table 1</w:t>
      </w:r>
      <w:r w:rsidR="000136EE">
        <w:rPr>
          <w:rFonts w:ascii="Times New Roman" w:hAnsi="Times New Roman"/>
        </w:rPr>
        <w:t>0</w:t>
      </w:r>
      <w:r w:rsidR="00923317">
        <w:rPr>
          <w:rFonts w:ascii="Times New Roman" w:hAnsi="Times New Roman"/>
        </w:rPr>
        <w:t xml:space="preserve"> (ST1</w:t>
      </w:r>
      <w:r w:rsidR="000136EE">
        <w:rPr>
          <w:rFonts w:ascii="Times New Roman" w:hAnsi="Times New Roman"/>
        </w:rPr>
        <w:t>0</w:t>
      </w:r>
      <w:r w:rsidR="00923317">
        <w:rPr>
          <w:rFonts w:ascii="Times New Roman" w:hAnsi="Times New Roman"/>
        </w:rPr>
        <w:t xml:space="preserve">): </w:t>
      </w:r>
      <w:r w:rsidR="00964B73">
        <w:rPr>
          <w:rFonts w:ascii="Times New Roman" w:hAnsi="Times New Roman"/>
        </w:rPr>
        <w:t xml:space="preserve">List of differentially altered proteins in NPC1 with </w:t>
      </w:r>
      <w:r w:rsidR="00E37C40">
        <w:rPr>
          <w:rFonts w:ascii="Times New Roman" w:hAnsi="Times New Roman"/>
        </w:rPr>
        <w:t>brain-specific</w:t>
      </w:r>
      <w:r w:rsidR="00964B73">
        <w:rPr>
          <w:rFonts w:ascii="Times New Roman" w:hAnsi="Times New Roman"/>
        </w:rPr>
        <w:t xml:space="preserve"> expression </w:t>
      </w:r>
      <w:r w:rsidR="00565B2D">
        <w:rPr>
          <w:rFonts w:ascii="Times New Roman" w:hAnsi="Times New Roman"/>
        </w:rPr>
        <w:t>(</w:t>
      </w:r>
      <w:r w:rsidR="00E37C40">
        <w:rPr>
          <w:rFonts w:ascii="Times New Roman" w:hAnsi="Times New Roman"/>
        </w:rPr>
        <w:t>t</w:t>
      </w:r>
      <w:r w:rsidR="00565B2D">
        <w:rPr>
          <w:rFonts w:ascii="Times New Roman" w:hAnsi="Times New Roman"/>
        </w:rPr>
        <w:t>au &gt;0.90)</w:t>
      </w:r>
      <w:r w:rsidR="00E37C40">
        <w:rPr>
          <w:rFonts w:ascii="Times New Roman" w:hAnsi="Times New Roman"/>
        </w:rPr>
        <w:t>.</w:t>
      </w:r>
    </w:p>
    <w:p w14:paraId="7CC33413" w14:textId="77777777" w:rsidR="00565B2D" w:rsidRDefault="00565B2D">
      <w:pPr>
        <w:pStyle w:val="Body"/>
        <w:spacing w:line="336" w:lineRule="auto"/>
        <w:rPr>
          <w:rFonts w:ascii="Times New Roman" w:eastAsia="Times New Roman" w:hAnsi="Times New Roman" w:cs="Times New Roman"/>
        </w:rPr>
      </w:pPr>
    </w:p>
    <w:p w14:paraId="65850FED" w14:textId="085E7B3E" w:rsidR="00BB183A" w:rsidRDefault="00C34254">
      <w:pPr>
        <w:pStyle w:val="Body"/>
        <w:spacing w:line="336" w:lineRule="auto"/>
        <w:rPr>
          <w:rFonts w:ascii="Times New Roman" w:eastAsia="Times New Roman" w:hAnsi="Times New Roman" w:cs="Times New Roman"/>
          <w:b/>
          <w:bCs/>
        </w:rPr>
      </w:pPr>
      <w:r>
        <w:rPr>
          <w:rFonts w:ascii="Times New Roman" w:hAnsi="Times New Roman"/>
          <w:b/>
          <w:bCs/>
        </w:rPr>
        <w:t>Additional</w:t>
      </w:r>
      <w:r w:rsidR="007B2841">
        <w:rPr>
          <w:rFonts w:ascii="Times New Roman" w:hAnsi="Times New Roman"/>
          <w:b/>
          <w:bCs/>
        </w:rPr>
        <w:t xml:space="preserve"> Figures</w:t>
      </w:r>
    </w:p>
    <w:p w14:paraId="65850FEE" w14:textId="77777777" w:rsidR="00BB183A" w:rsidRDefault="00BB183A" w:rsidP="00B72B06">
      <w:pPr>
        <w:pStyle w:val="Body"/>
        <w:spacing w:after="240" w:line="336" w:lineRule="auto"/>
        <w:rPr>
          <w:rFonts w:ascii="Times New Roman" w:eastAsia="Times New Roman" w:hAnsi="Times New Roman" w:cs="Times New Roman"/>
        </w:rPr>
      </w:pPr>
    </w:p>
    <w:p w14:paraId="65850FEF" w14:textId="4CAD76D4" w:rsidR="00BB183A" w:rsidRDefault="00C34254" w:rsidP="00B72B06">
      <w:pPr>
        <w:pStyle w:val="Body"/>
        <w:spacing w:after="240" w:line="336" w:lineRule="auto"/>
        <w:rPr>
          <w:rFonts w:ascii="Times New Roman" w:eastAsia="Times New Roman" w:hAnsi="Times New Roman" w:cs="Times New Roman"/>
        </w:rPr>
      </w:pPr>
      <w:r>
        <w:rPr>
          <w:rFonts w:ascii="Times New Roman" w:hAnsi="Times New Roman"/>
        </w:rPr>
        <w:t>Additional</w:t>
      </w:r>
      <w:r w:rsidR="007B2841">
        <w:rPr>
          <w:rFonts w:ascii="Times New Roman" w:hAnsi="Times New Roman"/>
        </w:rPr>
        <w:t xml:space="preserve"> Figure 1: PCA plot based on NPX values to examine the clustering of samples and identify any potential outliers. Only one NPC1 individual, NPC91b</w:t>
      </w:r>
      <w:r w:rsidR="009205E5">
        <w:rPr>
          <w:rFonts w:ascii="Times New Roman" w:hAnsi="Times New Roman"/>
        </w:rPr>
        <w:t>,</w:t>
      </w:r>
      <w:r w:rsidR="007B2841">
        <w:rPr>
          <w:rFonts w:ascii="Times New Roman" w:hAnsi="Times New Roman"/>
        </w:rPr>
        <w:t xml:space="preserve"> a 29.7-year-old male</w:t>
      </w:r>
      <w:r w:rsidR="009205E5">
        <w:rPr>
          <w:rFonts w:ascii="Times New Roman" w:hAnsi="Times New Roman"/>
        </w:rPr>
        <w:t>,</w:t>
      </w:r>
      <w:r w:rsidR="007B2841">
        <w:rPr>
          <w:rFonts w:ascii="Times New Roman" w:hAnsi="Times New Roman"/>
        </w:rPr>
        <w:t xml:space="preserve"> was an outlier and therefore removed from the downstream analysis.</w:t>
      </w:r>
    </w:p>
    <w:p w14:paraId="65850FF0" w14:textId="68A5298A" w:rsidR="00BB183A" w:rsidRDefault="00C34254" w:rsidP="00B72B06">
      <w:pPr>
        <w:pStyle w:val="Body"/>
        <w:spacing w:after="240" w:line="336" w:lineRule="auto"/>
        <w:rPr>
          <w:rFonts w:ascii="Times New Roman" w:hAnsi="Times New Roman"/>
        </w:rPr>
      </w:pPr>
      <w:r>
        <w:rPr>
          <w:rFonts w:ascii="Times New Roman" w:hAnsi="Times New Roman"/>
        </w:rPr>
        <w:t>Additional</w:t>
      </w:r>
      <w:r w:rsidR="007B2841">
        <w:rPr>
          <w:rFonts w:ascii="Times New Roman" w:hAnsi="Times New Roman"/>
        </w:rPr>
        <w:t xml:space="preserve"> Figure 2 ELISA measurements from NPC1 and control samples (a) GPNMB levels in NPC1 plasma samples</w:t>
      </w:r>
      <w:r w:rsidR="009205E5">
        <w:rPr>
          <w:rFonts w:ascii="Times New Roman" w:hAnsi="Times New Roman"/>
        </w:rPr>
        <w:t>,</w:t>
      </w:r>
      <w:r w:rsidR="007B2841">
        <w:rPr>
          <w:rFonts w:ascii="Times New Roman" w:hAnsi="Times New Roman"/>
        </w:rPr>
        <w:t xml:space="preserve"> (b) DSCAM levels in serum samples, and (c) CEND1 levels in serum samples</w:t>
      </w:r>
      <w:r w:rsidR="00B133C8">
        <w:rPr>
          <w:rFonts w:ascii="Times New Roman" w:hAnsi="Times New Roman"/>
        </w:rPr>
        <w:t>.</w:t>
      </w:r>
    </w:p>
    <w:p w14:paraId="65850FF1" w14:textId="21DD8CCD" w:rsidR="00BB183A" w:rsidRDefault="00C34254" w:rsidP="00B72B06">
      <w:pPr>
        <w:pStyle w:val="Body"/>
        <w:spacing w:after="240" w:line="336" w:lineRule="auto"/>
        <w:rPr>
          <w:rFonts w:ascii="Times New Roman" w:eastAsia="Times New Roman" w:hAnsi="Times New Roman" w:cs="Times New Roman"/>
          <w:kern w:val="2"/>
          <w:u w:color="000000"/>
        </w:rPr>
      </w:pPr>
      <w:r>
        <w:rPr>
          <w:rFonts w:ascii="Times New Roman" w:hAnsi="Times New Roman"/>
          <w:kern w:val="2"/>
          <w:u w:color="000000"/>
        </w:rPr>
        <w:t>Additional</w:t>
      </w:r>
      <w:r w:rsidR="007B2841">
        <w:rPr>
          <w:rFonts w:ascii="Times New Roman" w:hAnsi="Times New Roman"/>
          <w:kern w:val="2"/>
          <w:u w:color="000000"/>
        </w:rPr>
        <w:t xml:space="preserve"> Figure 3: Expression levels of proteins based on miglustat treatment ELISA assays</w:t>
      </w:r>
      <w:r w:rsidR="00543FEB">
        <w:rPr>
          <w:rFonts w:ascii="Times New Roman" w:hAnsi="Times New Roman"/>
          <w:kern w:val="2"/>
          <w:u w:color="000000"/>
        </w:rPr>
        <w:t>: there</w:t>
      </w:r>
      <w:r w:rsidR="007B2841">
        <w:rPr>
          <w:rFonts w:ascii="Times New Roman" w:hAnsi="Times New Roman"/>
          <w:kern w:val="2"/>
          <w:u w:color="000000"/>
        </w:rPr>
        <w:t xml:space="preserve"> were no differences in the expression level of (a) TREM2, (b) HSD17B14, (c) GPNMB, (d) </w:t>
      </w:r>
      <w:r w:rsidR="00B91664">
        <w:rPr>
          <w:rFonts w:ascii="Times New Roman" w:hAnsi="Times New Roman"/>
          <w:kern w:val="2"/>
          <w:u w:color="000000"/>
        </w:rPr>
        <w:t>NPY,</w:t>
      </w:r>
      <w:r w:rsidR="007B2841">
        <w:rPr>
          <w:rFonts w:ascii="Times New Roman" w:hAnsi="Times New Roman"/>
          <w:kern w:val="2"/>
          <w:u w:color="000000"/>
        </w:rPr>
        <w:t xml:space="preserve"> (e) Cathepsin L, (f) CCL18, (g) AgRP, (h) BDNF, (</w:t>
      </w:r>
      <w:proofErr w:type="spellStart"/>
      <w:r w:rsidR="007B2841">
        <w:rPr>
          <w:rFonts w:ascii="Times New Roman" w:hAnsi="Times New Roman"/>
          <w:kern w:val="2"/>
          <w:u w:color="000000"/>
        </w:rPr>
        <w:t>i</w:t>
      </w:r>
      <w:proofErr w:type="spellEnd"/>
      <w:r w:rsidR="007B2841">
        <w:rPr>
          <w:rFonts w:ascii="Times New Roman" w:hAnsi="Times New Roman"/>
          <w:kern w:val="2"/>
          <w:u w:color="000000"/>
        </w:rPr>
        <w:t>) DSCAM, and (j) CEND1.</w:t>
      </w:r>
      <w:r w:rsidR="00E01692">
        <w:rPr>
          <w:rFonts w:ascii="Times New Roman" w:hAnsi="Times New Roman"/>
          <w:kern w:val="2"/>
          <w:u w:color="000000"/>
        </w:rPr>
        <w:t xml:space="preserve"> </w:t>
      </w:r>
      <w:r w:rsidR="00536B09" w:rsidRPr="00536B09">
        <w:rPr>
          <w:rFonts w:ascii="Times New Roman" w:hAnsi="Times New Roman"/>
          <w:kern w:val="2"/>
          <w:u w:color="000000"/>
        </w:rPr>
        <w:t xml:space="preserve">An unpaired two-tailed t-test was used to evaluate the differences </w:t>
      </w:r>
      <w:r w:rsidR="00AD59BE" w:rsidRPr="00536B09">
        <w:rPr>
          <w:rFonts w:ascii="Times New Roman" w:hAnsi="Times New Roman"/>
          <w:kern w:val="2"/>
          <w:u w:color="000000"/>
        </w:rPr>
        <w:t xml:space="preserve">between </w:t>
      </w:r>
      <w:r w:rsidR="009205E5">
        <w:rPr>
          <w:rFonts w:ascii="Times New Roman" w:hAnsi="Times New Roman"/>
          <w:kern w:val="2"/>
          <w:u w:color="000000"/>
        </w:rPr>
        <w:t>miglustat-treated</w:t>
      </w:r>
      <w:r w:rsidR="00AD59BE">
        <w:rPr>
          <w:rFonts w:ascii="Times New Roman" w:hAnsi="Times New Roman"/>
          <w:kern w:val="2"/>
          <w:u w:color="000000"/>
        </w:rPr>
        <w:t xml:space="preserve"> and untreated samples.</w:t>
      </w:r>
    </w:p>
    <w:p w14:paraId="190AF233" w14:textId="0A91DFA3" w:rsidR="00A814BD" w:rsidRDefault="00C34254" w:rsidP="00B72B06">
      <w:pPr>
        <w:pStyle w:val="Body"/>
        <w:spacing w:after="240" w:line="336" w:lineRule="auto"/>
        <w:rPr>
          <w:rFonts w:ascii="Times New Roman" w:hAnsi="Times New Roman"/>
          <w:kern w:val="2"/>
          <w:u w:color="000000"/>
        </w:rPr>
      </w:pPr>
      <w:r>
        <w:rPr>
          <w:rFonts w:ascii="Times New Roman" w:hAnsi="Times New Roman"/>
          <w:kern w:val="2"/>
          <w:u w:color="000000"/>
        </w:rPr>
        <w:t>Additional</w:t>
      </w:r>
      <w:r w:rsidR="00A814BD" w:rsidRPr="00A814BD">
        <w:rPr>
          <w:rFonts w:ascii="Times New Roman" w:hAnsi="Times New Roman"/>
          <w:kern w:val="2"/>
          <w:u w:color="000000"/>
        </w:rPr>
        <w:t xml:space="preserve"> Figure 4: Overlapping protein correlations between NSS17 and NSS5 (a) Overlap between positively correlated proteins, and (b) Overlap between negatively correlated proteins</w:t>
      </w:r>
    </w:p>
    <w:p w14:paraId="65850FF3" w14:textId="5B77B8FC" w:rsidR="00BB183A" w:rsidRDefault="00C34254" w:rsidP="00B72B06">
      <w:pPr>
        <w:pStyle w:val="Body"/>
        <w:spacing w:after="240" w:line="336" w:lineRule="auto"/>
        <w:rPr>
          <w:rFonts w:ascii="Times New Roman" w:eastAsia="Times New Roman" w:hAnsi="Times New Roman" w:cs="Times New Roman"/>
          <w:kern w:val="2"/>
          <w:u w:color="000000"/>
        </w:rPr>
      </w:pPr>
      <w:r>
        <w:rPr>
          <w:rFonts w:ascii="Times New Roman" w:hAnsi="Times New Roman"/>
          <w:kern w:val="2"/>
          <w:u w:color="000000"/>
        </w:rPr>
        <w:lastRenderedPageBreak/>
        <w:t>Additional</w:t>
      </w:r>
      <w:r w:rsidR="007B2841">
        <w:rPr>
          <w:rFonts w:ascii="Times New Roman" w:hAnsi="Times New Roman"/>
          <w:kern w:val="2"/>
          <w:u w:color="000000"/>
        </w:rPr>
        <w:t xml:space="preserve"> Figure </w:t>
      </w:r>
      <w:r w:rsidR="006172A6">
        <w:rPr>
          <w:rFonts w:ascii="Times New Roman" w:hAnsi="Times New Roman"/>
          <w:kern w:val="2"/>
          <w:u w:color="000000"/>
        </w:rPr>
        <w:t>5</w:t>
      </w:r>
      <w:r w:rsidR="007B2841">
        <w:rPr>
          <w:rFonts w:ascii="Times New Roman" w:hAnsi="Times New Roman"/>
          <w:kern w:val="2"/>
          <w:u w:color="000000"/>
        </w:rPr>
        <w:t>: Spearman correlation of NPC1 serum TREM 2 levels with NPC1 clinical phenotypes (a) age of neurological onset, &gt;20 years excluded from the analysis. (b) annual severity increment score, (c) 17-domain NPC neurological severity score, and (d</w:t>
      </w:r>
      <w:r w:rsidR="007B2841">
        <w:rPr>
          <w:rFonts w:ascii="Times New Roman" w:hAnsi="Times New Roman"/>
          <w:kern w:val="2"/>
          <w:u w:color="000000"/>
          <w:lang w:val="fr-FR"/>
        </w:rPr>
        <w:t xml:space="preserve">) </w:t>
      </w:r>
      <w:r w:rsidR="009205E5">
        <w:rPr>
          <w:rFonts w:ascii="Times New Roman" w:hAnsi="Times New Roman"/>
          <w:kern w:val="2"/>
          <w:u w:color="000000"/>
          <w:lang w:val="fr-FR"/>
        </w:rPr>
        <w:t>5-domain</w:t>
      </w:r>
      <w:r w:rsidR="007B2841">
        <w:rPr>
          <w:rFonts w:ascii="Times New Roman" w:hAnsi="Times New Roman"/>
          <w:kern w:val="2"/>
          <w:u w:color="000000"/>
          <w:lang w:val="fr-FR"/>
        </w:rPr>
        <w:t xml:space="preserve"> NPC </w:t>
      </w:r>
      <w:proofErr w:type="spellStart"/>
      <w:r w:rsidR="007B2841">
        <w:rPr>
          <w:rFonts w:ascii="Times New Roman" w:hAnsi="Times New Roman"/>
          <w:kern w:val="2"/>
          <w:u w:color="000000"/>
          <w:lang w:val="fr-FR"/>
        </w:rPr>
        <w:t>neurological</w:t>
      </w:r>
      <w:proofErr w:type="spellEnd"/>
      <w:r w:rsidR="007B2841">
        <w:rPr>
          <w:rFonts w:ascii="Times New Roman" w:hAnsi="Times New Roman"/>
          <w:kern w:val="2"/>
          <w:u w:color="000000"/>
          <w:lang w:val="fr-FR"/>
        </w:rPr>
        <w:t xml:space="preserve"> </w:t>
      </w:r>
      <w:r w:rsidR="007B2841">
        <w:rPr>
          <w:rFonts w:ascii="Times New Roman" w:hAnsi="Times New Roman"/>
          <w:kern w:val="2"/>
          <w:u w:color="000000"/>
        </w:rPr>
        <w:t xml:space="preserve">severity score.  </w:t>
      </w:r>
    </w:p>
    <w:p w14:paraId="2F074F0D" w14:textId="7FD17886" w:rsidR="00BF49D3" w:rsidRDefault="00C34254" w:rsidP="00BF49D3">
      <w:pPr>
        <w:pStyle w:val="Default"/>
        <w:tabs>
          <w:tab w:val="left" w:pos="1440"/>
          <w:tab w:val="left" w:pos="2880"/>
          <w:tab w:val="left" w:pos="4320"/>
          <w:tab w:val="left" w:pos="5760"/>
          <w:tab w:val="left" w:pos="7200"/>
          <w:tab w:val="left" w:pos="8640"/>
        </w:tabs>
        <w:suppressAutoHyphens/>
        <w:spacing w:before="0" w:after="240" w:line="336" w:lineRule="auto"/>
        <w:outlineLvl w:val="0"/>
        <w:rPr>
          <w:rFonts w:ascii="Times New Roman" w:eastAsia="Times New Roman" w:hAnsi="Times New Roman" w:cs="Times New Roman"/>
          <w:sz w:val="22"/>
          <w:szCs w:val="22"/>
          <w14:textOutline w14:w="12700" w14:cap="flat" w14:cmpd="sng" w14:algn="ctr">
            <w14:noFill/>
            <w14:prstDash w14:val="solid"/>
            <w14:miter w14:lim="400000"/>
          </w14:textOutline>
        </w:rPr>
      </w:pPr>
      <w:r>
        <w:rPr>
          <w:rFonts w:ascii="Times New Roman" w:hAnsi="Times New Roman"/>
          <w:sz w:val="22"/>
          <w:szCs w:val="22"/>
          <w14:textOutline w14:w="12700" w14:cap="flat" w14:cmpd="sng" w14:algn="ctr">
            <w14:noFill/>
            <w14:prstDash w14:val="solid"/>
            <w14:miter w14:lim="400000"/>
          </w14:textOutline>
        </w:rPr>
        <w:t>Additional</w:t>
      </w:r>
      <w:r w:rsidR="007B2841">
        <w:rPr>
          <w:rFonts w:ascii="Times New Roman" w:hAnsi="Times New Roman"/>
          <w:sz w:val="22"/>
          <w:szCs w:val="22"/>
          <w14:textOutline w14:w="12700" w14:cap="flat" w14:cmpd="sng" w14:algn="ctr">
            <w14:noFill/>
            <w14:prstDash w14:val="solid"/>
            <w14:miter w14:lim="400000"/>
          </w14:textOutline>
        </w:rPr>
        <w:t xml:space="preserve"> Figure </w:t>
      </w:r>
      <w:r w:rsidR="006172A6">
        <w:rPr>
          <w:rFonts w:ascii="Times New Roman" w:hAnsi="Times New Roman"/>
          <w:sz w:val="22"/>
          <w:szCs w:val="22"/>
          <w14:textOutline w14:w="12700" w14:cap="flat" w14:cmpd="sng" w14:algn="ctr">
            <w14:noFill/>
            <w14:prstDash w14:val="solid"/>
            <w14:miter w14:lim="400000"/>
          </w14:textOutline>
        </w:rPr>
        <w:t>6</w:t>
      </w:r>
      <w:r w:rsidR="007B2841">
        <w:rPr>
          <w:rFonts w:ascii="Times New Roman" w:hAnsi="Times New Roman"/>
          <w:sz w:val="22"/>
          <w:szCs w:val="22"/>
          <w14:textOutline w14:w="12700" w14:cap="flat" w14:cmpd="sng" w14:algn="ctr">
            <w14:noFill/>
            <w14:prstDash w14:val="solid"/>
            <w14:miter w14:lim="400000"/>
          </w14:textOutline>
        </w:rPr>
        <w:t>:</w:t>
      </w:r>
      <w:r w:rsidR="00BF49D3">
        <w:rPr>
          <w:rFonts w:ascii="Times New Roman" w:hAnsi="Times New Roman"/>
          <w:sz w:val="22"/>
          <w:szCs w:val="22"/>
          <w14:textOutline w14:w="12700" w14:cap="flat" w14:cmpd="sng" w14:algn="ctr">
            <w14:noFill/>
            <w14:prstDash w14:val="solid"/>
            <w14:miter w14:lim="400000"/>
          </w14:textOutline>
        </w:rPr>
        <w:t xml:space="preserve"> Spearman correlation of NPC1 serum GPNMB levels with NPC1 clinical phenotypes (a) 17-domain NPC neurological severity score, and (b) </w:t>
      </w:r>
      <w:r w:rsidR="009205E5">
        <w:rPr>
          <w:rFonts w:ascii="Times New Roman" w:hAnsi="Times New Roman"/>
          <w:sz w:val="22"/>
          <w:szCs w:val="22"/>
          <w14:textOutline w14:w="12700" w14:cap="flat" w14:cmpd="sng" w14:algn="ctr">
            <w14:noFill/>
            <w14:prstDash w14:val="solid"/>
            <w14:miter w14:lim="400000"/>
          </w14:textOutline>
        </w:rPr>
        <w:t>5-domain</w:t>
      </w:r>
      <w:r w:rsidR="00BF49D3">
        <w:rPr>
          <w:rFonts w:ascii="Times New Roman" w:hAnsi="Times New Roman"/>
          <w:sz w:val="22"/>
          <w:szCs w:val="22"/>
          <w14:textOutline w14:w="12700" w14:cap="flat" w14:cmpd="sng" w14:algn="ctr">
            <w14:noFill/>
            <w14:prstDash w14:val="solid"/>
            <w14:miter w14:lim="400000"/>
          </w14:textOutline>
        </w:rPr>
        <w:t xml:space="preserve"> NPC neurological severity score.  </w:t>
      </w:r>
    </w:p>
    <w:p w14:paraId="6D8C94F9" w14:textId="68626A09" w:rsidR="00BF49D3" w:rsidRDefault="007B2841" w:rsidP="00BF49D3">
      <w:pPr>
        <w:pStyle w:val="Body"/>
        <w:spacing w:after="240" w:line="336" w:lineRule="auto"/>
        <w:rPr>
          <w:rFonts w:ascii="Times New Roman" w:hAnsi="Times New Roman"/>
          <w:kern w:val="2"/>
          <w:u w:color="000000"/>
        </w:rPr>
      </w:pPr>
      <w:r>
        <w:rPr>
          <w:rFonts w:ascii="Times New Roman" w:hAnsi="Times New Roman"/>
          <w14:textOutline w14:w="12700" w14:cap="flat" w14:cmpd="sng" w14:algn="ctr">
            <w14:noFill/>
            <w14:prstDash w14:val="solid"/>
            <w14:miter w14:lim="400000"/>
          </w14:textOutline>
        </w:rPr>
        <w:t xml:space="preserve"> </w:t>
      </w:r>
      <w:r w:rsidR="00C34254">
        <w:rPr>
          <w:rFonts w:ascii="Times New Roman" w:hAnsi="Times New Roman"/>
          <w:kern w:val="2"/>
          <w:u w:color="000000"/>
        </w:rPr>
        <w:t>Additional</w:t>
      </w:r>
      <w:r w:rsidR="00BF49D3">
        <w:rPr>
          <w:rFonts w:ascii="Times New Roman" w:hAnsi="Times New Roman"/>
          <w:kern w:val="2"/>
          <w:u w:color="000000"/>
        </w:rPr>
        <w:t xml:space="preserve"> Figure 7: Expression levels of proteins based on gender: there were no gender-based differences in the expression level of (a) TREM2, (b) HSD17B14, (c) </w:t>
      </w:r>
      <w:r w:rsidR="00BF49D3">
        <w:rPr>
          <w:rFonts w:ascii="Times New Roman" w:hAnsi="Times New Roman"/>
          <w:kern w:val="2"/>
          <w:u w:color="000000"/>
          <w:lang w:val="es-ES_tradnl"/>
        </w:rPr>
        <w:t>NPY, (</w:t>
      </w:r>
      <w:r w:rsidR="00BF49D3">
        <w:rPr>
          <w:rFonts w:ascii="Times New Roman" w:hAnsi="Times New Roman"/>
          <w:kern w:val="2"/>
          <w:u w:color="000000"/>
        </w:rPr>
        <w:t xml:space="preserve">d) Cathepsin L, (e) CCL18, (f) AgRP, and (g) BDNF. </w:t>
      </w:r>
      <w:r w:rsidR="009205E5" w:rsidRPr="009205E5">
        <w:rPr>
          <w:rFonts w:ascii="Times New Roman" w:hAnsi="Times New Roman"/>
          <w:kern w:val="2"/>
          <w:u w:color="000000"/>
        </w:rPr>
        <w:t xml:space="preserve">An unpaired two-tailed t-test was used to evaluate the differences between </w:t>
      </w:r>
      <w:r w:rsidR="009205E5">
        <w:rPr>
          <w:rFonts w:ascii="Times New Roman" w:hAnsi="Times New Roman"/>
          <w:kern w:val="2"/>
          <w:u w:color="000000"/>
        </w:rPr>
        <w:t>males and females.</w:t>
      </w:r>
    </w:p>
    <w:p w14:paraId="0886DFBA" w14:textId="4226F8BE" w:rsidR="007A4DDF" w:rsidRDefault="00C34254" w:rsidP="007A4DDF">
      <w:pPr>
        <w:pStyle w:val="Body"/>
        <w:spacing w:after="240" w:line="336" w:lineRule="auto"/>
        <w:rPr>
          <w:rFonts w:ascii="Times New Roman" w:eastAsia="Times New Roman" w:hAnsi="Times New Roman" w:cs="Times New Roman"/>
          <w:kern w:val="2"/>
          <w:u w:color="000000"/>
        </w:rPr>
      </w:pPr>
      <w:r>
        <w:rPr>
          <w:rFonts w:ascii="Times New Roman" w:hAnsi="Times New Roman"/>
          <w:kern w:val="2"/>
          <w:u w:color="000000"/>
        </w:rPr>
        <w:t>Additional</w:t>
      </w:r>
      <w:r w:rsidR="007A4DDF">
        <w:rPr>
          <w:rFonts w:ascii="Times New Roman" w:hAnsi="Times New Roman"/>
          <w:kern w:val="2"/>
          <w:u w:color="000000"/>
        </w:rPr>
        <w:t xml:space="preserve"> Figure 8: Spearman correlation of NPC1 serum BDNF levels with NPC1 clinical phenotypes (a) annual severity increment score, (b) 17-domain NPC neurological severity score, and (c) </w:t>
      </w:r>
      <w:r w:rsidR="009205E5">
        <w:rPr>
          <w:rFonts w:ascii="Times New Roman" w:hAnsi="Times New Roman"/>
          <w:kern w:val="2"/>
          <w:u w:color="000000"/>
        </w:rPr>
        <w:t>5-domain</w:t>
      </w:r>
      <w:r w:rsidR="007A4DDF">
        <w:rPr>
          <w:rFonts w:ascii="Times New Roman" w:hAnsi="Times New Roman"/>
          <w:kern w:val="2"/>
          <w:u w:color="000000"/>
        </w:rPr>
        <w:t xml:space="preserve"> NPC neurological severity score</w:t>
      </w:r>
      <w:r w:rsidR="00B133C8">
        <w:rPr>
          <w:rFonts w:ascii="Times New Roman" w:hAnsi="Times New Roman"/>
          <w:kern w:val="2"/>
          <w:u w:color="000000"/>
        </w:rPr>
        <w:t>.</w:t>
      </w:r>
    </w:p>
    <w:p w14:paraId="65850FF4" w14:textId="5B1B7A4A" w:rsidR="00BB183A" w:rsidRDefault="00C34254" w:rsidP="00B72B06">
      <w:pPr>
        <w:pStyle w:val="Default"/>
        <w:tabs>
          <w:tab w:val="left" w:pos="1440"/>
          <w:tab w:val="left" w:pos="2880"/>
          <w:tab w:val="left" w:pos="4320"/>
          <w:tab w:val="left" w:pos="5760"/>
          <w:tab w:val="left" w:pos="7200"/>
          <w:tab w:val="left" w:pos="8640"/>
        </w:tabs>
        <w:suppressAutoHyphens/>
        <w:spacing w:before="0" w:after="240" w:line="336" w:lineRule="auto"/>
        <w:outlineLvl w:val="0"/>
        <w:rPr>
          <w:rFonts w:ascii="Times New Roman" w:eastAsia="Times New Roman" w:hAnsi="Times New Roman" w:cs="Times New Roman"/>
          <w:sz w:val="22"/>
          <w:szCs w:val="22"/>
          <w14:textOutline w14:w="12700" w14:cap="flat" w14:cmpd="sng" w14:algn="ctr">
            <w14:noFill/>
            <w14:prstDash w14:val="solid"/>
            <w14:miter w14:lim="400000"/>
          </w14:textOutline>
        </w:rPr>
      </w:pPr>
      <w:r>
        <w:rPr>
          <w:rFonts w:ascii="Times New Roman" w:hAnsi="Times New Roman"/>
          <w:kern w:val="2"/>
          <w:u w:color="000000"/>
        </w:rPr>
        <w:t>Additional</w:t>
      </w:r>
      <w:r w:rsidR="007A4DDF">
        <w:rPr>
          <w:rFonts w:ascii="Times New Roman" w:hAnsi="Times New Roman"/>
          <w:kern w:val="2"/>
          <w:u w:color="000000"/>
        </w:rPr>
        <w:t xml:space="preserve"> Figure 9: </w:t>
      </w:r>
      <w:r w:rsidR="007B2841">
        <w:rPr>
          <w:rFonts w:ascii="Times New Roman" w:hAnsi="Times New Roman"/>
          <w:sz w:val="22"/>
          <w:szCs w:val="22"/>
          <w14:textOutline w14:w="12700" w14:cap="flat" w14:cmpd="sng" w14:algn="ctr">
            <w14:noFill/>
            <w14:prstDash w14:val="solid"/>
            <w14:miter w14:lim="400000"/>
          </w14:textOutline>
        </w:rPr>
        <w:t xml:space="preserve">Spearman correlation of NPC1 serum HSD17B14 levels with NPC1 clinical phenotypes (a) </w:t>
      </w:r>
      <w:r w:rsidR="007A4DDF">
        <w:rPr>
          <w:rFonts w:ascii="Times New Roman" w:hAnsi="Times New Roman"/>
          <w:sz w:val="22"/>
          <w:szCs w:val="22"/>
          <w14:textOutline w14:w="12700" w14:cap="flat" w14:cmpd="sng" w14:algn="ctr">
            <w14:noFill/>
            <w14:prstDash w14:val="solid"/>
            <w14:miter w14:lim="400000"/>
          </w14:textOutline>
        </w:rPr>
        <w:t>age of neurological onset</w:t>
      </w:r>
      <w:r w:rsidR="009205E5">
        <w:rPr>
          <w:rFonts w:ascii="Times New Roman" w:hAnsi="Times New Roman"/>
          <w:sz w:val="22"/>
          <w:szCs w:val="22"/>
          <w14:textOutline w14:w="12700" w14:cap="flat" w14:cmpd="sng" w14:algn="ctr">
            <w14:noFill/>
            <w14:prstDash w14:val="solid"/>
            <w14:miter w14:lim="400000"/>
          </w14:textOutline>
        </w:rPr>
        <w:t>,</w:t>
      </w:r>
      <w:r w:rsidR="007A4DDF">
        <w:rPr>
          <w:rFonts w:ascii="Times New Roman" w:hAnsi="Times New Roman"/>
          <w:sz w:val="22"/>
          <w:szCs w:val="22"/>
          <w14:textOutline w14:w="12700" w14:cap="flat" w14:cmpd="sng" w14:algn="ctr">
            <w14:noFill/>
            <w14:prstDash w14:val="solid"/>
            <w14:miter w14:lim="400000"/>
          </w14:textOutline>
        </w:rPr>
        <w:t xml:space="preserve"> (b) </w:t>
      </w:r>
      <w:r w:rsidR="00EF1657">
        <w:rPr>
          <w:rFonts w:ascii="Times New Roman" w:hAnsi="Times New Roman"/>
          <w:sz w:val="22"/>
          <w:szCs w:val="22"/>
          <w14:textOutline w14:w="12700" w14:cap="flat" w14:cmpd="sng" w14:algn="ctr">
            <w14:noFill/>
            <w14:prstDash w14:val="solid"/>
            <w14:miter w14:lim="400000"/>
          </w14:textOutline>
        </w:rPr>
        <w:t xml:space="preserve">individuals with </w:t>
      </w:r>
      <w:r w:rsidR="007B2841">
        <w:rPr>
          <w:rFonts w:ascii="Times New Roman" w:hAnsi="Times New Roman"/>
          <w:sz w:val="22"/>
          <w:szCs w:val="22"/>
          <w14:textOutline w14:w="12700" w14:cap="flat" w14:cmpd="sng" w14:algn="ctr">
            <w14:noFill/>
            <w14:prstDash w14:val="solid"/>
            <w14:miter w14:lim="400000"/>
          </w14:textOutline>
        </w:rPr>
        <w:t xml:space="preserve">age of neurological onset &gt;20 years </w:t>
      </w:r>
      <w:r w:rsidR="00EF1657">
        <w:rPr>
          <w:rFonts w:ascii="Times New Roman" w:hAnsi="Times New Roman"/>
          <w:sz w:val="22"/>
          <w:szCs w:val="22"/>
          <w14:textOutline w14:w="12700" w14:cap="flat" w14:cmpd="sng" w14:algn="ctr">
            <w14:noFill/>
            <w14:prstDash w14:val="solid"/>
            <w14:miter w14:lim="400000"/>
          </w14:textOutline>
        </w:rPr>
        <w:t xml:space="preserve">were </w:t>
      </w:r>
      <w:r w:rsidR="007B2841">
        <w:rPr>
          <w:rFonts w:ascii="Times New Roman" w:hAnsi="Times New Roman"/>
          <w:sz w:val="22"/>
          <w:szCs w:val="22"/>
          <w14:textOutline w14:w="12700" w14:cap="flat" w14:cmpd="sng" w14:algn="ctr">
            <w14:noFill/>
            <w14:prstDash w14:val="solid"/>
            <w14:miter w14:lim="400000"/>
          </w14:textOutline>
        </w:rPr>
        <w:t>excluded from the analysis</w:t>
      </w:r>
      <w:r w:rsidR="009205E5">
        <w:rPr>
          <w:rFonts w:ascii="Times New Roman" w:hAnsi="Times New Roman"/>
          <w:sz w:val="22"/>
          <w:szCs w:val="22"/>
          <w14:textOutline w14:w="12700" w14:cap="flat" w14:cmpd="sng" w14:algn="ctr">
            <w14:noFill/>
            <w14:prstDash w14:val="solid"/>
            <w14:miter w14:lim="400000"/>
          </w14:textOutline>
        </w:rPr>
        <w:t>,</w:t>
      </w:r>
      <w:r w:rsidR="007B2841">
        <w:rPr>
          <w:rFonts w:ascii="Times New Roman" w:hAnsi="Times New Roman"/>
          <w:sz w:val="22"/>
          <w:szCs w:val="22"/>
          <w14:textOutline w14:w="12700" w14:cap="flat" w14:cmpd="sng" w14:algn="ctr">
            <w14:noFill/>
            <w14:prstDash w14:val="solid"/>
            <w14:miter w14:lim="400000"/>
          </w14:textOutline>
        </w:rPr>
        <w:t xml:space="preserve"> (</w:t>
      </w:r>
      <w:r w:rsidR="007A4DDF">
        <w:rPr>
          <w:rFonts w:ascii="Times New Roman" w:hAnsi="Times New Roman"/>
          <w:sz w:val="22"/>
          <w:szCs w:val="22"/>
          <w14:textOutline w14:w="12700" w14:cap="flat" w14:cmpd="sng" w14:algn="ctr">
            <w14:noFill/>
            <w14:prstDash w14:val="solid"/>
            <w14:miter w14:lim="400000"/>
          </w14:textOutline>
        </w:rPr>
        <w:t>c</w:t>
      </w:r>
      <w:r w:rsidR="007B2841">
        <w:rPr>
          <w:rFonts w:ascii="Times New Roman" w:hAnsi="Times New Roman"/>
          <w:sz w:val="22"/>
          <w:szCs w:val="22"/>
          <w14:textOutline w14:w="12700" w14:cap="flat" w14:cmpd="sng" w14:algn="ctr">
            <w14:noFill/>
            <w14:prstDash w14:val="solid"/>
            <w14:miter w14:lim="400000"/>
          </w14:textOutline>
        </w:rPr>
        <w:t>) annual severity increment score, (</w:t>
      </w:r>
      <w:r w:rsidR="007A4DDF">
        <w:rPr>
          <w:rFonts w:ascii="Times New Roman" w:hAnsi="Times New Roman"/>
          <w:sz w:val="22"/>
          <w:szCs w:val="22"/>
          <w14:textOutline w14:w="12700" w14:cap="flat" w14:cmpd="sng" w14:algn="ctr">
            <w14:noFill/>
            <w14:prstDash w14:val="solid"/>
            <w14:miter w14:lim="400000"/>
          </w14:textOutline>
        </w:rPr>
        <w:t>d</w:t>
      </w:r>
      <w:r w:rsidR="007B2841">
        <w:rPr>
          <w:rFonts w:ascii="Times New Roman" w:hAnsi="Times New Roman"/>
          <w:sz w:val="22"/>
          <w:szCs w:val="22"/>
          <w14:textOutline w14:w="12700" w14:cap="flat" w14:cmpd="sng" w14:algn="ctr">
            <w14:noFill/>
            <w14:prstDash w14:val="solid"/>
            <w14:miter w14:lim="400000"/>
          </w14:textOutline>
        </w:rPr>
        <w:t>) 17-domain NPC neurological severity score, and (</w:t>
      </w:r>
      <w:r w:rsidR="007A4DDF">
        <w:rPr>
          <w:rFonts w:ascii="Times New Roman" w:hAnsi="Times New Roman"/>
          <w:sz w:val="22"/>
          <w:szCs w:val="22"/>
          <w14:textOutline w14:w="12700" w14:cap="flat" w14:cmpd="sng" w14:algn="ctr">
            <w14:noFill/>
            <w14:prstDash w14:val="solid"/>
            <w14:miter w14:lim="400000"/>
          </w14:textOutline>
        </w:rPr>
        <w:t>e</w:t>
      </w:r>
      <w:r w:rsidR="007B2841">
        <w:rPr>
          <w:rFonts w:ascii="Times New Roman" w:hAnsi="Times New Roman"/>
          <w:sz w:val="22"/>
          <w:szCs w:val="22"/>
          <w14:textOutline w14:w="12700" w14:cap="flat" w14:cmpd="sng" w14:algn="ctr">
            <w14:noFill/>
            <w14:prstDash w14:val="solid"/>
            <w14:miter w14:lim="400000"/>
          </w14:textOutline>
        </w:rPr>
        <w:t xml:space="preserve">) </w:t>
      </w:r>
      <w:r w:rsidR="009205E5">
        <w:rPr>
          <w:rFonts w:ascii="Times New Roman" w:hAnsi="Times New Roman"/>
          <w:sz w:val="22"/>
          <w:szCs w:val="22"/>
          <w14:textOutline w14:w="12700" w14:cap="flat" w14:cmpd="sng" w14:algn="ctr">
            <w14:noFill/>
            <w14:prstDash w14:val="solid"/>
            <w14:miter w14:lim="400000"/>
          </w14:textOutline>
        </w:rPr>
        <w:t>5-domain</w:t>
      </w:r>
      <w:r w:rsidR="007B2841">
        <w:rPr>
          <w:rFonts w:ascii="Times New Roman" w:hAnsi="Times New Roman"/>
          <w:sz w:val="22"/>
          <w:szCs w:val="22"/>
          <w14:textOutline w14:w="12700" w14:cap="flat" w14:cmpd="sng" w14:algn="ctr">
            <w14:noFill/>
            <w14:prstDash w14:val="solid"/>
            <w14:miter w14:lim="400000"/>
          </w14:textOutline>
        </w:rPr>
        <w:t xml:space="preserve"> NPC neurological severity score</w:t>
      </w:r>
      <w:r w:rsidR="00B133C8">
        <w:rPr>
          <w:rFonts w:ascii="Times New Roman" w:hAnsi="Times New Roman"/>
          <w:sz w:val="22"/>
          <w:szCs w:val="22"/>
          <w14:textOutline w14:w="12700" w14:cap="flat" w14:cmpd="sng" w14:algn="ctr">
            <w14:noFill/>
            <w14:prstDash w14:val="solid"/>
            <w14:miter w14:lim="400000"/>
          </w14:textOutline>
        </w:rPr>
        <w:t>.</w:t>
      </w:r>
      <w:r w:rsidR="007B2841">
        <w:rPr>
          <w:rFonts w:ascii="Times New Roman" w:hAnsi="Times New Roman"/>
          <w:sz w:val="22"/>
          <w:szCs w:val="22"/>
          <w14:textOutline w14:w="12700" w14:cap="flat" w14:cmpd="sng" w14:algn="ctr">
            <w14:noFill/>
            <w14:prstDash w14:val="solid"/>
            <w14:miter w14:lim="400000"/>
          </w14:textOutline>
        </w:rPr>
        <w:t xml:space="preserve">  </w:t>
      </w:r>
    </w:p>
    <w:p w14:paraId="65850FF8" w14:textId="5A082EE4" w:rsidR="00BB183A" w:rsidRDefault="00C34254" w:rsidP="00B72B06">
      <w:pPr>
        <w:pStyle w:val="Body"/>
        <w:spacing w:after="240" w:line="336" w:lineRule="auto"/>
        <w:rPr>
          <w:rFonts w:ascii="Times New Roman" w:eastAsia="Times New Roman" w:hAnsi="Times New Roman" w:cs="Times New Roman"/>
          <w:kern w:val="2"/>
          <w:u w:color="000000"/>
        </w:rPr>
      </w:pPr>
      <w:r>
        <w:rPr>
          <w:rFonts w:ascii="Times New Roman" w:hAnsi="Times New Roman"/>
          <w:kern w:val="2"/>
          <w:u w:color="000000"/>
        </w:rPr>
        <w:t>Additional</w:t>
      </w:r>
      <w:r w:rsidR="007B2841">
        <w:rPr>
          <w:rFonts w:ascii="Times New Roman" w:hAnsi="Times New Roman"/>
          <w:kern w:val="2"/>
          <w:u w:color="000000"/>
        </w:rPr>
        <w:t xml:space="preserve"> Figure 1</w:t>
      </w:r>
      <w:r w:rsidR="006172A6">
        <w:rPr>
          <w:rFonts w:ascii="Times New Roman" w:hAnsi="Times New Roman"/>
          <w:kern w:val="2"/>
          <w:u w:color="000000"/>
        </w:rPr>
        <w:t>0</w:t>
      </w:r>
      <w:r w:rsidR="007B2841">
        <w:rPr>
          <w:rFonts w:ascii="Times New Roman" w:hAnsi="Times New Roman"/>
          <w:kern w:val="2"/>
          <w:u w:color="000000"/>
        </w:rPr>
        <w:t>: Spearman correlation of NPC1 serum CCL18 levels with NPC1 clinical phenotypes</w:t>
      </w:r>
      <w:r w:rsidR="009205E5">
        <w:rPr>
          <w:rFonts w:ascii="Times New Roman" w:hAnsi="Times New Roman"/>
          <w:kern w:val="2"/>
          <w:u w:color="000000"/>
        </w:rPr>
        <w:t>.</w:t>
      </w:r>
      <w:r w:rsidR="007B2841">
        <w:rPr>
          <w:rFonts w:ascii="Times New Roman" w:hAnsi="Times New Roman"/>
          <w:kern w:val="2"/>
          <w:u w:color="000000"/>
        </w:rPr>
        <w:t xml:space="preserve"> Serum CCL18 levels did not correlate with (a) age of neurological onset, (b) </w:t>
      </w:r>
      <w:r w:rsidR="004A2914">
        <w:rPr>
          <w:rFonts w:ascii="Times New Roman" w:hAnsi="Times New Roman"/>
          <w:kern w:val="2"/>
          <w:u w:color="000000"/>
        </w:rPr>
        <w:t>i</w:t>
      </w:r>
      <w:r w:rsidR="007B2841">
        <w:rPr>
          <w:rFonts w:ascii="Times New Roman" w:hAnsi="Times New Roman"/>
          <w:kern w:val="2"/>
          <w:u w:color="000000"/>
        </w:rPr>
        <w:t xml:space="preserve">ndividuals with age of neurological onset &gt;20 years </w:t>
      </w:r>
      <w:r w:rsidR="00867EF7">
        <w:rPr>
          <w:rFonts w:ascii="Times New Roman" w:hAnsi="Times New Roman"/>
          <w:kern w:val="2"/>
          <w:u w:color="000000"/>
        </w:rPr>
        <w:t xml:space="preserve">were </w:t>
      </w:r>
      <w:r w:rsidR="007B2841">
        <w:rPr>
          <w:rFonts w:ascii="Times New Roman" w:hAnsi="Times New Roman"/>
          <w:kern w:val="2"/>
          <w:u w:color="000000"/>
        </w:rPr>
        <w:t>excluded from the analysis</w:t>
      </w:r>
      <w:r w:rsidR="004A2914">
        <w:rPr>
          <w:rFonts w:ascii="Times New Roman" w:hAnsi="Times New Roman"/>
          <w:kern w:val="2"/>
          <w:u w:color="000000"/>
        </w:rPr>
        <w:t>,</w:t>
      </w:r>
      <w:r w:rsidR="007B2841">
        <w:rPr>
          <w:rFonts w:ascii="Times New Roman" w:hAnsi="Times New Roman"/>
          <w:kern w:val="2"/>
          <w:u w:color="000000"/>
        </w:rPr>
        <w:t xml:space="preserve"> (c) Annual severity increment score, (d) 17-domain NPC neurological severity score, and (e) 5-domain NPC neurological severity score</w:t>
      </w:r>
      <w:r w:rsidR="00B133C8">
        <w:rPr>
          <w:rFonts w:ascii="Times New Roman" w:hAnsi="Times New Roman"/>
          <w:kern w:val="2"/>
          <w:u w:color="000000"/>
        </w:rPr>
        <w:t>.</w:t>
      </w:r>
    </w:p>
    <w:p w14:paraId="65850FF9" w14:textId="066253B0" w:rsidR="00BB183A" w:rsidRDefault="00C34254" w:rsidP="00B72B06">
      <w:pPr>
        <w:pStyle w:val="Body"/>
        <w:spacing w:after="240" w:line="336" w:lineRule="auto"/>
        <w:rPr>
          <w:rFonts w:ascii="Times New Roman" w:eastAsia="Times New Roman" w:hAnsi="Times New Roman" w:cs="Times New Roman"/>
          <w:kern w:val="2"/>
          <w:u w:color="000000"/>
        </w:rPr>
      </w:pPr>
      <w:r>
        <w:rPr>
          <w:rFonts w:ascii="Times New Roman" w:hAnsi="Times New Roman"/>
          <w:kern w:val="2"/>
          <w:u w:color="000000"/>
        </w:rPr>
        <w:t>Additional</w:t>
      </w:r>
      <w:r w:rsidR="007B2841">
        <w:rPr>
          <w:rFonts w:ascii="Times New Roman" w:hAnsi="Times New Roman"/>
          <w:kern w:val="2"/>
          <w:u w:color="000000"/>
        </w:rPr>
        <w:t xml:space="preserve"> Figure 1</w:t>
      </w:r>
      <w:r w:rsidR="006172A6">
        <w:rPr>
          <w:rFonts w:ascii="Times New Roman" w:hAnsi="Times New Roman"/>
          <w:kern w:val="2"/>
          <w:u w:color="000000"/>
        </w:rPr>
        <w:t>1</w:t>
      </w:r>
      <w:r w:rsidR="007B2841">
        <w:rPr>
          <w:rFonts w:ascii="Times New Roman" w:hAnsi="Times New Roman"/>
          <w:kern w:val="2"/>
          <w:u w:color="000000"/>
        </w:rPr>
        <w:t>: Spearman correlation of NPC1 serum AgRP levels with NPC1 clinical phenotypes</w:t>
      </w:r>
      <w:r w:rsidR="00867EF7">
        <w:rPr>
          <w:rFonts w:ascii="Times New Roman" w:hAnsi="Times New Roman"/>
          <w:kern w:val="2"/>
          <w:u w:color="000000"/>
        </w:rPr>
        <w:t>.</w:t>
      </w:r>
      <w:r w:rsidR="007B2841">
        <w:rPr>
          <w:rFonts w:ascii="Times New Roman" w:hAnsi="Times New Roman"/>
          <w:kern w:val="2"/>
          <w:u w:color="000000"/>
        </w:rPr>
        <w:t xml:space="preserve"> Serum AgRP levels did not correlate with (a) age of neurological onset, (b) </w:t>
      </w:r>
      <w:r w:rsidR="004A2914">
        <w:rPr>
          <w:rFonts w:ascii="Times New Roman" w:hAnsi="Times New Roman"/>
          <w:kern w:val="2"/>
          <w:u w:color="000000"/>
        </w:rPr>
        <w:t>i</w:t>
      </w:r>
      <w:r w:rsidR="007B2841">
        <w:rPr>
          <w:rFonts w:ascii="Times New Roman" w:hAnsi="Times New Roman"/>
          <w:kern w:val="2"/>
          <w:u w:color="000000"/>
        </w:rPr>
        <w:t xml:space="preserve">ndividuals with age of neurological onset &gt;20 years </w:t>
      </w:r>
      <w:r w:rsidR="00867EF7">
        <w:rPr>
          <w:rFonts w:ascii="Times New Roman" w:hAnsi="Times New Roman"/>
          <w:kern w:val="2"/>
          <w:u w:color="000000"/>
        </w:rPr>
        <w:t xml:space="preserve">were </w:t>
      </w:r>
      <w:r w:rsidR="007B2841">
        <w:rPr>
          <w:rFonts w:ascii="Times New Roman" w:hAnsi="Times New Roman"/>
          <w:kern w:val="2"/>
          <w:u w:color="000000"/>
        </w:rPr>
        <w:t>excluded from the analysis</w:t>
      </w:r>
      <w:r w:rsidR="004A2914">
        <w:rPr>
          <w:rFonts w:ascii="Times New Roman" w:hAnsi="Times New Roman"/>
          <w:kern w:val="2"/>
          <w:u w:color="000000"/>
        </w:rPr>
        <w:t xml:space="preserve">, </w:t>
      </w:r>
      <w:r w:rsidR="007B2841">
        <w:rPr>
          <w:rFonts w:ascii="Times New Roman" w:hAnsi="Times New Roman"/>
          <w:kern w:val="2"/>
          <w:u w:color="000000"/>
        </w:rPr>
        <w:t xml:space="preserve">(c) Annual severity increment score, (d) 17-domain NPC neurological severity score, and (e) </w:t>
      </w:r>
      <w:r w:rsidR="00867EF7">
        <w:rPr>
          <w:rFonts w:ascii="Times New Roman" w:hAnsi="Times New Roman"/>
          <w:kern w:val="2"/>
          <w:u w:color="000000"/>
        </w:rPr>
        <w:t>5-domain</w:t>
      </w:r>
      <w:r w:rsidR="007B2841">
        <w:rPr>
          <w:rFonts w:ascii="Times New Roman" w:hAnsi="Times New Roman"/>
          <w:kern w:val="2"/>
          <w:u w:color="000000"/>
        </w:rPr>
        <w:t xml:space="preserve"> NPC neurological severity score</w:t>
      </w:r>
      <w:r w:rsidR="00B133C8">
        <w:rPr>
          <w:rFonts w:ascii="Times New Roman" w:hAnsi="Times New Roman"/>
          <w:kern w:val="2"/>
          <w:u w:color="000000"/>
        </w:rPr>
        <w:t>.</w:t>
      </w:r>
    </w:p>
    <w:p w14:paraId="65850FFA" w14:textId="4CC3045E" w:rsidR="00BB183A" w:rsidRDefault="00C34254" w:rsidP="00B72B06">
      <w:pPr>
        <w:pStyle w:val="Body"/>
        <w:spacing w:after="240" w:line="336" w:lineRule="auto"/>
        <w:rPr>
          <w:rFonts w:ascii="Times New Roman" w:eastAsia="Times New Roman" w:hAnsi="Times New Roman" w:cs="Times New Roman"/>
          <w:kern w:val="2"/>
          <w:u w:color="000000"/>
        </w:rPr>
      </w:pPr>
      <w:r>
        <w:rPr>
          <w:rFonts w:ascii="Times New Roman" w:hAnsi="Times New Roman"/>
          <w:kern w:val="2"/>
          <w:u w:color="000000"/>
        </w:rPr>
        <w:t>Additional</w:t>
      </w:r>
      <w:r w:rsidR="007B2841">
        <w:rPr>
          <w:rFonts w:ascii="Times New Roman" w:hAnsi="Times New Roman"/>
          <w:kern w:val="2"/>
          <w:u w:color="000000"/>
        </w:rPr>
        <w:t xml:space="preserve"> Figure 1</w:t>
      </w:r>
      <w:r w:rsidR="006172A6">
        <w:rPr>
          <w:rFonts w:ascii="Times New Roman" w:hAnsi="Times New Roman"/>
          <w:kern w:val="2"/>
          <w:u w:color="000000"/>
        </w:rPr>
        <w:t>2</w:t>
      </w:r>
      <w:r w:rsidR="007B2841">
        <w:rPr>
          <w:rFonts w:ascii="Times New Roman" w:hAnsi="Times New Roman"/>
          <w:kern w:val="2"/>
          <w:u w:color="000000"/>
        </w:rPr>
        <w:t>: Spearman correlation of NPC1 serum NPY levels with NPC1 clinical phenotypes</w:t>
      </w:r>
      <w:r w:rsidR="00867EF7">
        <w:rPr>
          <w:rFonts w:ascii="Times New Roman" w:hAnsi="Times New Roman"/>
          <w:kern w:val="2"/>
          <w:u w:color="000000"/>
        </w:rPr>
        <w:t>.</w:t>
      </w:r>
      <w:r w:rsidR="007B2841">
        <w:rPr>
          <w:rFonts w:ascii="Times New Roman" w:hAnsi="Times New Roman"/>
          <w:kern w:val="2"/>
          <w:u w:color="000000"/>
        </w:rPr>
        <w:t xml:space="preserve"> Serum NPY levels did not correlate with (a) age of neurological onset, (b) </w:t>
      </w:r>
      <w:r w:rsidR="004A2914">
        <w:rPr>
          <w:rFonts w:ascii="Times New Roman" w:hAnsi="Times New Roman"/>
          <w:kern w:val="2"/>
          <w:u w:color="000000"/>
        </w:rPr>
        <w:t>i</w:t>
      </w:r>
      <w:r w:rsidR="007B2841">
        <w:rPr>
          <w:rFonts w:ascii="Times New Roman" w:hAnsi="Times New Roman"/>
          <w:kern w:val="2"/>
          <w:u w:color="000000"/>
        </w:rPr>
        <w:t xml:space="preserve">ndividuals with age of neurological onset &gt;20 years </w:t>
      </w:r>
      <w:r w:rsidR="00867EF7">
        <w:rPr>
          <w:rFonts w:ascii="Times New Roman" w:hAnsi="Times New Roman"/>
          <w:kern w:val="2"/>
          <w:u w:color="000000"/>
        </w:rPr>
        <w:t xml:space="preserve">were </w:t>
      </w:r>
      <w:r w:rsidR="007B2841">
        <w:rPr>
          <w:rFonts w:ascii="Times New Roman" w:hAnsi="Times New Roman"/>
          <w:kern w:val="2"/>
          <w:u w:color="000000"/>
        </w:rPr>
        <w:t>excluded from the analysis</w:t>
      </w:r>
      <w:r w:rsidR="004A2914">
        <w:rPr>
          <w:rFonts w:ascii="Times New Roman" w:hAnsi="Times New Roman"/>
          <w:kern w:val="2"/>
          <w:u w:color="000000"/>
        </w:rPr>
        <w:t>,</w:t>
      </w:r>
      <w:r w:rsidR="007B2841">
        <w:rPr>
          <w:rFonts w:ascii="Times New Roman" w:hAnsi="Times New Roman"/>
          <w:kern w:val="2"/>
          <w:u w:color="000000"/>
        </w:rPr>
        <w:t xml:space="preserve"> (c) Annual severity increment score, (d) 17-domain NPC neurological severity score, and (e) </w:t>
      </w:r>
      <w:r w:rsidR="00867EF7">
        <w:rPr>
          <w:rFonts w:ascii="Times New Roman" w:hAnsi="Times New Roman"/>
          <w:kern w:val="2"/>
          <w:u w:color="000000"/>
        </w:rPr>
        <w:t>5-domain</w:t>
      </w:r>
      <w:r w:rsidR="007B2841">
        <w:rPr>
          <w:rFonts w:ascii="Times New Roman" w:hAnsi="Times New Roman"/>
          <w:kern w:val="2"/>
          <w:u w:color="000000"/>
        </w:rPr>
        <w:t xml:space="preserve"> NPC neurological severity score</w:t>
      </w:r>
      <w:r w:rsidR="00B133C8">
        <w:rPr>
          <w:rFonts w:ascii="Times New Roman" w:hAnsi="Times New Roman"/>
          <w:kern w:val="2"/>
          <w:u w:color="000000"/>
        </w:rPr>
        <w:t>.</w:t>
      </w:r>
    </w:p>
    <w:p w14:paraId="65850FFB" w14:textId="31509283" w:rsidR="00BB183A" w:rsidRDefault="00C34254" w:rsidP="00B72B06">
      <w:pPr>
        <w:pStyle w:val="Body"/>
        <w:spacing w:after="240" w:line="336" w:lineRule="auto"/>
        <w:rPr>
          <w:rFonts w:ascii="Times New Roman" w:eastAsia="Times New Roman" w:hAnsi="Times New Roman" w:cs="Times New Roman"/>
          <w:kern w:val="2"/>
          <w:u w:color="000000"/>
        </w:rPr>
      </w:pPr>
      <w:r>
        <w:rPr>
          <w:rFonts w:ascii="Times New Roman" w:hAnsi="Times New Roman"/>
          <w:kern w:val="2"/>
          <w:u w:color="000000"/>
        </w:rPr>
        <w:t>Additional</w:t>
      </w:r>
      <w:r w:rsidR="007B2841">
        <w:rPr>
          <w:rFonts w:ascii="Times New Roman" w:hAnsi="Times New Roman"/>
          <w:kern w:val="2"/>
          <w:u w:color="000000"/>
        </w:rPr>
        <w:t xml:space="preserve"> Figure 1</w:t>
      </w:r>
      <w:r w:rsidR="006172A6">
        <w:rPr>
          <w:rFonts w:ascii="Times New Roman" w:hAnsi="Times New Roman"/>
          <w:kern w:val="2"/>
          <w:u w:color="000000"/>
        </w:rPr>
        <w:t>3: Spearman</w:t>
      </w:r>
      <w:r w:rsidR="007B2841">
        <w:rPr>
          <w:rFonts w:ascii="Times New Roman" w:hAnsi="Times New Roman"/>
          <w:kern w:val="2"/>
          <w:u w:color="000000"/>
        </w:rPr>
        <w:t xml:space="preserve"> correlation of NPC1 serum Cathepsin L levels with NPC1 clinical phenotypes</w:t>
      </w:r>
      <w:r w:rsidR="00867EF7">
        <w:rPr>
          <w:rFonts w:ascii="Times New Roman" w:hAnsi="Times New Roman"/>
          <w:kern w:val="2"/>
          <w:u w:color="000000"/>
        </w:rPr>
        <w:t>.</w:t>
      </w:r>
      <w:r w:rsidR="007B2841">
        <w:rPr>
          <w:rFonts w:ascii="Times New Roman" w:hAnsi="Times New Roman"/>
          <w:kern w:val="2"/>
          <w:u w:color="000000"/>
        </w:rPr>
        <w:t xml:space="preserve"> Serum Cathepsin L levels did not correlate with (a) age of neurological onset, (b) </w:t>
      </w:r>
      <w:r w:rsidR="004A2914">
        <w:rPr>
          <w:rFonts w:ascii="Times New Roman" w:hAnsi="Times New Roman"/>
          <w:kern w:val="2"/>
          <w:u w:color="000000"/>
        </w:rPr>
        <w:t>i</w:t>
      </w:r>
      <w:r w:rsidR="007B2841">
        <w:rPr>
          <w:rFonts w:ascii="Times New Roman" w:hAnsi="Times New Roman"/>
          <w:kern w:val="2"/>
          <w:u w:color="000000"/>
        </w:rPr>
        <w:t xml:space="preserve">ndividuals </w:t>
      </w:r>
      <w:r w:rsidR="007B2841">
        <w:rPr>
          <w:rFonts w:ascii="Times New Roman" w:hAnsi="Times New Roman"/>
          <w:kern w:val="2"/>
          <w:u w:color="000000"/>
        </w:rPr>
        <w:lastRenderedPageBreak/>
        <w:t xml:space="preserve">with age of neurological onset &gt;20 years </w:t>
      </w:r>
      <w:r w:rsidR="00867EF7">
        <w:rPr>
          <w:rFonts w:ascii="Times New Roman" w:hAnsi="Times New Roman"/>
          <w:kern w:val="2"/>
          <w:u w:color="000000"/>
        </w:rPr>
        <w:t xml:space="preserve">were </w:t>
      </w:r>
      <w:r w:rsidR="007B2841">
        <w:rPr>
          <w:rFonts w:ascii="Times New Roman" w:hAnsi="Times New Roman"/>
          <w:kern w:val="2"/>
          <w:u w:color="000000"/>
        </w:rPr>
        <w:t>excluded from the analysis</w:t>
      </w:r>
      <w:r w:rsidR="004A2914">
        <w:rPr>
          <w:rFonts w:ascii="Times New Roman" w:hAnsi="Times New Roman"/>
          <w:kern w:val="2"/>
          <w:u w:color="000000"/>
        </w:rPr>
        <w:t>,</w:t>
      </w:r>
      <w:r w:rsidR="007B2841">
        <w:rPr>
          <w:rFonts w:ascii="Times New Roman" w:hAnsi="Times New Roman"/>
          <w:kern w:val="2"/>
          <w:u w:color="000000"/>
        </w:rPr>
        <w:t xml:space="preserve"> (c) Annual severity increment score, (d) 17-domain NPC neurological severity score, and (e) </w:t>
      </w:r>
      <w:r w:rsidR="00867EF7">
        <w:rPr>
          <w:rFonts w:ascii="Times New Roman" w:hAnsi="Times New Roman"/>
          <w:kern w:val="2"/>
          <w:u w:color="000000"/>
        </w:rPr>
        <w:t>5-domain</w:t>
      </w:r>
      <w:r w:rsidR="007B2841">
        <w:rPr>
          <w:rFonts w:ascii="Times New Roman" w:hAnsi="Times New Roman"/>
          <w:kern w:val="2"/>
          <w:u w:color="000000"/>
        </w:rPr>
        <w:t xml:space="preserve"> NPC neurological severity score</w:t>
      </w:r>
      <w:r w:rsidR="00B133C8">
        <w:rPr>
          <w:rFonts w:ascii="Times New Roman" w:hAnsi="Times New Roman"/>
          <w:kern w:val="2"/>
          <w:u w:color="000000"/>
        </w:rPr>
        <w:t>.</w:t>
      </w:r>
    </w:p>
    <w:p w14:paraId="65850FFC" w14:textId="667E4991" w:rsidR="00BB183A" w:rsidRDefault="00C34254" w:rsidP="00B72B06">
      <w:pPr>
        <w:pStyle w:val="Default"/>
        <w:tabs>
          <w:tab w:val="left" w:pos="1440"/>
          <w:tab w:val="left" w:pos="2880"/>
          <w:tab w:val="left" w:pos="4320"/>
          <w:tab w:val="left" w:pos="5760"/>
          <w:tab w:val="left" w:pos="7200"/>
          <w:tab w:val="left" w:pos="8640"/>
        </w:tabs>
        <w:suppressAutoHyphens/>
        <w:spacing w:before="0" w:after="240" w:line="336" w:lineRule="auto"/>
        <w:outlineLvl w:val="0"/>
        <w:rPr>
          <w:rFonts w:ascii="Times New Roman" w:hAnsi="Times New Roman"/>
          <w:sz w:val="22"/>
          <w:szCs w:val="22"/>
          <w14:textOutline w14:w="12700" w14:cap="flat" w14:cmpd="sng" w14:algn="ctr">
            <w14:noFill/>
            <w14:prstDash w14:val="solid"/>
            <w14:miter w14:lim="400000"/>
          </w14:textOutline>
        </w:rPr>
      </w:pPr>
      <w:r>
        <w:rPr>
          <w:rFonts w:ascii="Times New Roman" w:hAnsi="Times New Roman"/>
          <w:sz w:val="22"/>
          <w:szCs w:val="22"/>
          <w14:textOutline w14:w="12700" w14:cap="flat" w14:cmpd="sng" w14:algn="ctr">
            <w14:noFill/>
            <w14:prstDash w14:val="solid"/>
            <w14:miter w14:lim="400000"/>
          </w14:textOutline>
        </w:rPr>
        <w:t>Additional</w:t>
      </w:r>
      <w:r w:rsidR="007B2841">
        <w:rPr>
          <w:rFonts w:ascii="Times New Roman" w:hAnsi="Times New Roman"/>
          <w:sz w:val="22"/>
          <w:szCs w:val="22"/>
          <w14:textOutline w14:w="12700" w14:cap="flat" w14:cmpd="sng" w14:algn="ctr">
            <w14:noFill/>
            <w14:prstDash w14:val="solid"/>
            <w14:miter w14:lim="400000"/>
          </w14:textOutline>
        </w:rPr>
        <w:t xml:space="preserve"> Figure 1</w:t>
      </w:r>
      <w:r w:rsidR="006172A6">
        <w:rPr>
          <w:rFonts w:ascii="Times New Roman" w:hAnsi="Times New Roman"/>
          <w:sz w:val="22"/>
          <w:szCs w:val="22"/>
          <w14:textOutline w14:w="12700" w14:cap="flat" w14:cmpd="sng" w14:algn="ctr">
            <w14:noFill/>
            <w14:prstDash w14:val="solid"/>
            <w14:miter w14:lim="400000"/>
          </w14:textOutline>
        </w:rPr>
        <w:t>4</w:t>
      </w:r>
      <w:r w:rsidR="007B2841">
        <w:rPr>
          <w:rFonts w:ascii="Times New Roman" w:hAnsi="Times New Roman"/>
          <w:sz w:val="22"/>
          <w:szCs w:val="22"/>
          <w14:textOutline w14:w="12700" w14:cap="flat" w14:cmpd="sng" w14:algn="ctr">
            <w14:noFill/>
            <w14:prstDash w14:val="solid"/>
            <w14:miter w14:lim="400000"/>
          </w14:textOutline>
        </w:rPr>
        <w:t xml:space="preserve">: Graphical representation of the annotation of significantly increased proteins in NPC1 detected in the Human Protein </w:t>
      </w:r>
      <w:r w:rsidR="00867EF7">
        <w:rPr>
          <w:rFonts w:ascii="Times New Roman" w:hAnsi="Times New Roman"/>
          <w:sz w:val="22"/>
          <w:szCs w:val="22"/>
          <w14:textOutline w14:w="12700" w14:cap="flat" w14:cmpd="sng" w14:algn="ctr">
            <w14:noFill/>
            <w14:prstDash w14:val="solid"/>
            <w14:miter w14:lim="400000"/>
          </w14:textOutline>
        </w:rPr>
        <w:t>Atlas</w:t>
      </w:r>
      <w:r w:rsidR="007B2841">
        <w:rPr>
          <w:rFonts w:ascii="Times New Roman" w:hAnsi="Times New Roman"/>
          <w:sz w:val="22"/>
          <w:szCs w:val="22"/>
          <w14:textOutline w14:w="12700" w14:cap="flat" w14:cmpd="sng" w14:algn="ctr">
            <w14:noFill/>
            <w14:prstDash w14:val="solid"/>
            <w14:miter w14:lim="400000"/>
          </w14:textOutline>
        </w:rPr>
        <w:t xml:space="preserve"> (a) </w:t>
      </w:r>
      <w:r w:rsidR="00F82D78">
        <w:rPr>
          <w:rFonts w:ascii="Times New Roman" w:hAnsi="Times New Roman"/>
          <w:sz w:val="22"/>
          <w:szCs w:val="22"/>
          <w14:textOutline w14:w="12700" w14:cap="flat" w14:cmpd="sng" w14:algn="ctr">
            <w14:noFill/>
            <w14:prstDash w14:val="solid"/>
            <w14:miter w14:lim="400000"/>
          </w14:textOutline>
        </w:rPr>
        <w:t>i</w:t>
      </w:r>
      <w:r w:rsidR="007B2841">
        <w:rPr>
          <w:rFonts w:ascii="Times New Roman" w:hAnsi="Times New Roman"/>
          <w:sz w:val="22"/>
          <w:szCs w:val="22"/>
          <w14:textOutline w14:w="12700" w14:cap="flat" w14:cmpd="sng" w14:algn="ctr">
            <w14:noFill/>
            <w14:prstDash w14:val="solid"/>
            <w14:miter w14:lim="400000"/>
          </w14:textOutline>
        </w:rPr>
        <w:t>ncreased with adjusted log</w:t>
      </w:r>
      <w:r w:rsidR="007B2841" w:rsidRPr="00867EF7">
        <w:rPr>
          <w:rFonts w:ascii="Times New Roman" w:hAnsi="Times New Roman"/>
          <w:sz w:val="22"/>
          <w:szCs w:val="22"/>
          <w:vertAlign w:val="subscript"/>
          <w14:textOutline w14:w="12700" w14:cap="flat" w14:cmpd="sng" w14:algn="ctr">
            <w14:noFill/>
            <w14:prstDash w14:val="solid"/>
            <w14:miter w14:lim="400000"/>
          </w14:textOutline>
        </w:rPr>
        <w:t>2</w:t>
      </w:r>
      <w:r w:rsidR="007B2841">
        <w:rPr>
          <w:rFonts w:ascii="Times New Roman" w:hAnsi="Times New Roman"/>
          <w:sz w:val="22"/>
          <w:szCs w:val="22"/>
          <w14:textOutline w14:w="12700" w14:cap="flat" w14:cmpd="sng" w14:algn="ctr">
            <w14:noFill/>
            <w14:prstDash w14:val="solid"/>
            <w14:miter w14:lim="400000"/>
          </w14:textOutline>
        </w:rPr>
        <w:t xml:space="preserve">FC </w:t>
      </w:r>
      <w:r w:rsidR="00867EF7">
        <w:rPr>
          <w:rFonts w:ascii="Times New Roman" w:hAnsi="Times New Roman" w:cs="Times New Roman"/>
          <w:sz w:val="22"/>
          <w:szCs w:val="22"/>
          <w14:textOutline w14:w="12700" w14:cap="flat" w14:cmpd="sng" w14:algn="ctr">
            <w14:noFill/>
            <w14:prstDash w14:val="solid"/>
            <w14:miter w14:lim="400000"/>
          </w14:textOutline>
        </w:rPr>
        <w:t>≥</w:t>
      </w:r>
      <w:r w:rsidR="007B2841">
        <w:rPr>
          <w:rFonts w:ascii="Times New Roman" w:hAnsi="Times New Roman"/>
          <w:sz w:val="22"/>
          <w:szCs w:val="22"/>
          <w14:textOutline w14:w="12700" w14:cap="flat" w14:cmpd="sng" w14:algn="ctr">
            <w14:noFill/>
            <w14:prstDash w14:val="solid"/>
            <w14:miter w14:lim="400000"/>
          </w14:textOutline>
        </w:rPr>
        <w:t xml:space="preserve"> 0.5 and &lt;</w:t>
      </w:r>
      <w:r w:rsidR="00867EF7">
        <w:rPr>
          <w:rFonts w:ascii="Times New Roman" w:hAnsi="Times New Roman"/>
          <w:sz w:val="22"/>
          <w:szCs w:val="22"/>
          <w14:textOutline w14:w="12700" w14:cap="flat" w14:cmpd="sng" w14:algn="ctr">
            <w14:noFill/>
            <w14:prstDash w14:val="solid"/>
            <w14:miter w14:lim="400000"/>
          </w14:textOutline>
        </w:rPr>
        <w:t xml:space="preserve"> </w:t>
      </w:r>
      <w:r w:rsidR="007B2841">
        <w:rPr>
          <w:rFonts w:ascii="Times New Roman" w:hAnsi="Times New Roman"/>
          <w:sz w:val="22"/>
          <w:szCs w:val="22"/>
          <w14:textOutline w14:w="12700" w14:cap="flat" w14:cmpd="sng" w14:algn="ctr">
            <w14:noFill/>
            <w14:prstDash w14:val="solid"/>
            <w14:miter w14:lim="400000"/>
          </w14:textOutline>
        </w:rPr>
        <w:t>1</w:t>
      </w:r>
      <w:r w:rsidR="00867EF7">
        <w:rPr>
          <w:rFonts w:ascii="Times New Roman" w:hAnsi="Times New Roman"/>
          <w:sz w:val="22"/>
          <w:szCs w:val="22"/>
          <w14:textOutline w14:w="12700" w14:cap="flat" w14:cmpd="sng" w14:algn="ctr">
            <w14:noFill/>
            <w14:prstDash w14:val="solid"/>
            <w14:miter w14:lim="400000"/>
          </w14:textOutline>
        </w:rPr>
        <w:t>,</w:t>
      </w:r>
      <w:r w:rsidR="007B2841">
        <w:rPr>
          <w:rFonts w:ascii="Times New Roman" w:hAnsi="Times New Roman"/>
          <w:sz w:val="22"/>
          <w:szCs w:val="22"/>
          <w14:textOutline w14:w="12700" w14:cap="flat" w14:cmpd="sng" w14:algn="ctr">
            <w14:noFill/>
            <w14:prstDash w14:val="solid"/>
            <w14:miter w14:lim="400000"/>
          </w14:textOutline>
        </w:rPr>
        <w:t xml:space="preserve"> and (b) </w:t>
      </w:r>
      <w:r w:rsidR="00F82D78">
        <w:rPr>
          <w:rFonts w:ascii="Times New Roman" w:hAnsi="Times New Roman"/>
          <w:sz w:val="22"/>
          <w:szCs w:val="22"/>
          <w14:textOutline w14:w="12700" w14:cap="flat" w14:cmpd="sng" w14:algn="ctr">
            <w14:noFill/>
            <w14:prstDash w14:val="solid"/>
            <w14:miter w14:lim="400000"/>
          </w14:textOutline>
        </w:rPr>
        <w:t>i</w:t>
      </w:r>
      <w:r w:rsidR="007B2841">
        <w:rPr>
          <w:rFonts w:ascii="Times New Roman" w:hAnsi="Times New Roman"/>
          <w:sz w:val="22"/>
          <w:szCs w:val="22"/>
          <w14:textOutline w14:w="12700" w14:cap="flat" w14:cmpd="sng" w14:algn="ctr">
            <w14:noFill/>
            <w14:prstDash w14:val="solid"/>
            <w14:miter w14:lim="400000"/>
          </w14:textOutline>
        </w:rPr>
        <w:t xml:space="preserve">ncreased with adjusted </w:t>
      </w:r>
      <w:r w:rsidR="00867EF7">
        <w:rPr>
          <w:rFonts w:ascii="Times New Roman" w:hAnsi="Times New Roman"/>
          <w:sz w:val="22"/>
          <w:szCs w:val="22"/>
          <w14:textOutline w14:w="12700" w14:cap="flat" w14:cmpd="sng" w14:algn="ctr">
            <w14:noFill/>
            <w14:prstDash w14:val="solid"/>
            <w14:miter w14:lim="400000"/>
          </w14:textOutline>
        </w:rPr>
        <w:t>log</w:t>
      </w:r>
      <w:r w:rsidR="00867EF7" w:rsidRPr="00867EF7">
        <w:rPr>
          <w:rFonts w:ascii="Times New Roman" w:hAnsi="Times New Roman"/>
          <w:sz w:val="22"/>
          <w:szCs w:val="22"/>
          <w:vertAlign w:val="subscript"/>
          <w14:textOutline w14:w="12700" w14:cap="flat" w14:cmpd="sng" w14:algn="ctr">
            <w14:noFill/>
            <w14:prstDash w14:val="solid"/>
            <w14:miter w14:lim="400000"/>
          </w14:textOutline>
        </w:rPr>
        <w:t>2</w:t>
      </w:r>
      <w:r w:rsidR="00867EF7">
        <w:rPr>
          <w:rFonts w:ascii="Times New Roman" w:hAnsi="Times New Roman"/>
          <w:sz w:val="22"/>
          <w:szCs w:val="22"/>
          <w14:textOutline w14:w="12700" w14:cap="flat" w14:cmpd="sng" w14:algn="ctr">
            <w14:noFill/>
            <w14:prstDash w14:val="solid"/>
            <w14:miter w14:lim="400000"/>
          </w14:textOutline>
        </w:rPr>
        <w:t>FC</w:t>
      </w:r>
      <w:r w:rsidR="007B2841">
        <w:rPr>
          <w:rFonts w:ascii="Times New Roman" w:hAnsi="Times New Roman"/>
          <w:sz w:val="22"/>
          <w:szCs w:val="22"/>
          <w14:textOutline w14:w="12700" w14:cap="flat" w14:cmpd="sng" w14:algn="ctr">
            <w14:noFill/>
            <w14:prstDash w14:val="solid"/>
            <w14:miter w14:lim="400000"/>
          </w14:textOutline>
        </w:rPr>
        <w:t xml:space="preserve"> &lt;</w:t>
      </w:r>
      <w:r w:rsidR="00F82D78">
        <w:rPr>
          <w:rFonts w:ascii="Times New Roman" w:hAnsi="Times New Roman"/>
          <w:sz w:val="22"/>
          <w:szCs w:val="22"/>
          <w14:textOutline w14:w="12700" w14:cap="flat" w14:cmpd="sng" w14:algn="ctr">
            <w14:noFill/>
            <w14:prstDash w14:val="solid"/>
            <w14:miter w14:lim="400000"/>
          </w14:textOutline>
        </w:rPr>
        <w:t xml:space="preserve"> </w:t>
      </w:r>
      <w:r w:rsidR="007B2841">
        <w:rPr>
          <w:rFonts w:ascii="Times New Roman" w:hAnsi="Times New Roman"/>
          <w:sz w:val="22"/>
          <w:szCs w:val="22"/>
          <w14:textOutline w14:w="12700" w14:cap="flat" w14:cmpd="sng" w14:algn="ctr">
            <w14:noFill/>
            <w14:prstDash w14:val="solid"/>
            <w14:miter w14:lim="400000"/>
          </w14:textOutline>
        </w:rPr>
        <w:t>0.5</w:t>
      </w:r>
      <w:r w:rsidR="00B133C8">
        <w:rPr>
          <w:rFonts w:ascii="Times New Roman" w:hAnsi="Times New Roman"/>
          <w:sz w:val="22"/>
          <w:szCs w:val="22"/>
          <w14:textOutline w14:w="12700" w14:cap="flat" w14:cmpd="sng" w14:algn="ctr">
            <w14:noFill/>
            <w14:prstDash w14:val="solid"/>
            <w14:miter w14:lim="400000"/>
          </w14:textOutline>
        </w:rPr>
        <w:t>.</w:t>
      </w:r>
    </w:p>
    <w:p w14:paraId="65850FFD" w14:textId="487A832C" w:rsidR="00BB183A" w:rsidRDefault="00C34254" w:rsidP="00B72B06">
      <w:pPr>
        <w:pStyle w:val="Default"/>
        <w:tabs>
          <w:tab w:val="left" w:pos="1440"/>
          <w:tab w:val="left" w:pos="2880"/>
          <w:tab w:val="left" w:pos="4320"/>
          <w:tab w:val="left" w:pos="5760"/>
          <w:tab w:val="left" w:pos="7200"/>
          <w:tab w:val="left" w:pos="8640"/>
        </w:tabs>
        <w:suppressAutoHyphens/>
        <w:spacing w:before="0" w:after="240" w:line="336" w:lineRule="auto"/>
        <w:outlineLvl w:val="0"/>
        <w:rPr>
          <w:rFonts w:ascii="Times New Roman" w:eastAsia="Times New Roman" w:hAnsi="Times New Roman" w:cs="Times New Roman"/>
          <w:sz w:val="22"/>
          <w:szCs w:val="22"/>
          <w14:textOutline w14:w="12700" w14:cap="flat" w14:cmpd="sng" w14:algn="ctr">
            <w14:noFill/>
            <w14:prstDash w14:val="solid"/>
            <w14:miter w14:lim="400000"/>
          </w14:textOutline>
        </w:rPr>
      </w:pPr>
      <w:r>
        <w:rPr>
          <w:rFonts w:ascii="Times New Roman" w:hAnsi="Times New Roman"/>
          <w:sz w:val="22"/>
          <w:szCs w:val="22"/>
          <w14:textOutline w14:w="12700" w14:cap="flat" w14:cmpd="sng" w14:algn="ctr">
            <w14:noFill/>
            <w14:prstDash w14:val="solid"/>
            <w14:miter w14:lim="400000"/>
          </w14:textOutline>
        </w:rPr>
        <w:t>Additional</w:t>
      </w:r>
      <w:r w:rsidR="007B2841">
        <w:rPr>
          <w:rFonts w:ascii="Times New Roman" w:hAnsi="Times New Roman"/>
          <w:sz w:val="22"/>
          <w:szCs w:val="22"/>
          <w14:textOutline w14:w="12700" w14:cap="flat" w14:cmpd="sng" w14:algn="ctr">
            <w14:noFill/>
            <w14:prstDash w14:val="solid"/>
            <w14:miter w14:lim="400000"/>
          </w14:textOutline>
        </w:rPr>
        <w:t xml:space="preserve"> Figure 1</w:t>
      </w:r>
      <w:r w:rsidR="006172A6">
        <w:rPr>
          <w:rFonts w:ascii="Times New Roman" w:hAnsi="Times New Roman"/>
          <w:sz w:val="22"/>
          <w:szCs w:val="22"/>
          <w14:textOutline w14:w="12700" w14:cap="flat" w14:cmpd="sng" w14:algn="ctr">
            <w14:noFill/>
            <w14:prstDash w14:val="solid"/>
            <w14:miter w14:lim="400000"/>
          </w14:textOutline>
        </w:rPr>
        <w:t>5</w:t>
      </w:r>
      <w:r w:rsidR="007B2841">
        <w:rPr>
          <w:rFonts w:ascii="Times New Roman" w:hAnsi="Times New Roman"/>
          <w:sz w:val="22"/>
          <w:szCs w:val="22"/>
          <w14:textOutline w14:w="12700" w14:cap="flat" w14:cmpd="sng" w14:algn="ctr">
            <w14:noFill/>
            <w14:prstDash w14:val="solid"/>
            <w14:miter w14:lim="400000"/>
          </w14:textOutline>
        </w:rPr>
        <w:t xml:space="preserve">: Graphical representation of the annotation of significantly decreased proteins in NPC1 detected in the Human Protein </w:t>
      </w:r>
      <w:r w:rsidR="00F82D78">
        <w:rPr>
          <w:rFonts w:ascii="Times New Roman" w:hAnsi="Times New Roman"/>
          <w:sz w:val="22"/>
          <w:szCs w:val="22"/>
          <w14:textOutline w14:w="12700" w14:cap="flat" w14:cmpd="sng" w14:algn="ctr">
            <w14:noFill/>
            <w14:prstDash w14:val="solid"/>
            <w14:miter w14:lim="400000"/>
          </w14:textOutline>
        </w:rPr>
        <w:t>A</w:t>
      </w:r>
      <w:r w:rsidR="007B2841">
        <w:rPr>
          <w:rFonts w:ascii="Times New Roman" w:hAnsi="Times New Roman"/>
          <w:sz w:val="22"/>
          <w:szCs w:val="22"/>
          <w14:textOutline w14:w="12700" w14:cap="flat" w14:cmpd="sng" w14:algn="ctr">
            <w14:noFill/>
            <w14:prstDash w14:val="solid"/>
            <w14:miter w14:lim="400000"/>
          </w14:textOutline>
        </w:rPr>
        <w:t>las (a) decreased with adjusted log</w:t>
      </w:r>
      <w:r w:rsidR="007B2841" w:rsidRPr="00867EF7">
        <w:rPr>
          <w:rFonts w:ascii="Times New Roman" w:hAnsi="Times New Roman"/>
          <w:sz w:val="22"/>
          <w:szCs w:val="22"/>
          <w:vertAlign w:val="subscript"/>
          <w14:textOutline w14:w="12700" w14:cap="flat" w14:cmpd="sng" w14:algn="ctr">
            <w14:noFill/>
            <w14:prstDash w14:val="solid"/>
            <w14:miter w14:lim="400000"/>
          </w14:textOutline>
        </w:rPr>
        <w:t>2</w:t>
      </w:r>
      <w:r w:rsidR="007B2841">
        <w:rPr>
          <w:rFonts w:ascii="Times New Roman" w:hAnsi="Times New Roman"/>
          <w:sz w:val="22"/>
          <w:szCs w:val="22"/>
          <w14:textOutline w14:w="12700" w14:cap="flat" w14:cmpd="sng" w14:algn="ctr">
            <w14:noFill/>
            <w14:prstDash w14:val="solid"/>
            <w14:miter w14:lim="400000"/>
          </w14:textOutline>
        </w:rPr>
        <w:t xml:space="preserve">FC </w:t>
      </w:r>
      <w:r w:rsidR="00867EF7">
        <w:rPr>
          <w:rFonts w:ascii="Times New Roman" w:hAnsi="Times New Roman" w:cs="Times New Roman"/>
          <w:sz w:val="22"/>
          <w:szCs w:val="22"/>
          <w14:textOutline w14:w="12700" w14:cap="flat" w14:cmpd="sng" w14:algn="ctr">
            <w14:noFill/>
            <w14:prstDash w14:val="solid"/>
            <w14:miter w14:lim="400000"/>
          </w14:textOutline>
        </w:rPr>
        <w:t>≤</w:t>
      </w:r>
      <w:r w:rsidR="007B2841">
        <w:rPr>
          <w:rFonts w:ascii="Times New Roman" w:hAnsi="Times New Roman"/>
          <w:sz w:val="22"/>
          <w:szCs w:val="22"/>
          <w14:textOutline w14:w="12700" w14:cap="flat" w14:cmpd="sng" w14:algn="ctr">
            <w14:noFill/>
            <w14:prstDash w14:val="solid"/>
            <w14:miter w14:lim="400000"/>
          </w14:textOutline>
        </w:rPr>
        <w:t xml:space="preserve"> 1.5 and &gt; -2, (b) decreased with adjusted </w:t>
      </w:r>
      <w:r w:rsidR="00867EF7">
        <w:rPr>
          <w:rFonts w:ascii="Times New Roman" w:hAnsi="Times New Roman"/>
          <w:sz w:val="22"/>
          <w:szCs w:val="22"/>
          <w14:textOutline w14:w="12700" w14:cap="flat" w14:cmpd="sng" w14:algn="ctr">
            <w14:noFill/>
            <w14:prstDash w14:val="solid"/>
            <w14:miter w14:lim="400000"/>
          </w14:textOutline>
        </w:rPr>
        <w:t>log</w:t>
      </w:r>
      <w:r w:rsidR="00867EF7" w:rsidRPr="00867EF7">
        <w:rPr>
          <w:rFonts w:ascii="Times New Roman" w:hAnsi="Times New Roman"/>
          <w:sz w:val="22"/>
          <w:szCs w:val="22"/>
          <w:vertAlign w:val="subscript"/>
          <w14:textOutline w14:w="12700" w14:cap="flat" w14:cmpd="sng" w14:algn="ctr">
            <w14:noFill/>
            <w14:prstDash w14:val="solid"/>
            <w14:miter w14:lim="400000"/>
          </w14:textOutline>
        </w:rPr>
        <w:t>2</w:t>
      </w:r>
      <w:r w:rsidR="00867EF7">
        <w:rPr>
          <w:rFonts w:ascii="Times New Roman" w:hAnsi="Times New Roman"/>
          <w:sz w:val="22"/>
          <w:szCs w:val="22"/>
          <w14:textOutline w14:w="12700" w14:cap="flat" w14:cmpd="sng" w14:algn="ctr">
            <w14:noFill/>
            <w14:prstDash w14:val="solid"/>
            <w14:miter w14:lim="400000"/>
          </w14:textOutline>
        </w:rPr>
        <w:t>FC</w:t>
      </w:r>
      <w:r w:rsidR="007B2841">
        <w:rPr>
          <w:rFonts w:ascii="Times New Roman" w:hAnsi="Times New Roman"/>
          <w:sz w:val="22"/>
          <w:szCs w:val="22"/>
          <w14:textOutline w14:w="12700" w14:cap="flat" w14:cmpd="sng" w14:algn="ctr">
            <w14:noFill/>
            <w14:prstDash w14:val="solid"/>
            <w14:miter w14:lim="400000"/>
          </w14:textOutline>
        </w:rPr>
        <w:t xml:space="preserve"> </w:t>
      </w:r>
      <w:r w:rsidR="00867EF7">
        <w:rPr>
          <w:rFonts w:ascii="Times New Roman" w:hAnsi="Times New Roman" w:cs="Times New Roman"/>
          <w:sz w:val="22"/>
          <w:szCs w:val="22"/>
          <w14:textOutline w14:w="12700" w14:cap="flat" w14:cmpd="sng" w14:algn="ctr">
            <w14:noFill/>
            <w14:prstDash w14:val="solid"/>
            <w14:miter w14:lim="400000"/>
          </w14:textOutline>
        </w:rPr>
        <w:t>≤</w:t>
      </w:r>
      <w:r w:rsidR="00867EF7">
        <w:rPr>
          <w:rFonts w:ascii="Times New Roman" w:hAnsi="Times New Roman"/>
          <w:sz w:val="22"/>
          <w:szCs w:val="22"/>
          <w14:textOutline w14:w="12700" w14:cap="flat" w14:cmpd="sng" w14:algn="ctr">
            <w14:noFill/>
            <w14:prstDash w14:val="solid"/>
            <w14:miter w14:lim="400000"/>
          </w14:textOutline>
        </w:rPr>
        <w:t xml:space="preserve"> </w:t>
      </w:r>
      <w:r w:rsidR="007B2841">
        <w:rPr>
          <w:rFonts w:ascii="Times New Roman" w:hAnsi="Times New Roman"/>
          <w:sz w:val="22"/>
          <w:szCs w:val="22"/>
          <w14:textOutline w14:w="12700" w14:cap="flat" w14:cmpd="sng" w14:algn="ctr">
            <w14:noFill/>
            <w14:prstDash w14:val="solid"/>
            <w14:miter w14:lim="400000"/>
          </w14:textOutline>
        </w:rPr>
        <w:t>-1 and &gt;-1.5, (c)</w:t>
      </w:r>
      <w:r w:rsidR="004A2914">
        <w:rPr>
          <w:rFonts w:ascii="Times New Roman" w:hAnsi="Times New Roman"/>
          <w:sz w:val="22"/>
          <w:szCs w:val="22"/>
          <w14:textOutline w14:w="12700" w14:cap="flat" w14:cmpd="sng" w14:algn="ctr">
            <w14:noFill/>
            <w14:prstDash w14:val="solid"/>
            <w14:miter w14:lim="400000"/>
          </w14:textOutline>
        </w:rPr>
        <w:t xml:space="preserve"> </w:t>
      </w:r>
      <w:r w:rsidR="007B2841">
        <w:rPr>
          <w:rFonts w:ascii="Times New Roman" w:hAnsi="Times New Roman"/>
          <w:sz w:val="22"/>
          <w:szCs w:val="22"/>
          <w14:textOutline w14:w="12700" w14:cap="flat" w14:cmpd="sng" w14:algn="ctr">
            <w14:noFill/>
            <w14:prstDash w14:val="solid"/>
            <w14:miter w14:lim="400000"/>
          </w14:textOutline>
        </w:rPr>
        <w:t>decreased with adjusted log</w:t>
      </w:r>
      <w:r w:rsidR="007B2841" w:rsidRPr="00867EF7">
        <w:rPr>
          <w:rFonts w:ascii="Times New Roman" w:hAnsi="Times New Roman"/>
          <w:sz w:val="22"/>
          <w:szCs w:val="22"/>
          <w:vertAlign w:val="subscript"/>
          <w14:textOutline w14:w="12700" w14:cap="flat" w14:cmpd="sng" w14:algn="ctr">
            <w14:noFill/>
            <w14:prstDash w14:val="solid"/>
            <w14:miter w14:lim="400000"/>
          </w14:textOutline>
        </w:rPr>
        <w:t>2</w:t>
      </w:r>
      <w:r w:rsidR="007B2841">
        <w:rPr>
          <w:rFonts w:ascii="Times New Roman" w:hAnsi="Times New Roman"/>
          <w:sz w:val="22"/>
          <w:szCs w:val="22"/>
          <w14:textOutline w14:w="12700" w14:cap="flat" w14:cmpd="sng" w14:algn="ctr">
            <w14:noFill/>
            <w14:prstDash w14:val="solid"/>
            <w14:miter w14:lim="400000"/>
          </w14:textOutline>
        </w:rPr>
        <w:t xml:space="preserve">FC </w:t>
      </w:r>
      <w:r w:rsidR="00867EF7">
        <w:rPr>
          <w:rFonts w:ascii="Times New Roman" w:hAnsi="Times New Roman" w:cs="Times New Roman"/>
          <w:sz w:val="22"/>
          <w:szCs w:val="22"/>
          <w14:textOutline w14:w="12700" w14:cap="flat" w14:cmpd="sng" w14:algn="ctr">
            <w14:noFill/>
            <w14:prstDash w14:val="solid"/>
            <w14:miter w14:lim="400000"/>
          </w14:textOutline>
        </w:rPr>
        <w:t>≤</w:t>
      </w:r>
      <w:r w:rsidR="00F82D78">
        <w:rPr>
          <w:rFonts w:ascii="Times New Roman" w:hAnsi="Times New Roman" w:cs="Times New Roman"/>
          <w:sz w:val="22"/>
          <w:szCs w:val="22"/>
          <w14:textOutline w14:w="12700" w14:cap="flat" w14:cmpd="sng" w14:algn="ctr">
            <w14:noFill/>
            <w14:prstDash w14:val="solid"/>
            <w14:miter w14:lim="400000"/>
          </w14:textOutline>
        </w:rPr>
        <w:t xml:space="preserve"> </w:t>
      </w:r>
      <w:r w:rsidR="007B2841">
        <w:rPr>
          <w:rFonts w:ascii="Times New Roman" w:hAnsi="Times New Roman"/>
          <w:sz w:val="22"/>
          <w:szCs w:val="22"/>
          <w14:textOutline w14:w="12700" w14:cap="flat" w14:cmpd="sng" w14:algn="ctr">
            <w14:noFill/>
            <w14:prstDash w14:val="solid"/>
            <w14:miter w14:lim="400000"/>
          </w14:textOutline>
        </w:rPr>
        <w:t xml:space="preserve">-0.5 and &gt;- 1, and (d) decreased with adjusted </w:t>
      </w:r>
      <w:r w:rsidR="00867EF7">
        <w:rPr>
          <w:rFonts w:ascii="Times New Roman" w:hAnsi="Times New Roman"/>
          <w:sz w:val="22"/>
          <w:szCs w:val="22"/>
          <w14:textOutline w14:w="12700" w14:cap="flat" w14:cmpd="sng" w14:algn="ctr">
            <w14:noFill/>
            <w14:prstDash w14:val="solid"/>
            <w14:miter w14:lim="400000"/>
          </w14:textOutline>
        </w:rPr>
        <w:t>log</w:t>
      </w:r>
      <w:r w:rsidR="00867EF7" w:rsidRPr="00867EF7">
        <w:rPr>
          <w:rFonts w:ascii="Times New Roman" w:hAnsi="Times New Roman"/>
          <w:sz w:val="22"/>
          <w:szCs w:val="22"/>
          <w:vertAlign w:val="subscript"/>
          <w14:textOutline w14:w="12700" w14:cap="flat" w14:cmpd="sng" w14:algn="ctr">
            <w14:noFill/>
            <w14:prstDash w14:val="solid"/>
            <w14:miter w14:lim="400000"/>
          </w14:textOutline>
        </w:rPr>
        <w:t>2</w:t>
      </w:r>
      <w:r w:rsidR="00867EF7">
        <w:rPr>
          <w:rFonts w:ascii="Times New Roman" w:hAnsi="Times New Roman"/>
          <w:sz w:val="22"/>
          <w:szCs w:val="22"/>
          <w14:textOutline w14:w="12700" w14:cap="flat" w14:cmpd="sng" w14:algn="ctr">
            <w14:noFill/>
            <w14:prstDash w14:val="solid"/>
            <w14:miter w14:lim="400000"/>
          </w14:textOutline>
        </w:rPr>
        <w:t>FC</w:t>
      </w:r>
      <w:r w:rsidR="007B2841">
        <w:rPr>
          <w:rFonts w:ascii="Times New Roman" w:hAnsi="Times New Roman"/>
          <w:sz w:val="22"/>
          <w:szCs w:val="22"/>
          <w14:textOutline w14:w="12700" w14:cap="flat" w14:cmpd="sng" w14:algn="ctr">
            <w14:noFill/>
            <w14:prstDash w14:val="solid"/>
            <w14:miter w14:lim="400000"/>
          </w14:textOutline>
        </w:rPr>
        <w:t xml:space="preserve"> &gt;</w:t>
      </w:r>
      <w:r w:rsidR="00867EF7">
        <w:rPr>
          <w:rFonts w:ascii="Times New Roman" w:hAnsi="Times New Roman"/>
          <w:sz w:val="22"/>
          <w:szCs w:val="22"/>
          <w14:textOutline w14:w="12700" w14:cap="flat" w14:cmpd="sng" w14:algn="ctr">
            <w14:noFill/>
            <w14:prstDash w14:val="solid"/>
            <w14:miter w14:lim="400000"/>
          </w14:textOutline>
        </w:rPr>
        <w:t xml:space="preserve"> </w:t>
      </w:r>
      <w:r w:rsidR="007B2841">
        <w:rPr>
          <w:rFonts w:ascii="Times New Roman" w:hAnsi="Times New Roman"/>
          <w:sz w:val="22"/>
          <w:szCs w:val="22"/>
          <w14:textOutline w14:w="12700" w14:cap="flat" w14:cmpd="sng" w14:algn="ctr">
            <w14:noFill/>
            <w14:prstDash w14:val="solid"/>
            <w14:miter w14:lim="400000"/>
          </w14:textOutline>
        </w:rPr>
        <w:t>- 0.5</w:t>
      </w:r>
      <w:r w:rsidR="00B133C8">
        <w:rPr>
          <w:rFonts w:ascii="Times New Roman" w:hAnsi="Times New Roman"/>
          <w:sz w:val="22"/>
          <w:szCs w:val="22"/>
          <w14:textOutline w14:w="12700" w14:cap="flat" w14:cmpd="sng" w14:algn="ctr">
            <w14:noFill/>
            <w14:prstDash w14:val="solid"/>
            <w14:miter w14:lim="400000"/>
          </w14:textOutline>
        </w:rPr>
        <w:t>.</w:t>
      </w:r>
    </w:p>
    <w:p w14:paraId="65850FFE" w14:textId="77777777" w:rsidR="00BB183A" w:rsidRDefault="00BB183A">
      <w:pPr>
        <w:pStyle w:val="Default"/>
        <w:tabs>
          <w:tab w:val="left" w:pos="1440"/>
          <w:tab w:val="left" w:pos="2880"/>
          <w:tab w:val="left" w:pos="4320"/>
          <w:tab w:val="left" w:pos="5760"/>
          <w:tab w:val="left" w:pos="7200"/>
          <w:tab w:val="left" w:pos="8640"/>
        </w:tabs>
        <w:suppressAutoHyphens/>
        <w:spacing w:before="0" w:line="336" w:lineRule="auto"/>
        <w:outlineLvl w:val="0"/>
        <w:rPr>
          <w:rFonts w:ascii="Times New Roman" w:eastAsia="Times New Roman" w:hAnsi="Times New Roman" w:cs="Times New Roman"/>
          <w:sz w:val="22"/>
          <w:szCs w:val="22"/>
          <w14:textOutline w14:w="12700" w14:cap="flat" w14:cmpd="sng" w14:algn="ctr">
            <w14:noFill/>
            <w14:prstDash w14:val="solid"/>
            <w14:miter w14:lim="400000"/>
          </w14:textOutline>
        </w:rPr>
      </w:pPr>
    </w:p>
    <w:p w14:paraId="65850FFF" w14:textId="77777777" w:rsidR="00BB183A" w:rsidRDefault="00BB183A">
      <w:pPr>
        <w:pStyle w:val="Default"/>
        <w:tabs>
          <w:tab w:val="left" w:pos="1440"/>
          <w:tab w:val="left" w:pos="2880"/>
          <w:tab w:val="left" w:pos="4320"/>
          <w:tab w:val="left" w:pos="5760"/>
          <w:tab w:val="left" w:pos="7200"/>
          <w:tab w:val="left" w:pos="8640"/>
        </w:tabs>
        <w:suppressAutoHyphens/>
        <w:spacing w:before="0" w:line="336" w:lineRule="auto"/>
        <w:outlineLvl w:val="0"/>
        <w:rPr>
          <w:rFonts w:ascii="Times New Roman" w:eastAsia="Times New Roman" w:hAnsi="Times New Roman" w:cs="Times New Roman"/>
          <w:sz w:val="22"/>
          <w:szCs w:val="22"/>
          <w14:textOutline w14:w="12700" w14:cap="flat" w14:cmpd="sng" w14:algn="ctr">
            <w14:noFill/>
            <w14:prstDash w14:val="solid"/>
            <w14:miter w14:lim="400000"/>
          </w14:textOutline>
        </w:rPr>
      </w:pPr>
    </w:p>
    <w:p w14:paraId="65851000" w14:textId="77777777" w:rsidR="00BB183A" w:rsidRDefault="00BB183A">
      <w:pPr>
        <w:pStyle w:val="Default"/>
        <w:tabs>
          <w:tab w:val="left" w:pos="1440"/>
          <w:tab w:val="left" w:pos="2880"/>
          <w:tab w:val="left" w:pos="4320"/>
          <w:tab w:val="left" w:pos="5760"/>
          <w:tab w:val="left" w:pos="7200"/>
          <w:tab w:val="left" w:pos="8640"/>
        </w:tabs>
        <w:suppressAutoHyphens/>
        <w:spacing w:before="0" w:line="336" w:lineRule="auto"/>
        <w:outlineLvl w:val="0"/>
      </w:pPr>
    </w:p>
    <w:sectPr w:rsidR="00BB183A">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0CA7" w14:textId="77777777" w:rsidR="0038770E" w:rsidRDefault="0038770E">
      <w:r>
        <w:separator/>
      </w:r>
    </w:p>
  </w:endnote>
  <w:endnote w:type="continuationSeparator" w:id="0">
    <w:p w14:paraId="64525F8D" w14:textId="77777777" w:rsidR="0038770E" w:rsidRDefault="0038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Sylfae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1002" w14:textId="77777777" w:rsidR="00BB183A" w:rsidRDefault="00BB18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22F3" w14:textId="77777777" w:rsidR="0038770E" w:rsidRDefault="0038770E">
      <w:r>
        <w:separator/>
      </w:r>
    </w:p>
  </w:footnote>
  <w:footnote w:type="continuationSeparator" w:id="0">
    <w:p w14:paraId="5C6ED8B6" w14:textId="77777777" w:rsidR="0038770E" w:rsidRDefault="0038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1001" w14:textId="77777777" w:rsidR="00BB183A" w:rsidRDefault="00BB18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3A"/>
    <w:rsid w:val="000136EE"/>
    <w:rsid w:val="000B0DFF"/>
    <w:rsid w:val="001619AF"/>
    <w:rsid w:val="00317591"/>
    <w:rsid w:val="0038770E"/>
    <w:rsid w:val="004A2914"/>
    <w:rsid w:val="00536B09"/>
    <w:rsid w:val="00543FEB"/>
    <w:rsid w:val="00565B2D"/>
    <w:rsid w:val="005E4196"/>
    <w:rsid w:val="006172A6"/>
    <w:rsid w:val="007A4DDF"/>
    <w:rsid w:val="007B2841"/>
    <w:rsid w:val="00824E53"/>
    <w:rsid w:val="008458EB"/>
    <w:rsid w:val="00867EF7"/>
    <w:rsid w:val="008829F6"/>
    <w:rsid w:val="009205E5"/>
    <w:rsid w:val="00923317"/>
    <w:rsid w:val="00964B73"/>
    <w:rsid w:val="00A814BD"/>
    <w:rsid w:val="00A828B9"/>
    <w:rsid w:val="00A91C0E"/>
    <w:rsid w:val="00AD59BE"/>
    <w:rsid w:val="00B133C8"/>
    <w:rsid w:val="00B72B06"/>
    <w:rsid w:val="00B91664"/>
    <w:rsid w:val="00BA1524"/>
    <w:rsid w:val="00BB183A"/>
    <w:rsid w:val="00BF49D3"/>
    <w:rsid w:val="00C34254"/>
    <w:rsid w:val="00E01692"/>
    <w:rsid w:val="00E37C40"/>
    <w:rsid w:val="00E419BB"/>
    <w:rsid w:val="00EA50AC"/>
    <w:rsid w:val="00EF1657"/>
    <w:rsid w:val="00F23BF2"/>
    <w:rsid w:val="00F361FF"/>
    <w:rsid w:val="00F76A73"/>
    <w:rsid w:val="00F8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0FCD"/>
  <w15:docId w15:val="{8AD8A62F-67CE-415C-AE75-EE3CC352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1538</Words>
  <Characters>8770</Characters>
  <Application>Microsoft Office Word</Application>
  <DocSecurity>0</DocSecurity>
  <Lines>73</Lines>
  <Paragraphs>20</Paragraphs>
  <ScaleCrop>false</ScaleCrop>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Khushboo, Fnu (NIH/NICHD) [F]</cp:lastModifiedBy>
  <cp:revision>30</cp:revision>
  <dcterms:created xsi:type="dcterms:W3CDTF">2025-12-14T19:48:00Z</dcterms:created>
  <dcterms:modified xsi:type="dcterms:W3CDTF">2026-01-07T16:27:00Z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4c790ff6-34eb-4730-aebe-4d4eaa54acad</vt:lpwstr>
  </property>
</Properties>
</file>