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374A9" w14:textId="77777777" w:rsidR="001C5345" w:rsidRPr="009B710A" w:rsidRDefault="006F09B5" w:rsidP="00231F5C">
      <w:pPr>
        <w:pStyle w:val="Heading1"/>
        <w:spacing w:before="0" w:line="360" w:lineRule="auto"/>
        <w:jc w:val="center"/>
        <w:rPr>
          <w:rFonts w:asciiTheme="majorBidi" w:hAnsiTheme="majorBidi"/>
        </w:rPr>
      </w:pPr>
      <w:r w:rsidRPr="009B710A">
        <w:rPr>
          <w:rFonts w:asciiTheme="majorBidi" w:hAnsiTheme="majorBidi"/>
        </w:rPr>
        <w:t>Appendices</w:t>
      </w:r>
    </w:p>
    <w:p w14:paraId="2BEF67CA" w14:textId="77777777" w:rsidR="001C5345" w:rsidRPr="009B710A" w:rsidRDefault="006F09B5" w:rsidP="00231F5C">
      <w:pPr>
        <w:pStyle w:val="Heading2"/>
        <w:spacing w:before="0" w:line="360" w:lineRule="auto"/>
        <w:jc w:val="center"/>
        <w:rPr>
          <w:rFonts w:asciiTheme="majorBidi" w:hAnsiTheme="majorBidi"/>
        </w:rPr>
      </w:pPr>
      <w:r w:rsidRPr="009B710A">
        <w:rPr>
          <w:rFonts w:asciiTheme="majorBidi" w:hAnsiTheme="majorBidi"/>
        </w:rPr>
        <w:t>Appendix A</w:t>
      </w:r>
    </w:p>
    <w:p w14:paraId="1A6D758B" w14:textId="77777777" w:rsidR="001C5345" w:rsidRPr="009B710A" w:rsidRDefault="006F09B5" w:rsidP="009B710A">
      <w:pPr>
        <w:pStyle w:val="Heading3"/>
        <w:spacing w:before="0" w:line="360" w:lineRule="auto"/>
        <w:rPr>
          <w:rFonts w:asciiTheme="majorBidi" w:hAnsiTheme="majorBidi"/>
        </w:rPr>
      </w:pPr>
      <w:r w:rsidRPr="009B710A">
        <w:rPr>
          <w:rFonts w:asciiTheme="majorBidi" w:hAnsiTheme="majorBidi"/>
        </w:rPr>
        <w:t>Instructional Design Blueprint (6 Weeks; 90 minutes/session)</w:t>
      </w:r>
    </w:p>
    <w:p w14:paraId="74432212" w14:textId="77777777" w:rsidR="001C5345" w:rsidRPr="009B710A" w:rsidRDefault="006F09B5" w:rsidP="009B710A">
      <w:pPr>
        <w:pStyle w:val="Heading3"/>
        <w:spacing w:before="0" w:line="360" w:lineRule="auto"/>
        <w:rPr>
          <w:rFonts w:asciiTheme="majorBidi" w:hAnsiTheme="majorBidi"/>
        </w:rPr>
      </w:pPr>
      <w:r w:rsidRPr="009B710A">
        <w:rPr>
          <w:rFonts w:asciiTheme="majorBidi" w:hAnsiTheme="majorBidi"/>
        </w:rPr>
        <w:t>A1. Overview</w:t>
      </w:r>
    </w:p>
    <w:p w14:paraId="4E7EFECE"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The intervention ran for six weeks with one 90-minute session per week for both groups. Instructional content was aligned across conditions (setting and atmosphere, character development, and plot/world-building). The experimental group completed the activities in FrameVR.io, whereas the control group completed parallel tasks in a conventional classroom environment.</w:t>
      </w:r>
    </w:p>
    <w:p w14:paraId="7901FED2" w14:textId="77777777" w:rsidR="001C5345" w:rsidRPr="009B710A" w:rsidRDefault="006F09B5" w:rsidP="009B710A">
      <w:pPr>
        <w:pStyle w:val="Heading3"/>
        <w:spacing w:before="0" w:line="360" w:lineRule="auto"/>
        <w:rPr>
          <w:rFonts w:asciiTheme="majorBidi" w:hAnsiTheme="majorBidi"/>
        </w:rPr>
      </w:pPr>
      <w:r w:rsidRPr="009B710A">
        <w:rPr>
          <w:rFonts w:asciiTheme="majorBidi" w:hAnsiTheme="majorBidi"/>
        </w:rPr>
        <w:t>A2. Session structure (90 minutes; both groups)</w:t>
      </w:r>
    </w:p>
    <w:p w14:paraId="5C99C442" w14:textId="77777777" w:rsidR="001C5345" w:rsidRPr="009B710A" w:rsidRDefault="006F09B5" w:rsidP="009B710A">
      <w:pPr>
        <w:spacing w:line="360" w:lineRule="auto"/>
        <w:ind w:left="360"/>
        <w:rPr>
          <w:rFonts w:asciiTheme="majorBidi" w:hAnsiTheme="majorBidi" w:cstheme="majorBidi"/>
        </w:rPr>
      </w:pPr>
      <w:r w:rsidRPr="009B710A">
        <w:rPr>
          <w:rFonts w:asciiTheme="majorBidi" w:hAnsiTheme="majorBidi" w:cstheme="majorBidi"/>
        </w:rPr>
        <w:t>• Orientation (10 min): recap and learning outcomes</w:t>
      </w:r>
    </w:p>
    <w:p w14:paraId="120B0F7E" w14:textId="77777777" w:rsidR="001C5345" w:rsidRPr="009B710A" w:rsidRDefault="006F09B5" w:rsidP="009B710A">
      <w:pPr>
        <w:spacing w:line="360" w:lineRule="auto"/>
        <w:ind w:left="360"/>
        <w:rPr>
          <w:rFonts w:asciiTheme="majorBidi" w:hAnsiTheme="majorBidi" w:cstheme="majorBidi"/>
        </w:rPr>
      </w:pPr>
      <w:r w:rsidRPr="009B710A">
        <w:rPr>
          <w:rFonts w:asciiTheme="majorBidi" w:hAnsiTheme="majorBidi" w:cstheme="majorBidi"/>
        </w:rPr>
        <w:t>• Input/modeling (15 min): brief exemplars and criterion reminders</w:t>
      </w:r>
    </w:p>
    <w:p w14:paraId="4D5DFD62" w14:textId="77777777" w:rsidR="001C5345" w:rsidRPr="009B710A" w:rsidRDefault="006F09B5" w:rsidP="009B710A">
      <w:pPr>
        <w:spacing w:line="360" w:lineRule="auto"/>
        <w:ind w:left="360"/>
        <w:rPr>
          <w:rFonts w:asciiTheme="majorBidi" w:hAnsiTheme="majorBidi" w:cstheme="majorBidi"/>
        </w:rPr>
      </w:pPr>
      <w:r w:rsidRPr="009B710A">
        <w:rPr>
          <w:rFonts w:asciiTheme="majorBidi" w:hAnsiTheme="majorBidi" w:cstheme="majorBidi"/>
        </w:rPr>
        <w:t>• Guided task (25 min): week-specific structured activity</w:t>
      </w:r>
    </w:p>
    <w:p w14:paraId="29CE83AD" w14:textId="77777777" w:rsidR="001C5345" w:rsidRPr="009B710A" w:rsidRDefault="006F09B5" w:rsidP="009B710A">
      <w:pPr>
        <w:spacing w:line="360" w:lineRule="auto"/>
        <w:ind w:left="360"/>
        <w:rPr>
          <w:rFonts w:asciiTheme="majorBidi" w:hAnsiTheme="majorBidi" w:cstheme="majorBidi"/>
        </w:rPr>
      </w:pPr>
      <w:r w:rsidRPr="009B710A">
        <w:rPr>
          <w:rFonts w:asciiTheme="majorBidi" w:hAnsiTheme="majorBidi" w:cstheme="majorBidi"/>
        </w:rPr>
        <w:t>• Production (25 min): drafting/co-creation output</w:t>
      </w:r>
    </w:p>
    <w:p w14:paraId="729E4CFA" w14:textId="77777777" w:rsidR="001C5345" w:rsidRPr="009B710A" w:rsidRDefault="006F09B5" w:rsidP="009B710A">
      <w:pPr>
        <w:spacing w:line="360" w:lineRule="auto"/>
        <w:ind w:left="360"/>
        <w:rPr>
          <w:rFonts w:asciiTheme="majorBidi" w:hAnsiTheme="majorBidi" w:cstheme="majorBidi"/>
        </w:rPr>
      </w:pPr>
      <w:r w:rsidRPr="009B710A">
        <w:rPr>
          <w:rFonts w:asciiTheme="majorBidi" w:hAnsiTheme="majorBidi" w:cstheme="majorBidi"/>
        </w:rPr>
        <w:t>• Peer feedback (10 min): rubric-guided feedback</w:t>
      </w:r>
    </w:p>
    <w:p w14:paraId="3DFBF773" w14:textId="77777777" w:rsidR="001C5345" w:rsidRPr="009B710A" w:rsidRDefault="006F09B5" w:rsidP="009B710A">
      <w:pPr>
        <w:spacing w:line="360" w:lineRule="auto"/>
        <w:ind w:left="360"/>
        <w:rPr>
          <w:rFonts w:asciiTheme="majorBidi" w:hAnsiTheme="majorBidi" w:cstheme="majorBidi"/>
        </w:rPr>
      </w:pPr>
      <w:r w:rsidRPr="009B710A">
        <w:rPr>
          <w:rFonts w:asciiTheme="majorBidi" w:hAnsiTheme="majorBidi" w:cstheme="majorBidi"/>
        </w:rPr>
        <w:t>• Reflection (5 min): short reflection/exit prompt</w:t>
      </w:r>
    </w:p>
    <w:p w14:paraId="0650CE86" w14:textId="77777777" w:rsidR="001C5345" w:rsidRPr="009B710A" w:rsidRDefault="006F09B5" w:rsidP="009B710A">
      <w:pPr>
        <w:pStyle w:val="Heading3"/>
        <w:spacing w:before="0" w:line="360" w:lineRule="auto"/>
        <w:rPr>
          <w:rFonts w:asciiTheme="majorBidi" w:hAnsiTheme="majorBidi"/>
        </w:rPr>
      </w:pPr>
      <w:r w:rsidRPr="009B710A">
        <w:rPr>
          <w:rFonts w:asciiTheme="majorBidi" w:hAnsiTheme="majorBidi"/>
        </w:rPr>
        <w:t>A3. Curriculum map (aligned across groups)</w:t>
      </w:r>
    </w:p>
    <w:p w14:paraId="650F92B1"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b/>
        </w:rPr>
        <w:t>Table A1</w:t>
      </w:r>
    </w:p>
    <w:p w14:paraId="217B69FE"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Curriculum Map Aligned Across Conditions (6 Weeks)</w:t>
      </w:r>
    </w:p>
    <w:tbl>
      <w:tblPr>
        <w:tblW w:w="0" w:type="auto"/>
        <w:jc w:val="center"/>
        <w:tblBorders>
          <w:top w:val="single" w:sz="8" w:space="0" w:color="000000"/>
          <w:left w:val="nil"/>
          <w:bottom w:val="single" w:sz="8" w:space="0" w:color="000000"/>
          <w:right w:val="nil"/>
          <w:insideH w:val="nil"/>
          <w:insideV w:val="nil"/>
        </w:tblBorders>
        <w:tblLook w:val="04A0" w:firstRow="1" w:lastRow="0" w:firstColumn="1" w:lastColumn="0" w:noHBand="0" w:noVBand="1"/>
      </w:tblPr>
      <w:tblGrid>
        <w:gridCol w:w="2340"/>
        <w:gridCol w:w="2340"/>
        <w:gridCol w:w="2340"/>
        <w:gridCol w:w="2340"/>
      </w:tblGrid>
      <w:tr w:rsidR="001C5345" w:rsidRPr="009B710A" w14:paraId="363B2285" w14:textId="77777777">
        <w:trPr>
          <w:jc w:val="center"/>
        </w:trPr>
        <w:tc>
          <w:tcPr>
            <w:tcW w:w="2340" w:type="dxa"/>
            <w:tcBorders>
              <w:bottom w:val="single" w:sz="8" w:space="0" w:color="000000"/>
            </w:tcBorders>
            <w:vAlign w:val="center"/>
          </w:tcPr>
          <w:p w14:paraId="169DF903"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b/>
              </w:rPr>
              <w:t>Week(s)</w:t>
            </w:r>
          </w:p>
        </w:tc>
        <w:tc>
          <w:tcPr>
            <w:tcW w:w="2340" w:type="dxa"/>
            <w:tcBorders>
              <w:bottom w:val="single" w:sz="8" w:space="0" w:color="000000"/>
            </w:tcBorders>
            <w:vAlign w:val="center"/>
          </w:tcPr>
          <w:p w14:paraId="4566A35C"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b/>
              </w:rPr>
              <w:t>Writing focus</w:t>
            </w:r>
          </w:p>
        </w:tc>
        <w:tc>
          <w:tcPr>
            <w:tcW w:w="2340" w:type="dxa"/>
            <w:tcBorders>
              <w:bottom w:val="single" w:sz="8" w:space="0" w:color="000000"/>
            </w:tcBorders>
            <w:vAlign w:val="center"/>
          </w:tcPr>
          <w:p w14:paraId="0D95CDE7"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b/>
              </w:rPr>
              <w:t>Experimental group (FrameVR.io)</w:t>
            </w:r>
          </w:p>
        </w:tc>
        <w:tc>
          <w:tcPr>
            <w:tcW w:w="2340" w:type="dxa"/>
            <w:tcBorders>
              <w:bottom w:val="single" w:sz="8" w:space="0" w:color="000000"/>
            </w:tcBorders>
            <w:vAlign w:val="center"/>
          </w:tcPr>
          <w:p w14:paraId="4708C35A"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b/>
              </w:rPr>
              <w:t>Control group (traditional)</w:t>
            </w:r>
          </w:p>
        </w:tc>
      </w:tr>
      <w:tr w:rsidR="001C5345" w:rsidRPr="009B710A" w14:paraId="30FE2D76" w14:textId="77777777">
        <w:trPr>
          <w:jc w:val="center"/>
        </w:trPr>
        <w:tc>
          <w:tcPr>
            <w:tcW w:w="2340" w:type="dxa"/>
            <w:vAlign w:val="center"/>
          </w:tcPr>
          <w:p w14:paraId="15A82575"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1–2</w:t>
            </w:r>
          </w:p>
        </w:tc>
        <w:tc>
          <w:tcPr>
            <w:tcW w:w="2340" w:type="dxa"/>
            <w:vAlign w:val="center"/>
          </w:tcPr>
          <w:p w14:paraId="6EB1A483"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Setting and atmosphere</w:t>
            </w:r>
          </w:p>
        </w:tc>
        <w:tc>
          <w:tcPr>
            <w:tcW w:w="2340" w:type="dxa"/>
            <w:vAlign w:val="center"/>
          </w:tcPr>
          <w:p w14:paraId="30011978"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Multi-sensory description via 3D navigation of themed worlds; sensory vocabulary prompts; descriptive paragraph drafting and revision.</w:t>
            </w:r>
          </w:p>
        </w:tc>
        <w:tc>
          <w:tcPr>
            <w:tcW w:w="2340" w:type="dxa"/>
            <w:vAlign w:val="center"/>
          </w:tcPr>
          <w:p w14:paraId="353AEF61"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Paper-based setting descriptions using textbook prompts and instructor modeling; paragraph drafting and revision.</w:t>
            </w:r>
          </w:p>
        </w:tc>
      </w:tr>
      <w:tr w:rsidR="001C5345" w:rsidRPr="009B710A" w14:paraId="3812A748" w14:textId="77777777">
        <w:trPr>
          <w:jc w:val="center"/>
        </w:trPr>
        <w:tc>
          <w:tcPr>
            <w:tcW w:w="2340" w:type="dxa"/>
            <w:vAlign w:val="center"/>
          </w:tcPr>
          <w:p w14:paraId="2222DDD0"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3–4</w:t>
            </w:r>
          </w:p>
        </w:tc>
        <w:tc>
          <w:tcPr>
            <w:tcW w:w="2340" w:type="dxa"/>
            <w:vAlign w:val="center"/>
          </w:tcPr>
          <w:p w14:paraId="2EA43527"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Character development</w:t>
            </w:r>
          </w:p>
        </w:tc>
        <w:tc>
          <w:tcPr>
            <w:tcW w:w="2340" w:type="dxa"/>
            <w:vAlign w:val="center"/>
          </w:tcPr>
          <w:p w14:paraId="6C97E2AC"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Avatar customization and live, embodied character interviews; character sketch drafting; dialogue refinement and peer feedback.</w:t>
            </w:r>
          </w:p>
        </w:tc>
        <w:tc>
          <w:tcPr>
            <w:tcW w:w="2340" w:type="dxa"/>
            <w:vAlign w:val="center"/>
          </w:tcPr>
          <w:p w14:paraId="19DFC198"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Character sketches and in-class role-play interviews; character sketch drafting; dialogue refinement and peer feedback.</w:t>
            </w:r>
          </w:p>
        </w:tc>
      </w:tr>
      <w:tr w:rsidR="001C5345" w:rsidRPr="009B710A" w14:paraId="0E0B7957" w14:textId="77777777">
        <w:trPr>
          <w:jc w:val="center"/>
        </w:trPr>
        <w:tc>
          <w:tcPr>
            <w:tcW w:w="2340" w:type="dxa"/>
            <w:vAlign w:val="center"/>
          </w:tcPr>
          <w:p w14:paraId="3EA83E70"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lastRenderedPageBreak/>
              <w:t>5–6</w:t>
            </w:r>
          </w:p>
        </w:tc>
        <w:tc>
          <w:tcPr>
            <w:tcW w:w="2340" w:type="dxa"/>
            <w:vAlign w:val="center"/>
          </w:tcPr>
          <w:p w14:paraId="57701AE3"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Plot and world-building</w:t>
            </w:r>
          </w:p>
        </w:tc>
        <w:tc>
          <w:tcPr>
            <w:tcW w:w="2340" w:type="dxa"/>
            <w:vAlign w:val="center"/>
          </w:tcPr>
          <w:p w14:paraId="02C46C42"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Collaborative plot mapping using interactive whiteboards and 3D objects; co-creating a short story with real-time peer feedback and revision.</w:t>
            </w:r>
          </w:p>
        </w:tc>
        <w:tc>
          <w:tcPr>
            <w:tcW w:w="2340" w:type="dxa"/>
            <w:vAlign w:val="center"/>
          </w:tcPr>
          <w:p w14:paraId="4479C1C5" w14:textId="77777777" w:rsidR="001C5345" w:rsidRPr="009B710A" w:rsidRDefault="006F09B5" w:rsidP="009B710A">
            <w:pPr>
              <w:spacing w:line="240" w:lineRule="atLeast"/>
              <w:rPr>
                <w:rFonts w:asciiTheme="majorBidi" w:hAnsiTheme="majorBidi" w:cstheme="majorBidi"/>
              </w:rPr>
            </w:pPr>
            <w:r w:rsidRPr="009B710A">
              <w:rPr>
                <w:rFonts w:asciiTheme="majorBidi" w:hAnsiTheme="majorBidi" w:cstheme="majorBidi"/>
              </w:rPr>
              <w:t>Manual plot outlining; group brainstorming and discussion; short-story drafting with peer feedback and revision.</w:t>
            </w:r>
          </w:p>
        </w:tc>
      </w:tr>
    </w:tbl>
    <w:p w14:paraId="693AAFC2"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Note. Both conditions received equivalent scheduled instructional time (6 sessions × 90 minutes) and addressed the same learning outcomes.</w:t>
      </w:r>
    </w:p>
    <w:p w14:paraId="36880DC1" w14:textId="4BF12B67" w:rsidR="001C5345" w:rsidRPr="009B710A" w:rsidRDefault="006F09B5" w:rsidP="00231F5C">
      <w:pPr>
        <w:pStyle w:val="Heading2"/>
        <w:spacing w:before="0" w:line="360" w:lineRule="auto"/>
        <w:jc w:val="center"/>
        <w:rPr>
          <w:rFonts w:asciiTheme="majorBidi" w:hAnsiTheme="majorBidi"/>
        </w:rPr>
      </w:pPr>
      <w:r w:rsidRPr="009B710A">
        <w:rPr>
          <w:rFonts w:asciiTheme="majorBidi" w:hAnsiTheme="majorBidi"/>
        </w:rPr>
        <w:t>Appendix B</w:t>
      </w:r>
    </w:p>
    <w:p w14:paraId="1C8467BA" w14:textId="77777777" w:rsidR="001C5345" w:rsidRPr="009B710A" w:rsidRDefault="006F09B5" w:rsidP="00231F5C">
      <w:pPr>
        <w:pStyle w:val="Heading3"/>
        <w:spacing w:before="0" w:line="360" w:lineRule="auto"/>
        <w:jc w:val="center"/>
        <w:rPr>
          <w:rFonts w:asciiTheme="majorBidi" w:hAnsiTheme="majorBidi"/>
        </w:rPr>
      </w:pPr>
      <w:r w:rsidRPr="009B710A">
        <w:rPr>
          <w:rFonts w:asciiTheme="majorBidi" w:hAnsiTheme="majorBidi"/>
        </w:rPr>
        <w:t>Visual Evidence Package (Figures and What They Represent)</w:t>
      </w:r>
    </w:p>
    <w:p w14:paraId="1E8C1068" w14:textId="20C59D01" w:rsidR="001C5345" w:rsidRPr="009B710A" w:rsidRDefault="00436D7E" w:rsidP="009B710A">
      <w:pPr>
        <w:spacing w:line="360" w:lineRule="auto"/>
        <w:rPr>
          <w:rFonts w:asciiTheme="majorBidi" w:hAnsiTheme="majorBidi" w:cstheme="majorBidi"/>
        </w:rPr>
      </w:pPr>
      <w:r>
        <w:rPr>
          <w:rFonts w:asciiTheme="majorBidi" w:hAnsiTheme="majorBidi" w:cstheme="majorBidi"/>
        </w:rPr>
        <w:t>Images below</w:t>
      </w:r>
      <w:r w:rsidR="006F09B5" w:rsidRPr="009B710A">
        <w:rPr>
          <w:rFonts w:asciiTheme="majorBidi" w:hAnsiTheme="majorBidi" w:cstheme="majorBidi"/>
        </w:rPr>
        <w:t xml:space="preserve"> </w:t>
      </w:r>
      <w:r w:rsidR="00D64CB5">
        <w:rPr>
          <w:rFonts w:asciiTheme="majorBidi" w:hAnsiTheme="majorBidi" w:cstheme="majorBidi"/>
        </w:rPr>
        <w:t>demonstrate</w:t>
      </w:r>
      <w:r w:rsidR="006F09B5" w:rsidRPr="009B710A">
        <w:rPr>
          <w:rFonts w:asciiTheme="majorBidi" w:hAnsiTheme="majorBidi" w:cstheme="majorBidi"/>
        </w:rPr>
        <w:t xml:space="preserve"> the learning environments used in the experimental and control conditions. All identifiers were removed or obscured</w:t>
      </w:r>
      <w:r w:rsidR="00D64CB5">
        <w:rPr>
          <w:rFonts w:asciiTheme="majorBidi" w:hAnsiTheme="majorBidi" w:cstheme="majorBidi"/>
        </w:rPr>
        <w:t xml:space="preserve"> using Gemini</w:t>
      </w:r>
      <w:r w:rsidR="006F09B5" w:rsidRPr="009B710A">
        <w:rPr>
          <w:rFonts w:asciiTheme="majorBidi" w:hAnsiTheme="majorBidi" w:cstheme="majorBidi"/>
        </w:rPr>
        <w:t>.</w:t>
      </w:r>
    </w:p>
    <w:p w14:paraId="7E5E2458" w14:textId="55C0439B" w:rsidR="001C5345" w:rsidRPr="009B710A" w:rsidRDefault="00436D7E" w:rsidP="009B710A">
      <w:pPr>
        <w:spacing w:line="360" w:lineRule="auto"/>
        <w:rPr>
          <w:rFonts w:asciiTheme="majorBidi" w:hAnsiTheme="majorBidi" w:cstheme="majorBidi"/>
        </w:rPr>
      </w:pPr>
      <w:r>
        <w:rPr>
          <w:rFonts w:asciiTheme="majorBidi" w:hAnsiTheme="majorBidi" w:cstheme="majorBidi"/>
          <w:b/>
        </w:rPr>
        <w:t>Image</w:t>
      </w:r>
      <w:r w:rsidR="00CA0D39">
        <w:rPr>
          <w:rFonts w:asciiTheme="majorBidi" w:hAnsiTheme="majorBidi" w:cstheme="majorBidi"/>
          <w:b/>
        </w:rPr>
        <w:t>s 1 &amp; 2</w:t>
      </w:r>
    </w:p>
    <w:p w14:paraId="7CA53781"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FrameVR.io Immersive Setting Used for Setting and Atmosphere Tasks (Weeks 1–2)</w:t>
      </w:r>
    </w:p>
    <w:p w14:paraId="694F53A9" w14:textId="369A6A14" w:rsidR="001C5345" w:rsidRPr="009B710A" w:rsidRDefault="00436D7E" w:rsidP="009B710A">
      <w:pPr>
        <w:spacing w:line="360" w:lineRule="auto"/>
        <w:rPr>
          <w:rFonts w:asciiTheme="majorBidi" w:hAnsiTheme="majorBidi" w:cstheme="majorBidi"/>
        </w:rPr>
      </w:pPr>
      <w:r>
        <w:rPr>
          <w:rFonts w:asciiTheme="majorBidi" w:hAnsiTheme="majorBidi" w:cstheme="majorBidi"/>
          <w:noProof/>
        </w:rPr>
        <w:drawing>
          <wp:inline distT="0" distB="0" distL="0" distR="0" wp14:anchorId="205EDB58" wp14:editId="6891A601">
            <wp:extent cx="5935980" cy="2880360"/>
            <wp:effectExtent l="0" t="0" r="7620" b="0"/>
            <wp:docPr id="1420693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2880360"/>
                    </a:xfrm>
                    <a:prstGeom prst="rect">
                      <a:avLst/>
                    </a:prstGeom>
                    <a:noFill/>
                    <a:ln>
                      <a:noFill/>
                    </a:ln>
                  </pic:spPr>
                </pic:pic>
              </a:graphicData>
            </a:graphic>
          </wp:inline>
        </w:drawing>
      </w:r>
    </w:p>
    <w:p w14:paraId="3CB674FF" w14:textId="7409B85E" w:rsidR="002366B9" w:rsidRPr="009B710A" w:rsidRDefault="00CA0D39" w:rsidP="009B710A">
      <w:pPr>
        <w:spacing w:line="360" w:lineRule="auto"/>
        <w:rPr>
          <w:rFonts w:asciiTheme="majorBidi" w:hAnsiTheme="majorBidi" w:cstheme="majorBidi"/>
        </w:rPr>
      </w:pPr>
      <w:r>
        <w:rPr>
          <w:noProof/>
        </w:rPr>
        <w:lastRenderedPageBreak/>
        <w:drawing>
          <wp:inline distT="0" distB="0" distL="0" distR="0" wp14:anchorId="33F2DF97" wp14:editId="2E0B9357">
            <wp:extent cx="5943600" cy="5915025"/>
            <wp:effectExtent l="0" t="0" r="0" b="9525"/>
            <wp:docPr id="2143511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4BEE7DBB" w14:textId="5CA9DFFB" w:rsidR="00CA0D39" w:rsidRDefault="00CA0D39" w:rsidP="00CA0D39">
      <w:pPr>
        <w:spacing w:line="360" w:lineRule="auto"/>
        <w:rPr>
          <w:rFonts w:asciiTheme="majorBidi" w:hAnsiTheme="majorBidi" w:cstheme="majorBidi"/>
        </w:rPr>
      </w:pPr>
      <w:r w:rsidRPr="009B710A">
        <w:rPr>
          <w:rFonts w:asciiTheme="majorBidi" w:hAnsiTheme="majorBidi" w:cstheme="majorBidi"/>
        </w:rPr>
        <w:t xml:space="preserve">Note. </w:t>
      </w:r>
      <w:r>
        <w:rPr>
          <w:rFonts w:asciiTheme="majorBidi" w:hAnsiTheme="majorBidi" w:cstheme="majorBidi"/>
        </w:rPr>
        <w:t>Image</w:t>
      </w:r>
      <w:r>
        <w:rPr>
          <w:rFonts w:asciiTheme="majorBidi" w:hAnsiTheme="majorBidi" w:cstheme="majorBidi"/>
        </w:rPr>
        <w:t>s</w:t>
      </w:r>
      <w:r w:rsidRPr="009B710A">
        <w:rPr>
          <w:rFonts w:asciiTheme="majorBidi" w:hAnsiTheme="majorBidi" w:cstheme="majorBidi"/>
        </w:rPr>
        <w:t xml:space="preserve"> show avatar</w:t>
      </w:r>
      <w:r>
        <w:rPr>
          <w:rFonts w:asciiTheme="majorBidi" w:hAnsiTheme="majorBidi" w:cstheme="majorBidi"/>
        </w:rPr>
        <w:t>s</w:t>
      </w:r>
      <w:r w:rsidRPr="009B710A">
        <w:rPr>
          <w:rFonts w:asciiTheme="majorBidi" w:hAnsiTheme="majorBidi" w:cstheme="majorBidi"/>
        </w:rPr>
        <w:t xml:space="preserve"> in a thematically rich virtual environment used as a stimulus for multi-sensory description and setting construction. Identifiers anonymized.</w:t>
      </w:r>
    </w:p>
    <w:p w14:paraId="521CB1D8" w14:textId="77777777" w:rsidR="001C5345" w:rsidRPr="009B710A" w:rsidRDefault="001C5345" w:rsidP="009B710A">
      <w:pPr>
        <w:spacing w:line="360" w:lineRule="auto"/>
        <w:rPr>
          <w:rFonts w:asciiTheme="majorBidi" w:hAnsiTheme="majorBidi" w:cstheme="majorBidi"/>
        </w:rPr>
      </w:pPr>
    </w:p>
    <w:p w14:paraId="76CBBFFB" w14:textId="77777777" w:rsidR="009B710A" w:rsidRPr="009B710A" w:rsidRDefault="009B710A" w:rsidP="009B710A">
      <w:pPr>
        <w:spacing w:line="360" w:lineRule="auto"/>
        <w:rPr>
          <w:rFonts w:asciiTheme="majorBidi" w:hAnsiTheme="majorBidi" w:cstheme="majorBidi"/>
          <w:b/>
        </w:rPr>
      </w:pPr>
    </w:p>
    <w:p w14:paraId="2F33B0E5" w14:textId="77777777" w:rsidR="009B710A" w:rsidRPr="009B710A" w:rsidRDefault="009B710A" w:rsidP="009B710A">
      <w:pPr>
        <w:spacing w:line="360" w:lineRule="auto"/>
        <w:rPr>
          <w:rFonts w:asciiTheme="majorBidi" w:hAnsiTheme="majorBidi" w:cstheme="majorBidi"/>
          <w:b/>
        </w:rPr>
      </w:pPr>
    </w:p>
    <w:p w14:paraId="7FD0B059" w14:textId="77777777" w:rsidR="009B710A" w:rsidRPr="009B710A" w:rsidRDefault="009B710A" w:rsidP="009B710A">
      <w:pPr>
        <w:spacing w:line="360" w:lineRule="auto"/>
        <w:rPr>
          <w:rFonts w:asciiTheme="majorBidi" w:hAnsiTheme="majorBidi" w:cstheme="majorBidi"/>
          <w:b/>
        </w:rPr>
      </w:pPr>
    </w:p>
    <w:p w14:paraId="07C4F633" w14:textId="77777777" w:rsidR="00CA0D39" w:rsidRDefault="00CA0D39" w:rsidP="009B710A">
      <w:pPr>
        <w:spacing w:line="360" w:lineRule="auto"/>
        <w:rPr>
          <w:rFonts w:asciiTheme="majorBidi" w:hAnsiTheme="majorBidi" w:cstheme="majorBidi"/>
          <w:b/>
        </w:rPr>
      </w:pPr>
    </w:p>
    <w:p w14:paraId="01D5AC49" w14:textId="77777777" w:rsidR="00CA0D39" w:rsidRDefault="00CA0D39" w:rsidP="009B710A">
      <w:pPr>
        <w:spacing w:line="360" w:lineRule="auto"/>
        <w:rPr>
          <w:rFonts w:asciiTheme="majorBidi" w:hAnsiTheme="majorBidi" w:cstheme="majorBidi"/>
          <w:b/>
        </w:rPr>
      </w:pPr>
    </w:p>
    <w:p w14:paraId="31DF878F" w14:textId="2A25A91E" w:rsidR="001C5345" w:rsidRPr="009B710A" w:rsidRDefault="00436D7E" w:rsidP="009B710A">
      <w:pPr>
        <w:spacing w:line="360" w:lineRule="auto"/>
        <w:rPr>
          <w:rFonts w:asciiTheme="majorBidi" w:hAnsiTheme="majorBidi" w:cstheme="majorBidi"/>
        </w:rPr>
      </w:pPr>
      <w:r>
        <w:rPr>
          <w:rFonts w:asciiTheme="majorBidi" w:hAnsiTheme="majorBidi" w:cstheme="majorBidi"/>
          <w:b/>
        </w:rPr>
        <w:lastRenderedPageBreak/>
        <w:t>Image</w:t>
      </w:r>
      <w:r w:rsidR="006F09B5" w:rsidRPr="009B710A">
        <w:rPr>
          <w:rFonts w:asciiTheme="majorBidi" w:hAnsiTheme="majorBidi" w:cstheme="majorBidi"/>
          <w:b/>
        </w:rPr>
        <w:t xml:space="preserve"> </w:t>
      </w:r>
      <w:r>
        <w:rPr>
          <w:rFonts w:asciiTheme="majorBidi" w:hAnsiTheme="majorBidi" w:cstheme="majorBidi"/>
          <w:b/>
        </w:rPr>
        <w:t>2</w:t>
      </w:r>
    </w:p>
    <w:p w14:paraId="6760357D"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FrameVR.io Collaborative Workspace Used for Plot Mapping and Co-authoring (Weeks 5–6)</w:t>
      </w:r>
    </w:p>
    <w:p w14:paraId="70F0F39E" w14:textId="13E78D98" w:rsidR="001C5345" w:rsidRPr="009B710A" w:rsidRDefault="009B710A" w:rsidP="009B710A">
      <w:pPr>
        <w:spacing w:line="360" w:lineRule="auto"/>
        <w:rPr>
          <w:rFonts w:asciiTheme="majorBidi" w:hAnsiTheme="majorBidi" w:cstheme="majorBidi"/>
        </w:rPr>
      </w:pPr>
      <w:r w:rsidRPr="009B710A">
        <w:rPr>
          <w:rFonts w:asciiTheme="majorBidi" w:hAnsiTheme="majorBidi" w:cstheme="majorBidi"/>
          <w:noProof/>
        </w:rPr>
        <w:drawing>
          <wp:inline distT="0" distB="0" distL="0" distR="0" wp14:anchorId="5AB1A8F3" wp14:editId="027500AF">
            <wp:extent cx="5935980" cy="2819400"/>
            <wp:effectExtent l="0" t="0" r="7620" b="0"/>
            <wp:docPr id="45024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2320"/>
                    <a:stretch>
                      <a:fillRect/>
                    </a:stretch>
                  </pic:blipFill>
                  <pic:spPr bwMode="auto">
                    <a:xfrm>
                      <a:off x="0" y="0"/>
                      <a:ext cx="593598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66BEF439" w14:textId="4D06587D" w:rsidR="001C5345" w:rsidRPr="002B1121" w:rsidRDefault="006F09B5" w:rsidP="009B710A">
      <w:pPr>
        <w:spacing w:line="360" w:lineRule="auto"/>
        <w:rPr>
          <w:rFonts w:asciiTheme="majorBidi" w:hAnsiTheme="majorBidi" w:cstheme="majorBidi"/>
          <w:sz w:val="20"/>
          <w:szCs w:val="20"/>
        </w:rPr>
      </w:pPr>
      <w:r w:rsidRPr="002B1121">
        <w:rPr>
          <w:rFonts w:asciiTheme="majorBidi" w:hAnsiTheme="majorBidi" w:cstheme="majorBidi"/>
          <w:sz w:val="20"/>
          <w:szCs w:val="20"/>
        </w:rPr>
        <w:t xml:space="preserve">Note. </w:t>
      </w:r>
      <w:r w:rsidR="009B710A" w:rsidRPr="002B1121">
        <w:rPr>
          <w:rFonts w:asciiTheme="majorBidi" w:hAnsiTheme="majorBidi" w:cstheme="majorBidi"/>
          <w:sz w:val="20"/>
          <w:szCs w:val="20"/>
        </w:rPr>
        <w:t>Image</w:t>
      </w:r>
      <w:r w:rsidRPr="002B1121">
        <w:rPr>
          <w:rFonts w:asciiTheme="majorBidi" w:hAnsiTheme="majorBidi" w:cstheme="majorBidi"/>
          <w:sz w:val="20"/>
          <w:szCs w:val="20"/>
        </w:rPr>
        <w:t xml:space="preserve"> shows shared space with interactive whiteboards and collaborative planning surfaces used for outlining and co-creating short narratives. Identifiers anonymized.</w:t>
      </w:r>
    </w:p>
    <w:p w14:paraId="55E3FA13" w14:textId="1E2F7B7F" w:rsidR="001C5345" w:rsidRPr="009B710A" w:rsidRDefault="00436D7E" w:rsidP="009B710A">
      <w:pPr>
        <w:spacing w:line="360" w:lineRule="auto"/>
        <w:rPr>
          <w:rFonts w:asciiTheme="majorBidi" w:hAnsiTheme="majorBidi" w:cstheme="majorBidi"/>
        </w:rPr>
      </w:pPr>
      <w:r>
        <w:rPr>
          <w:rFonts w:asciiTheme="majorBidi" w:hAnsiTheme="majorBidi" w:cstheme="majorBidi"/>
          <w:b/>
        </w:rPr>
        <w:t>Image 3</w:t>
      </w:r>
    </w:p>
    <w:p w14:paraId="25FD9561"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Conventional Classroom Setting for the Control Group Under Standardized Writing Conditions</w:t>
      </w:r>
    </w:p>
    <w:p w14:paraId="0C5861FD" w14:textId="77777777" w:rsidR="001C5345" w:rsidRDefault="006F09B5" w:rsidP="002B1121">
      <w:pPr>
        <w:spacing w:line="360" w:lineRule="auto"/>
        <w:jc w:val="center"/>
        <w:rPr>
          <w:rFonts w:asciiTheme="majorBidi" w:hAnsiTheme="majorBidi" w:cstheme="majorBidi"/>
        </w:rPr>
      </w:pPr>
      <w:r w:rsidRPr="009B710A">
        <w:rPr>
          <w:rFonts w:asciiTheme="majorBidi" w:hAnsiTheme="majorBidi" w:cstheme="majorBidi"/>
          <w:noProof/>
        </w:rPr>
        <w:drawing>
          <wp:inline distT="0" distB="0" distL="0" distR="0" wp14:anchorId="4A3E72BF" wp14:editId="47CAFD13">
            <wp:extent cx="4945380" cy="32232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rotWithShape="1">
                    <a:blip r:embed="rId9"/>
                    <a:srcRect r="29030"/>
                    <a:stretch>
                      <a:fillRect/>
                    </a:stretch>
                  </pic:blipFill>
                  <pic:spPr bwMode="auto">
                    <a:xfrm>
                      <a:off x="0" y="0"/>
                      <a:ext cx="4945587" cy="3223395"/>
                    </a:xfrm>
                    <a:prstGeom prst="rect">
                      <a:avLst/>
                    </a:prstGeom>
                    <a:ln>
                      <a:noFill/>
                    </a:ln>
                    <a:extLst>
                      <a:ext uri="{53640926-AAD7-44D8-BBD7-CCE9431645EC}">
                        <a14:shadowObscured xmlns:a14="http://schemas.microsoft.com/office/drawing/2010/main"/>
                      </a:ext>
                    </a:extLst>
                  </pic:spPr>
                </pic:pic>
              </a:graphicData>
            </a:graphic>
          </wp:inline>
        </w:drawing>
      </w:r>
    </w:p>
    <w:p w14:paraId="35B3DFC8" w14:textId="77777777" w:rsidR="001C5345" w:rsidRDefault="006F09B5" w:rsidP="009B710A">
      <w:pPr>
        <w:spacing w:line="360" w:lineRule="auto"/>
        <w:rPr>
          <w:rFonts w:asciiTheme="majorBidi" w:hAnsiTheme="majorBidi" w:cstheme="majorBidi"/>
          <w:sz w:val="22"/>
        </w:rPr>
      </w:pPr>
      <w:r w:rsidRPr="002B1121">
        <w:rPr>
          <w:rFonts w:asciiTheme="majorBidi" w:hAnsiTheme="majorBidi" w:cstheme="majorBidi"/>
          <w:sz w:val="22"/>
        </w:rPr>
        <w:t>Note. Photo taken from the back of a standard university classroom. Students completed paper-based creative writing tasks aligned with the weekly lesson structure. Identifiers anonymized.</w:t>
      </w:r>
    </w:p>
    <w:p w14:paraId="10CB7DD7" w14:textId="77777777" w:rsidR="00BC5D80" w:rsidRDefault="00BC5D80" w:rsidP="009B710A">
      <w:pPr>
        <w:spacing w:line="360" w:lineRule="auto"/>
        <w:rPr>
          <w:rFonts w:asciiTheme="majorBidi" w:hAnsiTheme="majorBidi" w:cstheme="majorBidi"/>
          <w:sz w:val="22"/>
        </w:rPr>
      </w:pPr>
    </w:p>
    <w:p w14:paraId="5333CC00" w14:textId="0525EEBA" w:rsidR="00BC5D80" w:rsidRPr="002B1121" w:rsidRDefault="00BC5D80" w:rsidP="009B710A">
      <w:pPr>
        <w:spacing w:line="360" w:lineRule="auto"/>
        <w:rPr>
          <w:rFonts w:asciiTheme="majorBidi" w:hAnsiTheme="majorBidi" w:cstheme="majorBidi"/>
          <w:sz w:val="22"/>
        </w:rPr>
      </w:pPr>
      <w:r>
        <w:rPr>
          <w:noProof/>
        </w:rPr>
        <w:drawing>
          <wp:inline distT="0" distB="0" distL="0" distR="0" wp14:anchorId="1B43F711" wp14:editId="42691084">
            <wp:extent cx="5943600" cy="5943600"/>
            <wp:effectExtent l="0" t="0" r="0" b="0"/>
            <wp:docPr id="1184649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BBA2A50" w14:textId="590E9272" w:rsidR="007C1542" w:rsidRDefault="00BD53ED" w:rsidP="007C1542">
      <w:pPr>
        <w:rPr>
          <w:rFonts w:asciiTheme="majorBidi" w:hAnsiTheme="majorBidi" w:cstheme="majorBidi"/>
        </w:rPr>
      </w:pPr>
      <w:r>
        <w:rPr>
          <w:rFonts w:asciiTheme="majorBidi" w:hAnsiTheme="majorBidi"/>
        </w:rPr>
        <w:t>Note. I</w:t>
      </w:r>
      <w:r w:rsidRPr="00BD53ED">
        <w:rPr>
          <w:rFonts w:asciiTheme="majorBidi" w:hAnsiTheme="majorBidi"/>
        </w:rPr>
        <w:t>mage depicts a modern, high-tech university lecture hall, blending traditional academic settings with futuristic digital o</w:t>
      </w:r>
      <w:r w:rsidR="00C96D94">
        <w:rPr>
          <w:rFonts w:asciiTheme="majorBidi" w:hAnsiTheme="majorBidi"/>
        </w:rPr>
        <w:t>2</w:t>
      </w:r>
      <w:r w:rsidRPr="00BD53ED">
        <w:rPr>
          <w:rFonts w:asciiTheme="majorBidi" w:hAnsiTheme="majorBidi"/>
        </w:rPr>
        <w:t>verlays.</w:t>
      </w:r>
      <w:r w:rsidR="00C96D94">
        <w:rPr>
          <w:rFonts w:asciiTheme="majorBidi" w:hAnsiTheme="majorBidi"/>
        </w:rPr>
        <w:t xml:space="preserve"> </w:t>
      </w:r>
      <w:r w:rsidR="007C1542" w:rsidRPr="009A07B9">
        <w:rPr>
          <w:rFonts w:asciiTheme="majorBidi" w:hAnsiTheme="majorBidi" w:cstheme="majorBidi"/>
          <w:b/>
          <w:bCs/>
        </w:rPr>
        <w:t>(Experimental—Collaboration).</w:t>
      </w:r>
      <w:r w:rsidR="007C1542" w:rsidRPr="009A07B9">
        <w:rPr>
          <w:rFonts w:asciiTheme="majorBidi" w:hAnsiTheme="majorBidi" w:cstheme="majorBidi"/>
        </w:rPr>
        <w:t xml:space="preserve"> </w:t>
      </w:r>
      <w:r w:rsidR="007C1542">
        <w:rPr>
          <w:rFonts w:asciiTheme="majorBidi" w:hAnsiTheme="majorBidi" w:cstheme="majorBidi"/>
        </w:rPr>
        <w:t>AI-Enhanced Photo</w:t>
      </w:r>
      <w:r w:rsidR="007C1542" w:rsidRPr="009A07B9">
        <w:rPr>
          <w:rFonts w:asciiTheme="majorBidi" w:hAnsiTheme="majorBidi" w:cstheme="majorBidi"/>
        </w:rPr>
        <w:t xml:space="preserve"> of the shared virtual space showing students using interactive whiteboards / shared planning surfaces for collaborative outlining or plot mapping.</w:t>
      </w:r>
    </w:p>
    <w:p w14:paraId="72EBADE8" w14:textId="1FF5F8C2" w:rsidR="00BC5D80" w:rsidRDefault="00BC5D80" w:rsidP="00BD53ED">
      <w:pPr>
        <w:spacing w:after="200" w:line="276" w:lineRule="auto"/>
        <w:rPr>
          <w:rFonts w:asciiTheme="majorBidi" w:eastAsiaTheme="majorEastAsia" w:hAnsiTheme="majorBidi" w:cstheme="majorBidi"/>
          <w:b/>
          <w:bCs/>
          <w:sz w:val="26"/>
          <w:szCs w:val="26"/>
        </w:rPr>
      </w:pPr>
      <w:r>
        <w:rPr>
          <w:rFonts w:asciiTheme="majorBidi" w:hAnsiTheme="majorBidi"/>
        </w:rPr>
        <w:br w:type="page"/>
      </w:r>
    </w:p>
    <w:p w14:paraId="2AF0E3BC" w14:textId="53AB6FC5" w:rsidR="001C5345" w:rsidRPr="009B710A" w:rsidRDefault="006F09B5" w:rsidP="002B1121">
      <w:pPr>
        <w:pStyle w:val="Heading2"/>
        <w:spacing w:before="0" w:line="360" w:lineRule="auto"/>
        <w:jc w:val="center"/>
        <w:rPr>
          <w:rFonts w:asciiTheme="majorBidi" w:hAnsiTheme="majorBidi"/>
        </w:rPr>
      </w:pPr>
      <w:r w:rsidRPr="009B710A">
        <w:rPr>
          <w:rFonts w:asciiTheme="majorBidi" w:hAnsiTheme="majorBidi"/>
        </w:rPr>
        <w:lastRenderedPageBreak/>
        <w:t>Appendix C</w:t>
      </w:r>
    </w:p>
    <w:p w14:paraId="765D6621" w14:textId="77777777" w:rsidR="001C5345" w:rsidRPr="009B710A" w:rsidRDefault="006F09B5" w:rsidP="002B1121">
      <w:pPr>
        <w:pStyle w:val="Heading3"/>
        <w:spacing w:before="0" w:line="360" w:lineRule="auto"/>
        <w:jc w:val="center"/>
        <w:rPr>
          <w:rFonts w:asciiTheme="majorBidi" w:hAnsiTheme="majorBidi"/>
        </w:rPr>
      </w:pPr>
      <w:r w:rsidRPr="009B710A">
        <w:rPr>
          <w:rFonts w:asciiTheme="majorBidi" w:hAnsiTheme="majorBidi"/>
        </w:rPr>
        <w:t>Implementation Evidence Table (Intervention Fidelity Log)</w:t>
      </w:r>
    </w:p>
    <w:p w14:paraId="78240116"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This teacher checklist documents that both groups covered identical core writing components across the six-week program and that sessions were delivered as scheduled.</w:t>
      </w:r>
    </w:p>
    <w:p w14:paraId="184AA800" w14:textId="3E01C865"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b/>
        </w:rPr>
        <w:t xml:space="preserve">Table </w:t>
      </w:r>
      <w:r w:rsidR="00981851">
        <w:rPr>
          <w:rFonts w:asciiTheme="majorBidi" w:hAnsiTheme="majorBidi" w:cstheme="majorBidi"/>
          <w:b/>
        </w:rPr>
        <w:t>1</w:t>
      </w:r>
    </w:p>
    <w:p w14:paraId="031BB6FC"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Weekly Intervention Fidelity Log (Teacher Checklist)</w:t>
      </w:r>
    </w:p>
    <w:tbl>
      <w:tblPr>
        <w:tblW w:w="0" w:type="auto"/>
        <w:jc w:val="center"/>
        <w:tblBorders>
          <w:top w:val="single" w:sz="8" w:space="0" w:color="000000"/>
          <w:left w:val="nil"/>
          <w:bottom w:val="single" w:sz="8" w:space="0" w:color="000000"/>
          <w:right w:val="nil"/>
          <w:insideH w:val="nil"/>
          <w:insideV w:val="nil"/>
        </w:tblBorders>
        <w:tblLook w:val="04A0" w:firstRow="1" w:lastRow="0" w:firstColumn="1" w:lastColumn="0" w:noHBand="0" w:noVBand="1"/>
      </w:tblPr>
      <w:tblGrid>
        <w:gridCol w:w="1276"/>
        <w:gridCol w:w="2168"/>
        <w:gridCol w:w="2083"/>
        <w:gridCol w:w="2553"/>
        <w:gridCol w:w="1280"/>
      </w:tblGrid>
      <w:tr w:rsidR="001C5345" w:rsidRPr="009B710A" w14:paraId="3BE49C24" w14:textId="77777777" w:rsidTr="0067270A">
        <w:trPr>
          <w:jc w:val="center"/>
        </w:trPr>
        <w:tc>
          <w:tcPr>
            <w:tcW w:w="1276" w:type="dxa"/>
            <w:tcBorders>
              <w:bottom w:val="single" w:sz="8" w:space="0" w:color="000000"/>
            </w:tcBorders>
            <w:vAlign w:val="center"/>
          </w:tcPr>
          <w:p w14:paraId="594790C0"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b/>
              </w:rPr>
              <w:t>Week</w:t>
            </w:r>
          </w:p>
        </w:tc>
        <w:tc>
          <w:tcPr>
            <w:tcW w:w="2168" w:type="dxa"/>
            <w:tcBorders>
              <w:bottom w:val="single" w:sz="8" w:space="0" w:color="000000"/>
            </w:tcBorders>
            <w:vAlign w:val="center"/>
          </w:tcPr>
          <w:p w14:paraId="2989003A"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b/>
              </w:rPr>
              <w:t>Core writing focus</w:t>
            </w:r>
          </w:p>
        </w:tc>
        <w:tc>
          <w:tcPr>
            <w:tcW w:w="2083" w:type="dxa"/>
            <w:tcBorders>
              <w:bottom w:val="single" w:sz="8" w:space="0" w:color="000000"/>
            </w:tcBorders>
            <w:vAlign w:val="center"/>
          </w:tcPr>
          <w:p w14:paraId="07DA7FD3"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b/>
              </w:rPr>
              <w:t>Experimental (FrameVR.io) – planned components</w:t>
            </w:r>
          </w:p>
        </w:tc>
        <w:tc>
          <w:tcPr>
            <w:tcW w:w="2553" w:type="dxa"/>
            <w:tcBorders>
              <w:bottom w:val="single" w:sz="8" w:space="0" w:color="000000"/>
            </w:tcBorders>
            <w:vAlign w:val="center"/>
          </w:tcPr>
          <w:p w14:paraId="64667174"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b/>
              </w:rPr>
              <w:t>Control (traditional) – planned components</w:t>
            </w:r>
          </w:p>
        </w:tc>
        <w:tc>
          <w:tcPr>
            <w:tcW w:w="1280" w:type="dxa"/>
            <w:tcBorders>
              <w:bottom w:val="single" w:sz="8" w:space="0" w:color="000000"/>
            </w:tcBorders>
            <w:vAlign w:val="center"/>
          </w:tcPr>
          <w:p w14:paraId="491B6AFF"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b/>
              </w:rPr>
              <w:t>Status</w:t>
            </w:r>
          </w:p>
        </w:tc>
      </w:tr>
      <w:tr w:rsidR="001C5345" w:rsidRPr="009B710A" w14:paraId="12FF4A16" w14:textId="77777777" w:rsidTr="0067270A">
        <w:trPr>
          <w:jc w:val="center"/>
        </w:trPr>
        <w:tc>
          <w:tcPr>
            <w:tcW w:w="1276" w:type="dxa"/>
            <w:vAlign w:val="center"/>
          </w:tcPr>
          <w:p w14:paraId="4C46F34F"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1</w:t>
            </w:r>
          </w:p>
        </w:tc>
        <w:tc>
          <w:tcPr>
            <w:tcW w:w="2168" w:type="dxa"/>
            <w:vAlign w:val="center"/>
          </w:tcPr>
          <w:p w14:paraId="58F0FC8F"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Setting and atmosphere</w:t>
            </w:r>
          </w:p>
        </w:tc>
        <w:tc>
          <w:tcPr>
            <w:tcW w:w="2083" w:type="dxa"/>
            <w:vAlign w:val="center"/>
          </w:tcPr>
          <w:p w14:paraId="3015D224"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3D world exploration; sensory vocabulary prompts; paragraph drafting</w:t>
            </w:r>
          </w:p>
        </w:tc>
        <w:tc>
          <w:tcPr>
            <w:tcW w:w="2553" w:type="dxa"/>
            <w:vAlign w:val="center"/>
          </w:tcPr>
          <w:p w14:paraId="502B80E6"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Instructor modeling; paper-based setting prompts; paragraph drafting</w:t>
            </w:r>
          </w:p>
        </w:tc>
        <w:tc>
          <w:tcPr>
            <w:tcW w:w="1280" w:type="dxa"/>
            <w:vAlign w:val="center"/>
          </w:tcPr>
          <w:p w14:paraId="2FFCDEE2"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Completed</w:t>
            </w:r>
          </w:p>
        </w:tc>
      </w:tr>
      <w:tr w:rsidR="001C5345" w:rsidRPr="009B710A" w14:paraId="631785BD" w14:textId="77777777" w:rsidTr="0067270A">
        <w:trPr>
          <w:jc w:val="center"/>
        </w:trPr>
        <w:tc>
          <w:tcPr>
            <w:tcW w:w="1276" w:type="dxa"/>
            <w:vAlign w:val="center"/>
          </w:tcPr>
          <w:p w14:paraId="66C9FA7E"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2</w:t>
            </w:r>
          </w:p>
        </w:tc>
        <w:tc>
          <w:tcPr>
            <w:tcW w:w="2168" w:type="dxa"/>
            <w:vAlign w:val="center"/>
          </w:tcPr>
          <w:p w14:paraId="6D9B9F11"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Setting and atmosphere</w:t>
            </w:r>
          </w:p>
        </w:tc>
        <w:tc>
          <w:tcPr>
            <w:tcW w:w="2083" w:type="dxa"/>
            <w:vAlign w:val="center"/>
          </w:tcPr>
          <w:p w14:paraId="06325394"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Mood/atmosphere scaffolds; peer sharing; revision pass</w:t>
            </w:r>
          </w:p>
        </w:tc>
        <w:tc>
          <w:tcPr>
            <w:tcW w:w="2553" w:type="dxa"/>
            <w:vAlign w:val="center"/>
          </w:tcPr>
          <w:p w14:paraId="53BD06BE"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Mood/atmosphere mini-lesson; peer discussion; revision pass</w:t>
            </w:r>
          </w:p>
        </w:tc>
        <w:tc>
          <w:tcPr>
            <w:tcW w:w="1280" w:type="dxa"/>
            <w:vAlign w:val="center"/>
          </w:tcPr>
          <w:p w14:paraId="15B886C9"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Completed</w:t>
            </w:r>
          </w:p>
        </w:tc>
      </w:tr>
      <w:tr w:rsidR="001C5345" w:rsidRPr="009B710A" w14:paraId="6BBA233E" w14:textId="77777777" w:rsidTr="0067270A">
        <w:trPr>
          <w:jc w:val="center"/>
        </w:trPr>
        <w:tc>
          <w:tcPr>
            <w:tcW w:w="1276" w:type="dxa"/>
            <w:vAlign w:val="center"/>
          </w:tcPr>
          <w:p w14:paraId="187290C2"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3</w:t>
            </w:r>
          </w:p>
        </w:tc>
        <w:tc>
          <w:tcPr>
            <w:tcW w:w="2168" w:type="dxa"/>
            <w:vAlign w:val="center"/>
          </w:tcPr>
          <w:p w14:paraId="7E2827EE"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Character development</w:t>
            </w:r>
          </w:p>
        </w:tc>
        <w:tc>
          <w:tcPr>
            <w:tcW w:w="2083" w:type="dxa"/>
            <w:vAlign w:val="center"/>
          </w:tcPr>
          <w:p w14:paraId="6590E446"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Avatar persona prompts; character interview dialogue task</w:t>
            </w:r>
          </w:p>
        </w:tc>
        <w:tc>
          <w:tcPr>
            <w:tcW w:w="2553" w:type="dxa"/>
            <w:vAlign w:val="center"/>
          </w:tcPr>
          <w:p w14:paraId="0292335D"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Character sketch worksheet; peer interview role-play</w:t>
            </w:r>
          </w:p>
        </w:tc>
        <w:tc>
          <w:tcPr>
            <w:tcW w:w="1280" w:type="dxa"/>
            <w:vAlign w:val="center"/>
          </w:tcPr>
          <w:p w14:paraId="3DC939C6"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Completed</w:t>
            </w:r>
          </w:p>
        </w:tc>
      </w:tr>
      <w:tr w:rsidR="001C5345" w:rsidRPr="009B710A" w14:paraId="66EB38A1" w14:textId="77777777" w:rsidTr="0067270A">
        <w:trPr>
          <w:jc w:val="center"/>
        </w:trPr>
        <w:tc>
          <w:tcPr>
            <w:tcW w:w="1276" w:type="dxa"/>
            <w:vAlign w:val="center"/>
          </w:tcPr>
          <w:p w14:paraId="5EE6E8D9"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4</w:t>
            </w:r>
          </w:p>
        </w:tc>
        <w:tc>
          <w:tcPr>
            <w:tcW w:w="2168" w:type="dxa"/>
            <w:vAlign w:val="center"/>
          </w:tcPr>
          <w:p w14:paraId="5B7FB940"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Character development</w:t>
            </w:r>
          </w:p>
        </w:tc>
        <w:tc>
          <w:tcPr>
            <w:tcW w:w="2083" w:type="dxa"/>
            <w:vAlign w:val="center"/>
          </w:tcPr>
          <w:p w14:paraId="4DF2C615"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Motivation/conflict prompts; dialogue refinement; peer feedback</w:t>
            </w:r>
          </w:p>
        </w:tc>
        <w:tc>
          <w:tcPr>
            <w:tcW w:w="2553" w:type="dxa"/>
            <w:vAlign w:val="center"/>
          </w:tcPr>
          <w:p w14:paraId="75A5FACD"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Motivation/conflict worksheet; dialogue refinement; peer feedback</w:t>
            </w:r>
          </w:p>
        </w:tc>
        <w:tc>
          <w:tcPr>
            <w:tcW w:w="1280" w:type="dxa"/>
            <w:vAlign w:val="center"/>
          </w:tcPr>
          <w:p w14:paraId="7B938F3E"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Completed</w:t>
            </w:r>
          </w:p>
        </w:tc>
      </w:tr>
      <w:tr w:rsidR="001C5345" w:rsidRPr="009B710A" w14:paraId="3B7867D0" w14:textId="77777777" w:rsidTr="0067270A">
        <w:trPr>
          <w:jc w:val="center"/>
        </w:trPr>
        <w:tc>
          <w:tcPr>
            <w:tcW w:w="1276" w:type="dxa"/>
            <w:vAlign w:val="center"/>
          </w:tcPr>
          <w:p w14:paraId="68E8631C"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5</w:t>
            </w:r>
          </w:p>
        </w:tc>
        <w:tc>
          <w:tcPr>
            <w:tcW w:w="2168" w:type="dxa"/>
            <w:vAlign w:val="center"/>
          </w:tcPr>
          <w:p w14:paraId="362F1538"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Plot and world-building</w:t>
            </w:r>
          </w:p>
        </w:tc>
        <w:tc>
          <w:tcPr>
            <w:tcW w:w="2083" w:type="dxa"/>
            <w:vAlign w:val="center"/>
          </w:tcPr>
          <w:p w14:paraId="474DDC56"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Plot mapping on shared whiteboard; object-supported planning; draft outline</w:t>
            </w:r>
          </w:p>
        </w:tc>
        <w:tc>
          <w:tcPr>
            <w:tcW w:w="2553" w:type="dxa"/>
            <w:vAlign w:val="center"/>
          </w:tcPr>
          <w:p w14:paraId="110AA4AA"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Plot outline worksheet; group brainstorming; draft outline</w:t>
            </w:r>
          </w:p>
        </w:tc>
        <w:tc>
          <w:tcPr>
            <w:tcW w:w="1280" w:type="dxa"/>
            <w:vAlign w:val="center"/>
          </w:tcPr>
          <w:p w14:paraId="605BC3EE"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Completed</w:t>
            </w:r>
          </w:p>
        </w:tc>
      </w:tr>
      <w:tr w:rsidR="001C5345" w:rsidRPr="009B710A" w14:paraId="48934673" w14:textId="77777777" w:rsidTr="0067270A">
        <w:trPr>
          <w:jc w:val="center"/>
        </w:trPr>
        <w:tc>
          <w:tcPr>
            <w:tcW w:w="1276" w:type="dxa"/>
            <w:vAlign w:val="center"/>
          </w:tcPr>
          <w:p w14:paraId="1533750D"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6</w:t>
            </w:r>
          </w:p>
        </w:tc>
        <w:tc>
          <w:tcPr>
            <w:tcW w:w="2168" w:type="dxa"/>
            <w:vAlign w:val="center"/>
          </w:tcPr>
          <w:p w14:paraId="721E2912"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Plot and world-building</w:t>
            </w:r>
          </w:p>
        </w:tc>
        <w:tc>
          <w:tcPr>
            <w:tcW w:w="2083" w:type="dxa"/>
            <w:vAlign w:val="center"/>
          </w:tcPr>
          <w:p w14:paraId="0A1A7DF8"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Co-creation and real-time feedback; short story drafting; final revision</w:t>
            </w:r>
          </w:p>
        </w:tc>
        <w:tc>
          <w:tcPr>
            <w:tcW w:w="2553" w:type="dxa"/>
            <w:vAlign w:val="center"/>
          </w:tcPr>
          <w:p w14:paraId="355F5242"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Group discussion; short story drafting; final revision</w:t>
            </w:r>
          </w:p>
        </w:tc>
        <w:tc>
          <w:tcPr>
            <w:tcW w:w="1280" w:type="dxa"/>
            <w:vAlign w:val="center"/>
          </w:tcPr>
          <w:p w14:paraId="24E38C8A" w14:textId="77777777" w:rsidR="001C5345" w:rsidRPr="009B710A" w:rsidRDefault="006F09B5" w:rsidP="00C7598C">
            <w:pPr>
              <w:spacing w:line="240" w:lineRule="atLeast"/>
              <w:rPr>
                <w:rFonts w:asciiTheme="majorBidi" w:hAnsiTheme="majorBidi" w:cstheme="majorBidi"/>
              </w:rPr>
            </w:pPr>
            <w:r w:rsidRPr="009B710A">
              <w:rPr>
                <w:rFonts w:asciiTheme="majorBidi" w:hAnsiTheme="majorBidi" w:cstheme="majorBidi"/>
              </w:rPr>
              <w:t>Completed</w:t>
            </w:r>
          </w:p>
        </w:tc>
      </w:tr>
    </w:tbl>
    <w:p w14:paraId="55028C15" w14:textId="77777777" w:rsidR="001C5345" w:rsidRPr="00C7598C" w:rsidRDefault="006F09B5" w:rsidP="009B710A">
      <w:pPr>
        <w:spacing w:line="360" w:lineRule="auto"/>
        <w:rPr>
          <w:rFonts w:asciiTheme="majorBidi" w:hAnsiTheme="majorBidi" w:cstheme="majorBidi"/>
          <w:sz w:val="22"/>
        </w:rPr>
      </w:pPr>
      <w:r w:rsidRPr="00C7598C">
        <w:rPr>
          <w:rFonts w:asciiTheme="majorBidi" w:hAnsiTheme="majorBidi" w:cstheme="majorBidi"/>
          <w:sz w:val="22"/>
        </w:rPr>
        <w:t>Note. The checklist supports intervention fidelity by verifying content alignment and delivery across both instructional conditions.</w:t>
      </w:r>
    </w:p>
    <w:p w14:paraId="5DC4E774"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br w:type="page"/>
      </w:r>
    </w:p>
    <w:p w14:paraId="65F04792" w14:textId="77777777" w:rsidR="001C5345" w:rsidRPr="009B710A" w:rsidRDefault="006F09B5" w:rsidP="00C7598C">
      <w:pPr>
        <w:pStyle w:val="Heading2"/>
        <w:spacing w:before="0" w:line="360" w:lineRule="auto"/>
        <w:jc w:val="center"/>
        <w:rPr>
          <w:rFonts w:asciiTheme="majorBidi" w:hAnsiTheme="majorBidi"/>
        </w:rPr>
      </w:pPr>
      <w:r w:rsidRPr="009B710A">
        <w:rPr>
          <w:rFonts w:asciiTheme="majorBidi" w:hAnsiTheme="majorBidi"/>
        </w:rPr>
        <w:lastRenderedPageBreak/>
        <w:t>Appendix D</w:t>
      </w:r>
    </w:p>
    <w:p w14:paraId="4DF6A499" w14:textId="77777777" w:rsidR="001C5345" w:rsidRPr="009B710A" w:rsidRDefault="006F09B5" w:rsidP="00C7598C">
      <w:pPr>
        <w:pStyle w:val="Heading3"/>
        <w:spacing w:before="0" w:line="360" w:lineRule="auto"/>
        <w:jc w:val="center"/>
        <w:rPr>
          <w:rFonts w:asciiTheme="majorBidi" w:hAnsiTheme="majorBidi"/>
        </w:rPr>
      </w:pPr>
      <w:r w:rsidRPr="009B710A">
        <w:rPr>
          <w:rFonts w:asciiTheme="majorBidi" w:hAnsiTheme="majorBidi"/>
        </w:rPr>
        <w:t>Student Participation and Engagement Log (Minimal Implementation Evidence)</w:t>
      </w:r>
    </w:p>
    <w:p w14:paraId="0A156564"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This appendix provides auditable implementation evidence that learners attended the scheduled sessions and produced the expected artifacts. Student identifiers are anonymized. For the experimental group, “minutes in FrameVR” reflects time logged in the platform; for the control group, this field is not applicable.</w:t>
      </w:r>
    </w:p>
    <w:p w14:paraId="71DF5EB4"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b/>
        </w:rPr>
        <w:t>Table Z</w:t>
      </w:r>
    </w:p>
    <w:p w14:paraId="21411422"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Anonymized Participation and Engagement Log (Illustrative Rows With Summary Metrics)</w:t>
      </w:r>
    </w:p>
    <w:tbl>
      <w:tblPr>
        <w:tblW w:w="0" w:type="auto"/>
        <w:jc w:val="center"/>
        <w:tblBorders>
          <w:top w:val="single" w:sz="8" w:space="0" w:color="000000"/>
          <w:left w:val="nil"/>
          <w:bottom w:val="single" w:sz="8" w:space="0" w:color="000000"/>
          <w:right w:val="nil"/>
          <w:insideH w:val="nil"/>
          <w:insideV w:val="nil"/>
        </w:tblBorders>
        <w:tblLook w:val="04A0" w:firstRow="1" w:lastRow="0" w:firstColumn="1" w:lastColumn="0" w:noHBand="0" w:noVBand="1"/>
      </w:tblPr>
      <w:tblGrid>
        <w:gridCol w:w="1872"/>
        <w:gridCol w:w="1872"/>
        <w:gridCol w:w="1872"/>
        <w:gridCol w:w="1872"/>
        <w:gridCol w:w="1872"/>
      </w:tblGrid>
      <w:tr w:rsidR="001C5345" w:rsidRPr="009B710A" w14:paraId="60384C45" w14:textId="77777777">
        <w:trPr>
          <w:jc w:val="center"/>
        </w:trPr>
        <w:tc>
          <w:tcPr>
            <w:tcW w:w="1872" w:type="dxa"/>
            <w:tcBorders>
              <w:bottom w:val="single" w:sz="8" w:space="0" w:color="000000"/>
            </w:tcBorders>
            <w:vAlign w:val="center"/>
          </w:tcPr>
          <w:p w14:paraId="58AE0FD3"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b/>
              </w:rPr>
              <w:t>Student ID</w:t>
            </w:r>
          </w:p>
        </w:tc>
        <w:tc>
          <w:tcPr>
            <w:tcW w:w="1872" w:type="dxa"/>
            <w:tcBorders>
              <w:bottom w:val="single" w:sz="8" w:space="0" w:color="000000"/>
            </w:tcBorders>
            <w:vAlign w:val="center"/>
          </w:tcPr>
          <w:p w14:paraId="28A209B0"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b/>
              </w:rPr>
              <w:t>Group</w:t>
            </w:r>
          </w:p>
        </w:tc>
        <w:tc>
          <w:tcPr>
            <w:tcW w:w="1872" w:type="dxa"/>
            <w:tcBorders>
              <w:bottom w:val="single" w:sz="8" w:space="0" w:color="000000"/>
            </w:tcBorders>
            <w:vAlign w:val="center"/>
          </w:tcPr>
          <w:p w14:paraId="6B5A7E53"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b/>
              </w:rPr>
              <w:t>Sessions attended (max 6)</w:t>
            </w:r>
          </w:p>
        </w:tc>
        <w:tc>
          <w:tcPr>
            <w:tcW w:w="1872" w:type="dxa"/>
            <w:tcBorders>
              <w:bottom w:val="single" w:sz="8" w:space="0" w:color="000000"/>
            </w:tcBorders>
            <w:vAlign w:val="center"/>
          </w:tcPr>
          <w:p w14:paraId="09AD2ABF"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b/>
              </w:rPr>
              <w:t>Total minutes in FrameVR (EG only)</w:t>
            </w:r>
          </w:p>
        </w:tc>
        <w:tc>
          <w:tcPr>
            <w:tcW w:w="1872" w:type="dxa"/>
            <w:tcBorders>
              <w:bottom w:val="single" w:sz="8" w:space="0" w:color="000000"/>
            </w:tcBorders>
            <w:vAlign w:val="center"/>
          </w:tcPr>
          <w:p w14:paraId="534D86C6"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b/>
              </w:rPr>
              <w:t>Artifacts/posts submitted</w:t>
            </w:r>
          </w:p>
        </w:tc>
      </w:tr>
      <w:tr w:rsidR="001C5345" w:rsidRPr="009B710A" w14:paraId="543A98FE" w14:textId="77777777">
        <w:trPr>
          <w:jc w:val="center"/>
        </w:trPr>
        <w:tc>
          <w:tcPr>
            <w:tcW w:w="1872" w:type="dxa"/>
            <w:vAlign w:val="center"/>
          </w:tcPr>
          <w:p w14:paraId="6AD2D3F2"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STU-01</w:t>
            </w:r>
          </w:p>
        </w:tc>
        <w:tc>
          <w:tcPr>
            <w:tcW w:w="1872" w:type="dxa"/>
            <w:vAlign w:val="center"/>
          </w:tcPr>
          <w:p w14:paraId="3519E5CC"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EG</w:t>
            </w:r>
          </w:p>
        </w:tc>
        <w:tc>
          <w:tcPr>
            <w:tcW w:w="1872" w:type="dxa"/>
            <w:vAlign w:val="center"/>
          </w:tcPr>
          <w:p w14:paraId="3D9198C1"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6/6</w:t>
            </w:r>
          </w:p>
        </w:tc>
        <w:tc>
          <w:tcPr>
            <w:tcW w:w="1872" w:type="dxa"/>
            <w:vAlign w:val="center"/>
          </w:tcPr>
          <w:p w14:paraId="159DEF32"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540</w:t>
            </w:r>
          </w:p>
        </w:tc>
        <w:tc>
          <w:tcPr>
            <w:tcW w:w="1872" w:type="dxa"/>
            <w:vAlign w:val="center"/>
          </w:tcPr>
          <w:p w14:paraId="66EE04CA"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14</w:t>
            </w:r>
          </w:p>
        </w:tc>
      </w:tr>
      <w:tr w:rsidR="001C5345" w:rsidRPr="009B710A" w14:paraId="6B0484B4" w14:textId="77777777">
        <w:trPr>
          <w:jc w:val="center"/>
        </w:trPr>
        <w:tc>
          <w:tcPr>
            <w:tcW w:w="1872" w:type="dxa"/>
            <w:vAlign w:val="center"/>
          </w:tcPr>
          <w:p w14:paraId="670C196B"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STU-02</w:t>
            </w:r>
          </w:p>
        </w:tc>
        <w:tc>
          <w:tcPr>
            <w:tcW w:w="1872" w:type="dxa"/>
            <w:vAlign w:val="center"/>
          </w:tcPr>
          <w:p w14:paraId="56381335"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EG</w:t>
            </w:r>
          </w:p>
        </w:tc>
        <w:tc>
          <w:tcPr>
            <w:tcW w:w="1872" w:type="dxa"/>
            <w:vAlign w:val="center"/>
          </w:tcPr>
          <w:p w14:paraId="4045C354"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6/6</w:t>
            </w:r>
          </w:p>
        </w:tc>
        <w:tc>
          <w:tcPr>
            <w:tcW w:w="1872" w:type="dxa"/>
            <w:vAlign w:val="center"/>
          </w:tcPr>
          <w:p w14:paraId="4F6336A5"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525</w:t>
            </w:r>
          </w:p>
        </w:tc>
        <w:tc>
          <w:tcPr>
            <w:tcW w:w="1872" w:type="dxa"/>
            <w:vAlign w:val="center"/>
          </w:tcPr>
          <w:p w14:paraId="2C343C92"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12</w:t>
            </w:r>
          </w:p>
        </w:tc>
      </w:tr>
      <w:tr w:rsidR="001C5345" w:rsidRPr="009B710A" w14:paraId="4107171C" w14:textId="77777777">
        <w:trPr>
          <w:jc w:val="center"/>
        </w:trPr>
        <w:tc>
          <w:tcPr>
            <w:tcW w:w="1872" w:type="dxa"/>
            <w:vAlign w:val="center"/>
          </w:tcPr>
          <w:p w14:paraId="2763DB2A"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STU-03</w:t>
            </w:r>
          </w:p>
        </w:tc>
        <w:tc>
          <w:tcPr>
            <w:tcW w:w="1872" w:type="dxa"/>
            <w:vAlign w:val="center"/>
          </w:tcPr>
          <w:p w14:paraId="3CDB91C8"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EG</w:t>
            </w:r>
          </w:p>
        </w:tc>
        <w:tc>
          <w:tcPr>
            <w:tcW w:w="1872" w:type="dxa"/>
            <w:vAlign w:val="center"/>
          </w:tcPr>
          <w:p w14:paraId="4E746FFC"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5/6</w:t>
            </w:r>
          </w:p>
        </w:tc>
        <w:tc>
          <w:tcPr>
            <w:tcW w:w="1872" w:type="dxa"/>
            <w:vAlign w:val="center"/>
          </w:tcPr>
          <w:p w14:paraId="63F8F794"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450</w:t>
            </w:r>
          </w:p>
        </w:tc>
        <w:tc>
          <w:tcPr>
            <w:tcW w:w="1872" w:type="dxa"/>
            <w:vAlign w:val="center"/>
          </w:tcPr>
          <w:p w14:paraId="613ECB38"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9</w:t>
            </w:r>
          </w:p>
        </w:tc>
      </w:tr>
      <w:tr w:rsidR="001C5345" w:rsidRPr="009B710A" w14:paraId="0AAEA748" w14:textId="77777777">
        <w:trPr>
          <w:jc w:val="center"/>
        </w:trPr>
        <w:tc>
          <w:tcPr>
            <w:tcW w:w="1872" w:type="dxa"/>
            <w:vAlign w:val="center"/>
          </w:tcPr>
          <w:p w14:paraId="480E5900"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STU-04</w:t>
            </w:r>
          </w:p>
        </w:tc>
        <w:tc>
          <w:tcPr>
            <w:tcW w:w="1872" w:type="dxa"/>
            <w:vAlign w:val="center"/>
          </w:tcPr>
          <w:p w14:paraId="697927F2"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CG</w:t>
            </w:r>
          </w:p>
        </w:tc>
        <w:tc>
          <w:tcPr>
            <w:tcW w:w="1872" w:type="dxa"/>
            <w:vAlign w:val="center"/>
          </w:tcPr>
          <w:p w14:paraId="67FE4BAC"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6/6</w:t>
            </w:r>
          </w:p>
        </w:tc>
        <w:tc>
          <w:tcPr>
            <w:tcW w:w="1872" w:type="dxa"/>
            <w:vAlign w:val="center"/>
          </w:tcPr>
          <w:p w14:paraId="21AA00BE"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N/A</w:t>
            </w:r>
          </w:p>
        </w:tc>
        <w:tc>
          <w:tcPr>
            <w:tcW w:w="1872" w:type="dxa"/>
            <w:vAlign w:val="center"/>
          </w:tcPr>
          <w:p w14:paraId="11EB4B26"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6</w:t>
            </w:r>
          </w:p>
        </w:tc>
      </w:tr>
      <w:tr w:rsidR="001C5345" w:rsidRPr="009B710A" w14:paraId="11019975" w14:textId="77777777">
        <w:trPr>
          <w:jc w:val="center"/>
        </w:trPr>
        <w:tc>
          <w:tcPr>
            <w:tcW w:w="1872" w:type="dxa"/>
            <w:vAlign w:val="center"/>
          </w:tcPr>
          <w:p w14:paraId="69542AA7"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STU-05</w:t>
            </w:r>
          </w:p>
        </w:tc>
        <w:tc>
          <w:tcPr>
            <w:tcW w:w="1872" w:type="dxa"/>
            <w:vAlign w:val="center"/>
          </w:tcPr>
          <w:p w14:paraId="5CF53D08"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CG</w:t>
            </w:r>
          </w:p>
        </w:tc>
        <w:tc>
          <w:tcPr>
            <w:tcW w:w="1872" w:type="dxa"/>
            <w:vAlign w:val="center"/>
          </w:tcPr>
          <w:p w14:paraId="4733391E"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6/6</w:t>
            </w:r>
          </w:p>
        </w:tc>
        <w:tc>
          <w:tcPr>
            <w:tcW w:w="1872" w:type="dxa"/>
            <w:vAlign w:val="center"/>
          </w:tcPr>
          <w:p w14:paraId="13230C3E"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N/A</w:t>
            </w:r>
          </w:p>
        </w:tc>
        <w:tc>
          <w:tcPr>
            <w:tcW w:w="1872" w:type="dxa"/>
            <w:vAlign w:val="center"/>
          </w:tcPr>
          <w:p w14:paraId="42995FEB"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rPr>
              <w:t>7</w:t>
            </w:r>
          </w:p>
        </w:tc>
      </w:tr>
      <w:tr w:rsidR="001C5345" w:rsidRPr="009B710A" w14:paraId="4D23CC34" w14:textId="77777777">
        <w:trPr>
          <w:jc w:val="center"/>
        </w:trPr>
        <w:tc>
          <w:tcPr>
            <w:tcW w:w="1872" w:type="dxa"/>
            <w:vAlign w:val="center"/>
          </w:tcPr>
          <w:p w14:paraId="0568E43D"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Mean (EG; n=37)</w:t>
            </w:r>
          </w:p>
        </w:tc>
        <w:tc>
          <w:tcPr>
            <w:tcW w:w="1872" w:type="dxa"/>
            <w:vAlign w:val="center"/>
          </w:tcPr>
          <w:p w14:paraId="2408BD9F"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EG</w:t>
            </w:r>
          </w:p>
        </w:tc>
        <w:tc>
          <w:tcPr>
            <w:tcW w:w="1872" w:type="dxa"/>
            <w:vAlign w:val="center"/>
          </w:tcPr>
          <w:p w14:paraId="7E5F3ED8"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i/>
              </w:rPr>
              <w:t>5.8/6</w:t>
            </w:r>
          </w:p>
        </w:tc>
        <w:tc>
          <w:tcPr>
            <w:tcW w:w="1872" w:type="dxa"/>
            <w:vAlign w:val="center"/>
          </w:tcPr>
          <w:p w14:paraId="26FAEC9E"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i/>
              </w:rPr>
              <w:t>522</w:t>
            </w:r>
          </w:p>
        </w:tc>
        <w:tc>
          <w:tcPr>
            <w:tcW w:w="1872" w:type="dxa"/>
            <w:vAlign w:val="center"/>
          </w:tcPr>
          <w:p w14:paraId="03541E87"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i/>
              </w:rPr>
              <w:t>12.4</w:t>
            </w:r>
          </w:p>
        </w:tc>
      </w:tr>
      <w:tr w:rsidR="001C5345" w:rsidRPr="009B710A" w14:paraId="4E471E93" w14:textId="77777777">
        <w:trPr>
          <w:jc w:val="center"/>
        </w:trPr>
        <w:tc>
          <w:tcPr>
            <w:tcW w:w="1872" w:type="dxa"/>
            <w:vAlign w:val="center"/>
          </w:tcPr>
          <w:p w14:paraId="715DB258"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Mean (CG; n=36)</w:t>
            </w:r>
          </w:p>
        </w:tc>
        <w:tc>
          <w:tcPr>
            <w:tcW w:w="1872" w:type="dxa"/>
            <w:vAlign w:val="center"/>
          </w:tcPr>
          <w:p w14:paraId="328FC771"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i/>
              </w:rPr>
              <w:t>CG</w:t>
            </w:r>
          </w:p>
        </w:tc>
        <w:tc>
          <w:tcPr>
            <w:tcW w:w="1872" w:type="dxa"/>
            <w:vAlign w:val="center"/>
          </w:tcPr>
          <w:p w14:paraId="50E2FC10"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i/>
              </w:rPr>
              <w:t>5.7/6</w:t>
            </w:r>
          </w:p>
        </w:tc>
        <w:tc>
          <w:tcPr>
            <w:tcW w:w="1872" w:type="dxa"/>
            <w:vAlign w:val="center"/>
          </w:tcPr>
          <w:p w14:paraId="2EECCCA1"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i/>
              </w:rPr>
              <w:t>N/A</w:t>
            </w:r>
          </w:p>
        </w:tc>
        <w:tc>
          <w:tcPr>
            <w:tcW w:w="1872" w:type="dxa"/>
            <w:vAlign w:val="center"/>
          </w:tcPr>
          <w:p w14:paraId="4D72F5A8" w14:textId="77777777" w:rsidR="001C5345" w:rsidRPr="009B710A" w:rsidRDefault="006F09B5" w:rsidP="009B710A">
            <w:pPr>
              <w:spacing w:line="360" w:lineRule="auto"/>
              <w:jc w:val="center"/>
              <w:rPr>
                <w:rFonts w:asciiTheme="majorBidi" w:hAnsiTheme="majorBidi" w:cstheme="majorBidi"/>
              </w:rPr>
            </w:pPr>
            <w:r w:rsidRPr="009B710A">
              <w:rPr>
                <w:rFonts w:asciiTheme="majorBidi" w:hAnsiTheme="majorBidi" w:cstheme="majorBidi"/>
                <w:i/>
              </w:rPr>
              <w:t>6.2</w:t>
            </w:r>
          </w:p>
        </w:tc>
      </w:tr>
    </w:tbl>
    <w:p w14:paraId="196CC080"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Note. Artifacts/posts represent virtual contributions (EG) or paper drafts/submissions (CG). The full log containing all anonymized student IDs was maintained by the instructor for audit purposes.</w:t>
      </w:r>
    </w:p>
    <w:p w14:paraId="7C21B2D5" w14:textId="77777777" w:rsidR="001C5345" w:rsidRPr="009B710A" w:rsidRDefault="006F09B5" w:rsidP="009B710A">
      <w:pPr>
        <w:pStyle w:val="Heading3"/>
        <w:spacing w:before="0" w:line="360" w:lineRule="auto"/>
        <w:rPr>
          <w:rFonts w:asciiTheme="majorBidi" w:hAnsiTheme="majorBidi"/>
        </w:rPr>
      </w:pPr>
      <w:r w:rsidRPr="009B710A">
        <w:rPr>
          <w:rFonts w:asciiTheme="majorBidi" w:hAnsiTheme="majorBidi"/>
        </w:rPr>
        <w:t>Implementation summary:</w:t>
      </w:r>
    </w:p>
    <w:p w14:paraId="33D68865"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 Total instructional time: Both groups received equivalent instruction (6 sessions × 90 minutes, scheduled).</w:t>
      </w:r>
    </w:p>
    <w:p w14:paraId="483B5DA3"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 Experimental context: FrameVR.io supported immersive setting exploration, avatar-based character interviews, and collaborative world-building using interactive whiteboards and 3D objects.</w:t>
      </w:r>
    </w:p>
    <w:p w14:paraId="288412FA" w14:textId="77777777" w:rsidR="001C5345" w:rsidRPr="009B710A" w:rsidRDefault="006F09B5" w:rsidP="009B710A">
      <w:pPr>
        <w:spacing w:line="360" w:lineRule="auto"/>
        <w:rPr>
          <w:rFonts w:asciiTheme="majorBidi" w:hAnsiTheme="majorBidi" w:cstheme="majorBidi"/>
        </w:rPr>
      </w:pPr>
      <w:r w:rsidRPr="009B710A">
        <w:rPr>
          <w:rFonts w:asciiTheme="majorBidi" w:hAnsiTheme="majorBidi" w:cstheme="majorBidi"/>
        </w:rPr>
        <w:t>• Control context: Conventional instruction targeted the same outcomes via instructor modeling, paper-based prompts, peer discussion, and individual drafting.</w:t>
      </w:r>
    </w:p>
    <w:p w14:paraId="6DD8D5B6" w14:textId="77777777" w:rsidR="001C5345" w:rsidRDefault="006F09B5" w:rsidP="009B710A">
      <w:pPr>
        <w:spacing w:line="360" w:lineRule="auto"/>
        <w:rPr>
          <w:rFonts w:asciiTheme="majorBidi" w:hAnsiTheme="majorBidi" w:cstheme="majorBidi"/>
        </w:rPr>
      </w:pPr>
      <w:r w:rsidRPr="009B710A">
        <w:rPr>
          <w:rFonts w:asciiTheme="majorBidi" w:hAnsiTheme="majorBidi" w:cstheme="majorBidi"/>
        </w:rPr>
        <w:lastRenderedPageBreak/>
        <w:t>• Engagement evidence: Artifact/post counts provide a behavioral engagement indicator for the experimental group, while draft/submission counts provide an equivalent indicator for the control group.</w:t>
      </w:r>
    </w:p>
    <w:p w14:paraId="0D61146C" w14:textId="77777777" w:rsidR="00BD53ED" w:rsidRDefault="00BD53ED">
      <w:pPr>
        <w:spacing w:after="200" w:line="276" w:lineRule="auto"/>
        <w:rPr>
          <w:rFonts w:asciiTheme="majorBidi" w:eastAsiaTheme="majorEastAsia" w:hAnsiTheme="majorBidi" w:cstheme="majorBidi"/>
          <w:b/>
          <w:bCs/>
          <w:sz w:val="26"/>
          <w:szCs w:val="26"/>
        </w:rPr>
      </w:pPr>
      <w:r>
        <w:rPr>
          <w:rFonts w:asciiTheme="majorBidi" w:hAnsiTheme="majorBidi"/>
        </w:rPr>
        <w:br w:type="page"/>
      </w:r>
    </w:p>
    <w:p w14:paraId="3176B3C8" w14:textId="5CC85B3D" w:rsidR="001C5345" w:rsidRPr="009B710A" w:rsidRDefault="006F09B5" w:rsidP="00B65E76">
      <w:pPr>
        <w:pStyle w:val="Heading2"/>
        <w:spacing w:before="0" w:line="360" w:lineRule="auto"/>
        <w:jc w:val="center"/>
        <w:rPr>
          <w:rFonts w:asciiTheme="majorBidi" w:hAnsiTheme="majorBidi"/>
        </w:rPr>
      </w:pPr>
      <w:r w:rsidRPr="009B710A">
        <w:rPr>
          <w:rFonts w:asciiTheme="majorBidi" w:hAnsiTheme="majorBidi"/>
        </w:rPr>
        <w:lastRenderedPageBreak/>
        <w:t>Appendix E</w:t>
      </w:r>
    </w:p>
    <w:p w14:paraId="31DBDB85" w14:textId="77777777" w:rsidR="001C5345" w:rsidRPr="009B710A" w:rsidRDefault="006F09B5" w:rsidP="00B65E76">
      <w:pPr>
        <w:pStyle w:val="Heading3"/>
        <w:spacing w:before="0" w:line="360" w:lineRule="auto"/>
        <w:jc w:val="center"/>
        <w:rPr>
          <w:rFonts w:asciiTheme="majorBidi" w:hAnsiTheme="majorBidi"/>
        </w:rPr>
      </w:pPr>
      <w:r w:rsidRPr="009B710A">
        <w:rPr>
          <w:rFonts w:asciiTheme="majorBidi" w:hAnsiTheme="majorBidi"/>
        </w:rPr>
        <w:t>Scoring Integrity and Rater Blinding</w:t>
      </w:r>
    </w:p>
    <w:p w14:paraId="5A814B51" w14:textId="77777777" w:rsidR="001C5345" w:rsidRPr="009B710A" w:rsidRDefault="006F09B5" w:rsidP="009B710A">
      <w:pPr>
        <w:pStyle w:val="Heading3"/>
        <w:spacing w:before="0" w:line="360" w:lineRule="auto"/>
        <w:rPr>
          <w:rFonts w:asciiTheme="majorBidi" w:hAnsiTheme="majorBidi"/>
        </w:rPr>
      </w:pPr>
      <w:r w:rsidRPr="009B710A">
        <w:rPr>
          <w:rFonts w:asciiTheme="majorBidi" w:hAnsiTheme="majorBidi"/>
        </w:rPr>
        <w:t>E1. Blinding and rater independence</w:t>
      </w:r>
    </w:p>
    <w:p w14:paraId="2D333FA3" w14:textId="77777777" w:rsidR="001C5345" w:rsidRDefault="006F09B5" w:rsidP="009B710A">
      <w:pPr>
        <w:spacing w:line="360" w:lineRule="auto"/>
        <w:rPr>
          <w:rFonts w:asciiTheme="majorBidi" w:hAnsiTheme="majorBidi" w:cstheme="majorBidi"/>
        </w:rPr>
      </w:pPr>
      <w:r w:rsidRPr="009B710A">
        <w:rPr>
          <w:rFonts w:asciiTheme="majorBidi" w:hAnsiTheme="majorBidi" w:cstheme="majorBidi"/>
        </w:rPr>
        <w:t>Creative writing scripts were scored by two independent raters who were blinded to group allocation (experimental vs. control) and measurement occasion (pretest vs. posttest). Scripts were anonymized, assigned random IDs, and shuffled into randomized scoring batches to minimize the possibility of inferring condition or time. Raters were not involved in delivering the intervention and had no access to class lists or study hypotheses. Inter-rater agreement was evaluated on an overlapping subset using an intraclass correlation approach; discrepancies were resolved via consensus using the rubric descriptors.</w:t>
      </w:r>
    </w:p>
    <w:p w14:paraId="3B18D321" w14:textId="77777777" w:rsidR="004708AB" w:rsidRDefault="004708AB" w:rsidP="00E45480">
      <w:pPr>
        <w:jc w:val="center"/>
        <w:rPr>
          <w:rFonts w:asciiTheme="majorBidi" w:hAnsiTheme="majorBidi" w:cstheme="majorBidi"/>
          <w:b/>
          <w:bCs/>
        </w:rPr>
      </w:pPr>
    </w:p>
    <w:p w14:paraId="3A945180" w14:textId="77777777" w:rsidR="004708AB" w:rsidRDefault="004708AB" w:rsidP="00E45480">
      <w:pPr>
        <w:jc w:val="center"/>
        <w:rPr>
          <w:rFonts w:asciiTheme="majorBidi" w:hAnsiTheme="majorBidi" w:cstheme="majorBidi"/>
          <w:b/>
          <w:bCs/>
        </w:rPr>
      </w:pPr>
    </w:p>
    <w:p w14:paraId="23E85F62" w14:textId="77777777" w:rsidR="004708AB" w:rsidRDefault="004708AB" w:rsidP="00E45480">
      <w:pPr>
        <w:jc w:val="center"/>
        <w:rPr>
          <w:rFonts w:asciiTheme="majorBidi" w:hAnsiTheme="majorBidi" w:cstheme="majorBidi"/>
          <w:b/>
          <w:bCs/>
        </w:rPr>
      </w:pPr>
    </w:p>
    <w:p w14:paraId="288BF96F" w14:textId="77777777" w:rsidR="004708AB" w:rsidRDefault="004708AB" w:rsidP="00E45480">
      <w:pPr>
        <w:jc w:val="center"/>
        <w:rPr>
          <w:rFonts w:asciiTheme="majorBidi" w:hAnsiTheme="majorBidi" w:cstheme="majorBidi"/>
          <w:b/>
          <w:bCs/>
        </w:rPr>
      </w:pPr>
    </w:p>
    <w:p w14:paraId="47FB34CB" w14:textId="77777777" w:rsidR="004708AB" w:rsidRDefault="004708AB" w:rsidP="00E45480">
      <w:pPr>
        <w:jc w:val="center"/>
        <w:rPr>
          <w:rFonts w:asciiTheme="majorBidi" w:hAnsiTheme="majorBidi" w:cstheme="majorBidi"/>
          <w:b/>
          <w:bCs/>
        </w:rPr>
      </w:pPr>
    </w:p>
    <w:p w14:paraId="3DD7A1F9" w14:textId="77777777" w:rsidR="00BD53ED" w:rsidRDefault="00BD53ED">
      <w:pPr>
        <w:spacing w:after="200" w:line="276" w:lineRule="auto"/>
        <w:rPr>
          <w:rFonts w:asciiTheme="majorBidi" w:hAnsiTheme="majorBidi" w:cstheme="majorBidi"/>
          <w:b/>
          <w:bCs/>
        </w:rPr>
      </w:pPr>
      <w:r>
        <w:rPr>
          <w:rFonts w:asciiTheme="majorBidi" w:hAnsiTheme="majorBidi" w:cstheme="majorBidi"/>
          <w:b/>
          <w:bCs/>
        </w:rPr>
        <w:br w:type="page"/>
      </w:r>
    </w:p>
    <w:p w14:paraId="75255B66" w14:textId="07896AEC" w:rsidR="00E45480" w:rsidRDefault="00E45480" w:rsidP="00E45480">
      <w:pPr>
        <w:jc w:val="center"/>
        <w:rPr>
          <w:rFonts w:asciiTheme="majorBidi" w:hAnsiTheme="majorBidi" w:cstheme="majorBidi"/>
          <w:b/>
          <w:bCs/>
        </w:rPr>
      </w:pPr>
      <w:r w:rsidRPr="00E45480">
        <w:rPr>
          <w:rFonts w:asciiTheme="majorBidi" w:hAnsiTheme="majorBidi" w:cstheme="majorBidi"/>
          <w:b/>
          <w:bCs/>
        </w:rPr>
        <w:lastRenderedPageBreak/>
        <w:t>Appendix F.</w:t>
      </w:r>
    </w:p>
    <w:p w14:paraId="0FBB4FCB" w14:textId="3F81E46F" w:rsidR="00E45480" w:rsidRPr="00E45480" w:rsidRDefault="00E45480" w:rsidP="00E45480">
      <w:pPr>
        <w:jc w:val="center"/>
        <w:rPr>
          <w:rFonts w:asciiTheme="majorBidi" w:hAnsiTheme="majorBidi" w:cstheme="majorBidi"/>
          <w:b/>
          <w:bCs/>
        </w:rPr>
      </w:pPr>
      <w:r w:rsidRPr="00E45480">
        <w:rPr>
          <w:rFonts w:asciiTheme="majorBidi" w:hAnsiTheme="majorBidi" w:cstheme="majorBidi"/>
          <w:b/>
          <w:bCs/>
        </w:rPr>
        <w:t>Participant Flow Diagram (Enrollment, Allocation, Follow-up, and Analysis)</w:t>
      </w:r>
    </w:p>
    <w:p w14:paraId="36D0A5E9" w14:textId="77777777" w:rsidR="004708AB" w:rsidRDefault="003403FB" w:rsidP="004708AB">
      <w:pPr>
        <w:keepNext/>
        <w:spacing w:line="360" w:lineRule="auto"/>
        <w:jc w:val="center"/>
      </w:pPr>
      <w:r>
        <w:rPr>
          <w:rFonts w:asciiTheme="majorBidi" w:hAnsiTheme="majorBidi" w:cstheme="majorBidi"/>
          <w:noProof/>
        </w:rPr>
        <w:drawing>
          <wp:inline distT="0" distB="0" distL="0" distR="0" wp14:anchorId="45A414EC" wp14:editId="039E1320">
            <wp:extent cx="4213860" cy="5227320"/>
            <wp:effectExtent l="0" t="0" r="0" b="0"/>
            <wp:docPr id="1786705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6763" r="23839" b="11598"/>
                    <a:stretch>
                      <a:fillRect/>
                    </a:stretch>
                  </pic:blipFill>
                  <pic:spPr bwMode="auto">
                    <a:xfrm>
                      <a:off x="0" y="0"/>
                      <a:ext cx="4213860" cy="5227320"/>
                    </a:xfrm>
                    <a:prstGeom prst="rect">
                      <a:avLst/>
                    </a:prstGeom>
                    <a:noFill/>
                    <a:ln>
                      <a:noFill/>
                    </a:ln>
                    <a:extLst>
                      <a:ext uri="{53640926-AAD7-44D8-BBD7-CCE9431645EC}">
                        <a14:shadowObscured xmlns:a14="http://schemas.microsoft.com/office/drawing/2010/main"/>
                      </a:ext>
                    </a:extLst>
                  </pic:spPr>
                </pic:pic>
              </a:graphicData>
            </a:graphic>
          </wp:inline>
        </w:drawing>
      </w:r>
    </w:p>
    <w:p w14:paraId="6749A7E8" w14:textId="697C327E" w:rsidR="00E45480" w:rsidRPr="009B710A" w:rsidRDefault="004708AB" w:rsidP="004708AB">
      <w:pPr>
        <w:pStyle w:val="Caption"/>
        <w:jc w:val="center"/>
        <w:rPr>
          <w:rFonts w:asciiTheme="majorBidi" w:hAnsiTheme="majorBidi" w:cstheme="majorBidi"/>
        </w:rPr>
      </w:pPr>
      <w:r>
        <w:t xml:space="preserve">Figure </w:t>
      </w:r>
      <w:fldSimple w:instr=" SEQ Figure \* ARABIC ">
        <w:r>
          <w:rPr>
            <w:noProof/>
          </w:rPr>
          <w:t>1</w:t>
        </w:r>
      </w:fldSimple>
      <w:r>
        <w:t xml:space="preserve">. </w:t>
      </w:r>
      <w:r w:rsidRPr="00973414">
        <w:t>Exclusions reflect incomplete posttest data and/or non-scorable outcome artifacts.</w:t>
      </w:r>
    </w:p>
    <w:sectPr w:rsidR="00E45480" w:rsidRPr="009B710A"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22235889">
    <w:abstractNumId w:val="8"/>
  </w:num>
  <w:num w:numId="2" w16cid:durableId="1246304000">
    <w:abstractNumId w:val="6"/>
  </w:num>
  <w:num w:numId="3" w16cid:durableId="276571250">
    <w:abstractNumId w:val="5"/>
  </w:num>
  <w:num w:numId="4" w16cid:durableId="2074966971">
    <w:abstractNumId w:val="4"/>
  </w:num>
  <w:num w:numId="5" w16cid:durableId="1500268784">
    <w:abstractNumId w:val="7"/>
  </w:num>
  <w:num w:numId="6" w16cid:durableId="1200701473">
    <w:abstractNumId w:val="3"/>
  </w:num>
  <w:num w:numId="7" w16cid:durableId="1247224682">
    <w:abstractNumId w:val="2"/>
  </w:num>
  <w:num w:numId="8" w16cid:durableId="227309515">
    <w:abstractNumId w:val="1"/>
  </w:num>
  <w:num w:numId="9" w16cid:durableId="20208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C5345"/>
    <w:rsid w:val="00231F5C"/>
    <w:rsid w:val="002366B9"/>
    <w:rsid w:val="0026785C"/>
    <w:rsid w:val="0029639D"/>
    <w:rsid w:val="002B1121"/>
    <w:rsid w:val="002F6175"/>
    <w:rsid w:val="00326F90"/>
    <w:rsid w:val="003403FB"/>
    <w:rsid w:val="00436D7E"/>
    <w:rsid w:val="00447706"/>
    <w:rsid w:val="004708AB"/>
    <w:rsid w:val="00531DD5"/>
    <w:rsid w:val="0067270A"/>
    <w:rsid w:val="006F09B5"/>
    <w:rsid w:val="007C1542"/>
    <w:rsid w:val="00981851"/>
    <w:rsid w:val="009B710A"/>
    <w:rsid w:val="00AA1D8D"/>
    <w:rsid w:val="00AB49CD"/>
    <w:rsid w:val="00B47730"/>
    <w:rsid w:val="00B65E76"/>
    <w:rsid w:val="00BA68AC"/>
    <w:rsid w:val="00BC5D80"/>
    <w:rsid w:val="00BD53ED"/>
    <w:rsid w:val="00C7598C"/>
    <w:rsid w:val="00C96D94"/>
    <w:rsid w:val="00CA0D39"/>
    <w:rsid w:val="00CB0664"/>
    <w:rsid w:val="00D64CB5"/>
    <w:rsid w:val="00E4236E"/>
    <w:rsid w:val="00E45480"/>
    <w:rsid w:val="00F161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23401"/>
  <w14:defaultImageDpi w14:val="300"/>
  <w15:docId w15:val="{915712A0-0E51-4186-8811-722E8C81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0" w:line="480" w:lineRule="auto"/>
    </w:pPr>
    <w:rPr>
      <w:rFonts w:ascii="Times New Roman" w:eastAsia="Times New Roman" w:hAnsi="Times New Roman"/>
      <w:color w:val="000000"/>
      <w:sz w:val="24"/>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994</Words>
  <Characters>6493</Characters>
  <Application>Microsoft Office Word</Application>
  <DocSecurity>0</DocSecurity>
  <Lines>324</Lines>
  <Paragraphs>202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mohamed39</cp:lastModifiedBy>
  <cp:revision>25</cp:revision>
  <dcterms:created xsi:type="dcterms:W3CDTF">2025-12-24T12:33:00Z</dcterms:created>
  <dcterms:modified xsi:type="dcterms:W3CDTF">2025-12-25T18:41:00Z</dcterms:modified>
  <cp:category/>
</cp:coreProperties>
</file>