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893CB" w14:textId="5049BDFD" w:rsidR="00B14636" w:rsidRPr="00443A61" w:rsidRDefault="00B14636" w:rsidP="02B5BA7D">
      <w:pPr>
        <w:jc w:val="both"/>
        <w:rPr>
          <w:b/>
          <w:bCs/>
          <w:sz w:val="32"/>
          <w:szCs w:val="32"/>
        </w:rPr>
      </w:pPr>
      <w:r w:rsidRPr="00443A61">
        <w:rPr>
          <w:b/>
          <w:bCs/>
          <w:sz w:val="32"/>
          <w:szCs w:val="32"/>
        </w:rPr>
        <w:t>Supplementary material</w:t>
      </w:r>
    </w:p>
    <w:p w14:paraId="002CF591" w14:textId="3D1748FB" w:rsidR="00270AE3" w:rsidRPr="00443A61" w:rsidRDefault="00270AE3" w:rsidP="00270AE3">
      <w:pPr>
        <w:jc w:val="both"/>
        <w:rPr>
          <w:b/>
          <w:bCs/>
          <w:lang w:val="en-GB"/>
        </w:rPr>
      </w:pPr>
      <w:r w:rsidRPr="00443A61">
        <w:rPr>
          <w:b/>
          <w:bCs/>
          <w:lang w:val="en-GB"/>
        </w:rPr>
        <w:t>The dietary footprints and transition priorities of over 12</w:t>
      </w:r>
      <w:r w:rsidR="00CC5CAE" w:rsidRPr="00443A61">
        <w:rPr>
          <w:rFonts w:hint="eastAsia"/>
          <w:b/>
          <w:bCs/>
          <w:lang w:val="en-GB"/>
        </w:rPr>
        <w:t>,</w:t>
      </w:r>
      <w:r w:rsidRPr="00443A61">
        <w:rPr>
          <w:b/>
          <w:bCs/>
          <w:lang w:val="en-GB"/>
        </w:rPr>
        <w:t>000 cities</w:t>
      </w:r>
    </w:p>
    <w:p w14:paraId="16E2DBF8" w14:textId="77777777" w:rsidR="00B4215A" w:rsidRPr="00443A61" w:rsidRDefault="00B4215A" w:rsidP="02B5BA7D">
      <w:pPr>
        <w:jc w:val="both"/>
      </w:pPr>
    </w:p>
    <w:sdt>
      <w:sdtPr>
        <w:rPr>
          <w:rFonts w:asciiTheme="minorHAnsi" w:eastAsiaTheme="minorEastAsia" w:hAnsiTheme="minorHAnsi" w:cstheme="minorBidi"/>
          <w:color w:val="auto"/>
          <w:kern w:val="2"/>
          <w:sz w:val="24"/>
          <w:szCs w:val="24"/>
          <w:lang w:eastAsia="zh-CN"/>
          <w14:ligatures w14:val="standardContextual"/>
        </w:rPr>
        <w:id w:val="-1190054071"/>
        <w:docPartObj>
          <w:docPartGallery w:val="Table of Contents"/>
          <w:docPartUnique/>
        </w:docPartObj>
      </w:sdtPr>
      <w:sdtEndPr>
        <w:rPr>
          <w:b/>
          <w:bCs/>
          <w:noProof/>
        </w:rPr>
      </w:sdtEndPr>
      <w:sdtContent>
        <w:p w14:paraId="595A6CC9" w14:textId="2D52CCD8" w:rsidR="00C61742" w:rsidRPr="00443A61" w:rsidRDefault="00C61742">
          <w:pPr>
            <w:pStyle w:val="TOCHeading"/>
            <w:rPr>
              <w:b/>
              <w:bCs/>
              <w:color w:val="auto"/>
              <w:sz w:val="24"/>
              <w:szCs w:val="24"/>
            </w:rPr>
          </w:pPr>
          <w:r w:rsidRPr="00443A61">
            <w:rPr>
              <w:b/>
              <w:bCs/>
              <w:color w:val="auto"/>
              <w:sz w:val="24"/>
              <w:szCs w:val="24"/>
            </w:rPr>
            <w:t>Contents</w:t>
          </w:r>
        </w:p>
        <w:p w14:paraId="6416BE0A" w14:textId="2FA62F57" w:rsidR="00443A61" w:rsidRPr="00443A61" w:rsidRDefault="00C61742">
          <w:pPr>
            <w:pStyle w:val="TOC1"/>
            <w:tabs>
              <w:tab w:val="right" w:leader="dot" w:pos="9016"/>
            </w:tabs>
            <w:rPr>
              <w:noProof/>
              <w:lang w:val="en-NL"/>
            </w:rPr>
          </w:pPr>
          <w:r w:rsidRPr="00443A61">
            <w:fldChar w:fldCharType="begin"/>
          </w:r>
          <w:r w:rsidRPr="00443A61">
            <w:instrText xml:space="preserve"> TOC \o "1-3" \h \z \u </w:instrText>
          </w:r>
          <w:r w:rsidRPr="00443A61">
            <w:fldChar w:fldCharType="separate"/>
          </w:r>
          <w:hyperlink w:anchor="_Toc221538868" w:history="1">
            <w:r w:rsidR="00443A61" w:rsidRPr="00443A61">
              <w:rPr>
                <w:rStyle w:val="Hyperlink"/>
                <w:b/>
                <w:bCs/>
                <w:noProof/>
                <w:color w:val="auto"/>
              </w:rPr>
              <w:t>MATILDA-City datasets</w:t>
            </w:r>
            <w:r w:rsidR="00443A61" w:rsidRPr="00443A61">
              <w:rPr>
                <w:noProof/>
                <w:webHidden/>
              </w:rPr>
              <w:tab/>
            </w:r>
            <w:r w:rsidR="00443A61" w:rsidRPr="00443A61">
              <w:rPr>
                <w:noProof/>
                <w:webHidden/>
              </w:rPr>
              <w:fldChar w:fldCharType="begin"/>
            </w:r>
            <w:r w:rsidR="00443A61" w:rsidRPr="00443A61">
              <w:rPr>
                <w:noProof/>
                <w:webHidden/>
              </w:rPr>
              <w:instrText xml:space="preserve"> PAGEREF _Toc221538868 \h </w:instrText>
            </w:r>
            <w:r w:rsidR="00443A61" w:rsidRPr="00443A61">
              <w:rPr>
                <w:noProof/>
                <w:webHidden/>
              </w:rPr>
            </w:r>
            <w:r w:rsidR="00443A61" w:rsidRPr="00443A61">
              <w:rPr>
                <w:noProof/>
                <w:webHidden/>
              </w:rPr>
              <w:fldChar w:fldCharType="separate"/>
            </w:r>
            <w:r w:rsidR="00443A61" w:rsidRPr="00443A61">
              <w:rPr>
                <w:noProof/>
                <w:webHidden/>
              </w:rPr>
              <w:t>1</w:t>
            </w:r>
            <w:r w:rsidR="00443A61" w:rsidRPr="00443A61">
              <w:rPr>
                <w:noProof/>
                <w:webHidden/>
              </w:rPr>
              <w:fldChar w:fldCharType="end"/>
            </w:r>
          </w:hyperlink>
        </w:p>
        <w:p w14:paraId="57858456" w14:textId="7659C59A" w:rsidR="00443A61" w:rsidRPr="00443A61" w:rsidRDefault="00443A61">
          <w:pPr>
            <w:pStyle w:val="TOC1"/>
            <w:tabs>
              <w:tab w:val="right" w:leader="dot" w:pos="9016"/>
            </w:tabs>
            <w:rPr>
              <w:noProof/>
              <w:lang w:val="en-NL"/>
            </w:rPr>
          </w:pPr>
          <w:hyperlink w:anchor="_Toc221538869" w:history="1">
            <w:r w:rsidRPr="00443A61">
              <w:rPr>
                <w:rStyle w:val="Hyperlink"/>
                <w:b/>
                <w:bCs/>
                <w:noProof/>
                <w:color w:val="auto"/>
              </w:rPr>
              <w:t>1. Integration of city-level population and dietary data</w:t>
            </w:r>
            <w:r w:rsidRPr="00443A61">
              <w:rPr>
                <w:noProof/>
                <w:webHidden/>
              </w:rPr>
              <w:tab/>
            </w:r>
            <w:r w:rsidRPr="00443A61">
              <w:rPr>
                <w:noProof/>
                <w:webHidden/>
              </w:rPr>
              <w:fldChar w:fldCharType="begin"/>
            </w:r>
            <w:r w:rsidRPr="00443A61">
              <w:rPr>
                <w:noProof/>
                <w:webHidden/>
              </w:rPr>
              <w:instrText xml:space="preserve"> PAGEREF _Toc221538869 \h </w:instrText>
            </w:r>
            <w:r w:rsidRPr="00443A61">
              <w:rPr>
                <w:noProof/>
                <w:webHidden/>
              </w:rPr>
            </w:r>
            <w:r w:rsidRPr="00443A61">
              <w:rPr>
                <w:noProof/>
                <w:webHidden/>
              </w:rPr>
              <w:fldChar w:fldCharType="separate"/>
            </w:r>
            <w:r w:rsidRPr="00443A61">
              <w:rPr>
                <w:noProof/>
                <w:webHidden/>
              </w:rPr>
              <w:t>1</w:t>
            </w:r>
            <w:r w:rsidRPr="00443A61">
              <w:rPr>
                <w:noProof/>
                <w:webHidden/>
              </w:rPr>
              <w:fldChar w:fldCharType="end"/>
            </w:r>
          </w:hyperlink>
        </w:p>
        <w:p w14:paraId="3832B700" w14:textId="7CB9DB16" w:rsidR="00443A61" w:rsidRPr="00443A61" w:rsidRDefault="00443A61">
          <w:pPr>
            <w:pStyle w:val="TOC2"/>
            <w:tabs>
              <w:tab w:val="right" w:leader="dot" w:pos="9016"/>
            </w:tabs>
            <w:rPr>
              <w:noProof/>
              <w:lang w:val="en-NL"/>
            </w:rPr>
          </w:pPr>
          <w:hyperlink w:anchor="_Toc221538870" w:history="1">
            <w:r w:rsidRPr="00443A61">
              <w:rPr>
                <w:rStyle w:val="Hyperlink"/>
                <w:b/>
                <w:bCs/>
                <w:noProof/>
                <w:color w:val="auto"/>
              </w:rPr>
              <w:t>1.1 Population and city boundary data</w:t>
            </w:r>
            <w:r w:rsidRPr="00443A61">
              <w:rPr>
                <w:noProof/>
                <w:webHidden/>
              </w:rPr>
              <w:tab/>
            </w:r>
            <w:r w:rsidRPr="00443A61">
              <w:rPr>
                <w:noProof/>
                <w:webHidden/>
              </w:rPr>
              <w:fldChar w:fldCharType="begin"/>
            </w:r>
            <w:r w:rsidRPr="00443A61">
              <w:rPr>
                <w:noProof/>
                <w:webHidden/>
              </w:rPr>
              <w:instrText xml:space="preserve"> PAGEREF _Toc221538870 \h </w:instrText>
            </w:r>
            <w:r w:rsidRPr="00443A61">
              <w:rPr>
                <w:noProof/>
                <w:webHidden/>
              </w:rPr>
            </w:r>
            <w:r w:rsidRPr="00443A61">
              <w:rPr>
                <w:noProof/>
                <w:webHidden/>
              </w:rPr>
              <w:fldChar w:fldCharType="separate"/>
            </w:r>
            <w:r w:rsidRPr="00443A61">
              <w:rPr>
                <w:noProof/>
                <w:webHidden/>
              </w:rPr>
              <w:t>1</w:t>
            </w:r>
            <w:r w:rsidRPr="00443A61">
              <w:rPr>
                <w:noProof/>
                <w:webHidden/>
              </w:rPr>
              <w:fldChar w:fldCharType="end"/>
            </w:r>
          </w:hyperlink>
        </w:p>
        <w:p w14:paraId="0CA35A16" w14:textId="65F212C1" w:rsidR="00443A61" w:rsidRPr="00443A61" w:rsidRDefault="00443A61">
          <w:pPr>
            <w:pStyle w:val="TOC2"/>
            <w:tabs>
              <w:tab w:val="right" w:leader="dot" w:pos="9016"/>
            </w:tabs>
            <w:rPr>
              <w:noProof/>
              <w:lang w:val="en-NL"/>
            </w:rPr>
          </w:pPr>
          <w:hyperlink w:anchor="_Toc221538871" w:history="1">
            <w:r w:rsidRPr="00443A61">
              <w:rPr>
                <w:rStyle w:val="Hyperlink"/>
                <w:b/>
                <w:bCs/>
                <w:noProof/>
                <w:color w:val="auto"/>
              </w:rPr>
              <w:t>1.2 Dietary intake data</w:t>
            </w:r>
            <w:r w:rsidRPr="00443A61">
              <w:rPr>
                <w:noProof/>
                <w:webHidden/>
              </w:rPr>
              <w:tab/>
            </w:r>
            <w:r w:rsidRPr="00443A61">
              <w:rPr>
                <w:noProof/>
                <w:webHidden/>
              </w:rPr>
              <w:fldChar w:fldCharType="begin"/>
            </w:r>
            <w:r w:rsidRPr="00443A61">
              <w:rPr>
                <w:noProof/>
                <w:webHidden/>
              </w:rPr>
              <w:instrText xml:space="preserve"> PAGEREF _Toc221538871 \h </w:instrText>
            </w:r>
            <w:r w:rsidRPr="00443A61">
              <w:rPr>
                <w:noProof/>
                <w:webHidden/>
              </w:rPr>
            </w:r>
            <w:r w:rsidRPr="00443A61">
              <w:rPr>
                <w:noProof/>
                <w:webHidden/>
              </w:rPr>
              <w:fldChar w:fldCharType="separate"/>
            </w:r>
            <w:r w:rsidRPr="00443A61">
              <w:rPr>
                <w:noProof/>
                <w:webHidden/>
              </w:rPr>
              <w:t>1</w:t>
            </w:r>
            <w:r w:rsidRPr="00443A61">
              <w:rPr>
                <w:noProof/>
                <w:webHidden/>
              </w:rPr>
              <w:fldChar w:fldCharType="end"/>
            </w:r>
          </w:hyperlink>
        </w:p>
        <w:p w14:paraId="71C3C4B9" w14:textId="5D607BFD" w:rsidR="00443A61" w:rsidRPr="00443A61" w:rsidRDefault="00443A61">
          <w:pPr>
            <w:pStyle w:val="TOC2"/>
            <w:tabs>
              <w:tab w:val="right" w:leader="dot" w:pos="9016"/>
            </w:tabs>
            <w:rPr>
              <w:noProof/>
              <w:lang w:val="en-NL"/>
            </w:rPr>
          </w:pPr>
          <w:hyperlink w:anchor="_Toc221538872" w:history="1">
            <w:r w:rsidRPr="00443A61">
              <w:rPr>
                <w:rStyle w:val="Hyperlink"/>
                <w:b/>
                <w:bCs/>
                <w:noProof/>
                <w:color w:val="auto"/>
              </w:rPr>
              <w:t>1.3 Estimating city-level energy intake from GDP</w:t>
            </w:r>
            <w:r w:rsidRPr="00443A61">
              <w:rPr>
                <w:noProof/>
                <w:webHidden/>
              </w:rPr>
              <w:tab/>
            </w:r>
            <w:r w:rsidRPr="00443A61">
              <w:rPr>
                <w:noProof/>
                <w:webHidden/>
              </w:rPr>
              <w:fldChar w:fldCharType="begin"/>
            </w:r>
            <w:r w:rsidRPr="00443A61">
              <w:rPr>
                <w:noProof/>
                <w:webHidden/>
              </w:rPr>
              <w:instrText xml:space="preserve"> PAGEREF _Toc221538872 \h </w:instrText>
            </w:r>
            <w:r w:rsidRPr="00443A61">
              <w:rPr>
                <w:noProof/>
                <w:webHidden/>
              </w:rPr>
            </w:r>
            <w:r w:rsidRPr="00443A61">
              <w:rPr>
                <w:noProof/>
                <w:webHidden/>
              </w:rPr>
              <w:fldChar w:fldCharType="separate"/>
            </w:r>
            <w:r w:rsidRPr="00443A61">
              <w:rPr>
                <w:noProof/>
                <w:webHidden/>
              </w:rPr>
              <w:t>2</w:t>
            </w:r>
            <w:r w:rsidRPr="00443A61">
              <w:rPr>
                <w:noProof/>
                <w:webHidden/>
              </w:rPr>
              <w:fldChar w:fldCharType="end"/>
            </w:r>
          </w:hyperlink>
        </w:p>
        <w:p w14:paraId="7E5ED906" w14:textId="5ABC4C23" w:rsidR="00443A61" w:rsidRPr="00443A61" w:rsidRDefault="00443A61">
          <w:pPr>
            <w:pStyle w:val="TOC2"/>
            <w:tabs>
              <w:tab w:val="right" w:leader="dot" w:pos="9016"/>
            </w:tabs>
            <w:rPr>
              <w:noProof/>
              <w:lang w:val="en-NL"/>
            </w:rPr>
          </w:pPr>
          <w:hyperlink w:anchor="_Toc221538873" w:history="1">
            <w:r w:rsidRPr="00443A61">
              <w:rPr>
                <w:rStyle w:val="Hyperlink"/>
                <w:b/>
                <w:bCs/>
                <w:noProof/>
                <w:color w:val="auto"/>
              </w:rPr>
              <w:t>1.4 Linking population and dietary intake data</w:t>
            </w:r>
            <w:r w:rsidRPr="00443A61">
              <w:rPr>
                <w:noProof/>
                <w:webHidden/>
              </w:rPr>
              <w:tab/>
            </w:r>
            <w:r w:rsidRPr="00443A61">
              <w:rPr>
                <w:noProof/>
                <w:webHidden/>
              </w:rPr>
              <w:fldChar w:fldCharType="begin"/>
            </w:r>
            <w:r w:rsidRPr="00443A61">
              <w:rPr>
                <w:noProof/>
                <w:webHidden/>
              </w:rPr>
              <w:instrText xml:space="preserve"> PAGEREF _Toc221538873 \h </w:instrText>
            </w:r>
            <w:r w:rsidRPr="00443A61">
              <w:rPr>
                <w:noProof/>
                <w:webHidden/>
              </w:rPr>
            </w:r>
            <w:r w:rsidRPr="00443A61">
              <w:rPr>
                <w:noProof/>
                <w:webHidden/>
              </w:rPr>
              <w:fldChar w:fldCharType="separate"/>
            </w:r>
            <w:r w:rsidRPr="00443A61">
              <w:rPr>
                <w:noProof/>
                <w:webHidden/>
              </w:rPr>
              <w:t>3</w:t>
            </w:r>
            <w:r w:rsidRPr="00443A61">
              <w:rPr>
                <w:noProof/>
                <w:webHidden/>
              </w:rPr>
              <w:fldChar w:fldCharType="end"/>
            </w:r>
          </w:hyperlink>
        </w:p>
        <w:p w14:paraId="17B8CA12" w14:textId="1A6B8CE4" w:rsidR="00443A61" w:rsidRPr="00443A61" w:rsidRDefault="00443A61">
          <w:pPr>
            <w:pStyle w:val="TOC1"/>
            <w:tabs>
              <w:tab w:val="right" w:leader="dot" w:pos="9016"/>
            </w:tabs>
            <w:rPr>
              <w:noProof/>
              <w:lang w:val="en-NL"/>
            </w:rPr>
          </w:pPr>
          <w:hyperlink w:anchor="_Toc221538874" w:history="1">
            <w:r w:rsidRPr="00443A61">
              <w:rPr>
                <w:rStyle w:val="Hyperlink"/>
                <w:b/>
                <w:bCs/>
                <w:noProof/>
                <w:color w:val="auto"/>
              </w:rPr>
              <w:t>2. Construction of country-specific per-food environmental coefficients</w:t>
            </w:r>
            <w:r w:rsidRPr="00443A61">
              <w:rPr>
                <w:noProof/>
                <w:webHidden/>
              </w:rPr>
              <w:tab/>
            </w:r>
            <w:r w:rsidRPr="00443A61">
              <w:rPr>
                <w:noProof/>
                <w:webHidden/>
              </w:rPr>
              <w:fldChar w:fldCharType="begin"/>
            </w:r>
            <w:r w:rsidRPr="00443A61">
              <w:rPr>
                <w:noProof/>
                <w:webHidden/>
              </w:rPr>
              <w:instrText xml:space="preserve"> PAGEREF _Toc221538874 \h </w:instrText>
            </w:r>
            <w:r w:rsidRPr="00443A61">
              <w:rPr>
                <w:noProof/>
                <w:webHidden/>
              </w:rPr>
            </w:r>
            <w:r w:rsidRPr="00443A61">
              <w:rPr>
                <w:noProof/>
                <w:webHidden/>
              </w:rPr>
              <w:fldChar w:fldCharType="separate"/>
            </w:r>
            <w:r w:rsidRPr="00443A61">
              <w:rPr>
                <w:noProof/>
                <w:webHidden/>
              </w:rPr>
              <w:t>3</w:t>
            </w:r>
            <w:r w:rsidRPr="00443A61">
              <w:rPr>
                <w:noProof/>
                <w:webHidden/>
              </w:rPr>
              <w:fldChar w:fldCharType="end"/>
            </w:r>
          </w:hyperlink>
        </w:p>
        <w:p w14:paraId="272CD701" w14:textId="0D8BDE36" w:rsidR="00443A61" w:rsidRPr="00443A61" w:rsidRDefault="00443A61">
          <w:pPr>
            <w:pStyle w:val="TOC2"/>
            <w:tabs>
              <w:tab w:val="right" w:leader="dot" w:pos="9016"/>
            </w:tabs>
            <w:rPr>
              <w:noProof/>
              <w:lang w:val="en-NL"/>
            </w:rPr>
          </w:pPr>
          <w:hyperlink w:anchor="_Toc221538875" w:history="1">
            <w:r w:rsidRPr="00443A61">
              <w:rPr>
                <w:rStyle w:val="Hyperlink"/>
                <w:b/>
                <w:bCs/>
                <w:noProof/>
                <w:color w:val="auto"/>
              </w:rPr>
              <w:t>2.1 Food groups and environmental impacts</w:t>
            </w:r>
            <w:r w:rsidRPr="00443A61">
              <w:rPr>
                <w:noProof/>
                <w:webHidden/>
              </w:rPr>
              <w:tab/>
            </w:r>
            <w:r w:rsidRPr="00443A61">
              <w:rPr>
                <w:noProof/>
                <w:webHidden/>
              </w:rPr>
              <w:fldChar w:fldCharType="begin"/>
            </w:r>
            <w:r w:rsidRPr="00443A61">
              <w:rPr>
                <w:noProof/>
                <w:webHidden/>
              </w:rPr>
              <w:instrText xml:space="preserve"> PAGEREF _Toc221538875 \h </w:instrText>
            </w:r>
            <w:r w:rsidRPr="00443A61">
              <w:rPr>
                <w:noProof/>
                <w:webHidden/>
              </w:rPr>
            </w:r>
            <w:r w:rsidRPr="00443A61">
              <w:rPr>
                <w:noProof/>
                <w:webHidden/>
              </w:rPr>
              <w:fldChar w:fldCharType="separate"/>
            </w:r>
            <w:r w:rsidRPr="00443A61">
              <w:rPr>
                <w:noProof/>
                <w:webHidden/>
              </w:rPr>
              <w:t>3</w:t>
            </w:r>
            <w:r w:rsidRPr="00443A61">
              <w:rPr>
                <w:noProof/>
                <w:webHidden/>
              </w:rPr>
              <w:fldChar w:fldCharType="end"/>
            </w:r>
          </w:hyperlink>
        </w:p>
        <w:p w14:paraId="7E40F942" w14:textId="1132237A" w:rsidR="00443A61" w:rsidRPr="00443A61" w:rsidRDefault="00443A61">
          <w:pPr>
            <w:pStyle w:val="TOC2"/>
            <w:tabs>
              <w:tab w:val="right" w:leader="dot" w:pos="9016"/>
            </w:tabs>
            <w:rPr>
              <w:noProof/>
              <w:lang w:val="en-NL"/>
            </w:rPr>
          </w:pPr>
          <w:hyperlink w:anchor="_Toc221538876" w:history="1">
            <w:r w:rsidRPr="00443A61">
              <w:rPr>
                <w:rStyle w:val="Hyperlink"/>
                <w:b/>
                <w:bCs/>
                <w:noProof/>
                <w:color w:val="auto"/>
              </w:rPr>
              <w:t>2.2 Environmental coefficient definition</w:t>
            </w:r>
            <w:r w:rsidRPr="00443A61">
              <w:rPr>
                <w:noProof/>
                <w:webHidden/>
              </w:rPr>
              <w:tab/>
            </w:r>
            <w:r w:rsidRPr="00443A61">
              <w:rPr>
                <w:noProof/>
                <w:webHidden/>
              </w:rPr>
              <w:fldChar w:fldCharType="begin"/>
            </w:r>
            <w:r w:rsidRPr="00443A61">
              <w:rPr>
                <w:noProof/>
                <w:webHidden/>
              </w:rPr>
              <w:instrText xml:space="preserve"> PAGEREF _Toc221538876 \h </w:instrText>
            </w:r>
            <w:r w:rsidRPr="00443A61">
              <w:rPr>
                <w:noProof/>
                <w:webHidden/>
              </w:rPr>
            </w:r>
            <w:r w:rsidRPr="00443A61">
              <w:rPr>
                <w:noProof/>
                <w:webHidden/>
              </w:rPr>
              <w:fldChar w:fldCharType="separate"/>
            </w:r>
            <w:r w:rsidRPr="00443A61">
              <w:rPr>
                <w:noProof/>
                <w:webHidden/>
              </w:rPr>
              <w:t>3</w:t>
            </w:r>
            <w:r w:rsidRPr="00443A61">
              <w:rPr>
                <w:noProof/>
                <w:webHidden/>
              </w:rPr>
              <w:fldChar w:fldCharType="end"/>
            </w:r>
          </w:hyperlink>
        </w:p>
        <w:p w14:paraId="1DA74626" w14:textId="3272704C" w:rsidR="00443A61" w:rsidRPr="00443A61" w:rsidRDefault="00443A61">
          <w:pPr>
            <w:pStyle w:val="TOC1"/>
            <w:tabs>
              <w:tab w:val="right" w:leader="dot" w:pos="9016"/>
            </w:tabs>
            <w:rPr>
              <w:noProof/>
              <w:lang w:val="en-NL"/>
            </w:rPr>
          </w:pPr>
          <w:hyperlink w:anchor="_Toc221538877" w:history="1">
            <w:r w:rsidRPr="00443A61">
              <w:rPr>
                <w:rStyle w:val="Hyperlink"/>
                <w:b/>
                <w:bCs/>
                <w:noProof/>
                <w:color w:val="auto"/>
              </w:rPr>
              <w:t>3. Integrating impact coefficients with demographic dietary intake</w:t>
            </w:r>
            <w:r w:rsidRPr="00443A61">
              <w:rPr>
                <w:noProof/>
                <w:webHidden/>
              </w:rPr>
              <w:tab/>
            </w:r>
            <w:r w:rsidRPr="00443A61">
              <w:rPr>
                <w:noProof/>
                <w:webHidden/>
              </w:rPr>
              <w:fldChar w:fldCharType="begin"/>
            </w:r>
            <w:r w:rsidRPr="00443A61">
              <w:rPr>
                <w:noProof/>
                <w:webHidden/>
              </w:rPr>
              <w:instrText xml:space="preserve"> PAGEREF _Toc221538877 \h </w:instrText>
            </w:r>
            <w:r w:rsidRPr="00443A61">
              <w:rPr>
                <w:noProof/>
                <w:webHidden/>
              </w:rPr>
            </w:r>
            <w:r w:rsidRPr="00443A61">
              <w:rPr>
                <w:noProof/>
                <w:webHidden/>
              </w:rPr>
              <w:fldChar w:fldCharType="separate"/>
            </w:r>
            <w:r w:rsidRPr="00443A61">
              <w:rPr>
                <w:noProof/>
                <w:webHidden/>
              </w:rPr>
              <w:t>4</w:t>
            </w:r>
            <w:r w:rsidRPr="00443A61">
              <w:rPr>
                <w:noProof/>
                <w:webHidden/>
              </w:rPr>
              <w:fldChar w:fldCharType="end"/>
            </w:r>
          </w:hyperlink>
        </w:p>
        <w:p w14:paraId="353AEC4F" w14:textId="319E87D1" w:rsidR="00443A61" w:rsidRPr="00443A61" w:rsidRDefault="00443A61">
          <w:pPr>
            <w:pStyle w:val="TOC1"/>
            <w:tabs>
              <w:tab w:val="right" w:leader="dot" w:pos="9016"/>
            </w:tabs>
            <w:rPr>
              <w:noProof/>
              <w:lang w:val="en-NL"/>
            </w:rPr>
          </w:pPr>
          <w:hyperlink w:anchor="_Toc221538878" w:history="1">
            <w:r w:rsidRPr="00443A61">
              <w:rPr>
                <w:rStyle w:val="Hyperlink"/>
                <w:b/>
                <w:bCs/>
                <w:noProof/>
                <w:color w:val="auto"/>
              </w:rPr>
              <w:t>4. EAT-Lancet diet 2.0 diet and city network adoption (C40, EUROcities, MUFPP)</w:t>
            </w:r>
            <w:r w:rsidRPr="00443A61">
              <w:rPr>
                <w:noProof/>
                <w:webHidden/>
              </w:rPr>
              <w:tab/>
            </w:r>
            <w:r w:rsidRPr="00443A61">
              <w:rPr>
                <w:noProof/>
                <w:webHidden/>
              </w:rPr>
              <w:fldChar w:fldCharType="begin"/>
            </w:r>
            <w:r w:rsidRPr="00443A61">
              <w:rPr>
                <w:noProof/>
                <w:webHidden/>
              </w:rPr>
              <w:instrText xml:space="preserve"> PAGEREF _Toc221538878 \h </w:instrText>
            </w:r>
            <w:r w:rsidRPr="00443A61">
              <w:rPr>
                <w:noProof/>
                <w:webHidden/>
              </w:rPr>
            </w:r>
            <w:r w:rsidRPr="00443A61">
              <w:rPr>
                <w:noProof/>
                <w:webHidden/>
              </w:rPr>
              <w:fldChar w:fldCharType="separate"/>
            </w:r>
            <w:r w:rsidRPr="00443A61">
              <w:rPr>
                <w:noProof/>
                <w:webHidden/>
              </w:rPr>
              <w:t>4</w:t>
            </w:r>
            <w:r w:rsidRPr="00443A61">
              <w:rPr>
                <w:noProof/>
                <w:webHidden/>
              </w:rPr>
              <w:fldChar w:fldCharType="end"/>
            </w:r>
          </w:hyperlink>
        </w:p>
        <w:p w14:paraId="308857A2" w14:textId="3F05E288" w:rsidR="00443A61" w:rsidRPr="00443A61" w:rsidRDefault="00443A61">
          <w:pPr>
            <w:pStyle w:val="TOC1"/>
            <w:tabs>
              <w:tab w:val="right" w:leader="dot" w:pos="9016"/>
            </w:tabs>
            <w:rPr>
              <w:noProof/>
              <w:lang w:val="en-NL"/>
            </w:rPr>
          </w:pPr>
          <w:hyperlink w:anchor="_Toc221538879" w:history="1">
            <w:r w:rsidRPr="00443A61">
              <w:rPr>
                <w:rStyle w:val="Hyperlink"/>
                <w:b/>
                <w:bCs/>
                <w:noProof/>
                <w:color w:val="auto"/>
              </w:rPr>
              <w:t>Supplementary Table 1: Presence of dietary sustainability policies in highest impact cities</w:t>
            </w:r>
            <w:r w:rsidRPr="00443A61">
              <w:rPr>
                <w:noProof/>
                <w:webHidden/>
              </w:rPr>
              <w:tab/>
            </w:r>
            <w:r w:rsidRPr="00443A61">
              <w:rPr>
                <w:noProof/>
                <w:webHidden/>
              </w:rPr>
              <w:fldChar w:fldCharType="begin"/>
            </w:r>
            <w:r w:rsidRPr="00443A61">
              <w:rPr>
                <w:noProof/>
                <w:webHidden/>
              </w:rPr>
              <w:instrText xml:space="preserve"> PAGEREF _Toc221538879 \h </w:instrText>
            </w:r>
            <w:r w:rsidRPr="00443A61">
              <w:rPr>
                <w:noProof/>
                <w:webHidden/>
              </w:rPr>
            </w:r>
            <w:r w:rsidRPr="00443A61">
              <w:rPr>
                <w:noProof/>
                <w:webHidden/>
              </w:rPr>
              <w:fldChar w:fldCharType="separate"/>
            </w:r>
            <w:r w:rsidRPr="00443A61">
              <w:rPr>
                <w:noProof/>
                <w:webHidden/>
              </w:rPr>
              <w:t>5</w:t>
            </w:r>
            <w:r w:rsidRPr="00443A61">
              <w:rPr>
                <w:noProof/>
                <w:webHidden/>
              </w:rPr>
              <w:fldChar w:fldCharType="end"/>
            </w:r>
          </w:hyperlink>
        </w:p>
        <w:p w14:paraId="7996BFE2" w14:textId="5834CE9B" w:rsidR="00443A61" w:rsidRPr="00443A61" w:rsidRDefault="00443A61">
          <w:pPr>
            <w:pStyle w:val="TOC1"/>
            <w:tabs>
              <w:tab w:val="right" w:leader="dot" w:pos="9016"/>
            </w:tabs>
            <w:rPr>
              <w:noProof/>
              <w:lang w:val="en-NL"/>
            </w:rPr>
          </w:pPr>
          <w:hyperlink w:anchor="_Toc221538880" w:history="1">
            <w:r w:rsidRPr="00443A61">
              <w:rPr>
                <w:rStyle w:val="Hyperlink"/>
                <w:b/>
                <w:bCs/>
                <w:noProof/>
                <w:color w:val="auto"/>
              </w:rPr>
              <w:t>Supplementary Figure 1. Dietary pattern and diet-related GHGE of representative cities across world regions</w:t>
            </w:r>
            <w:r w:rsidRPr="00443A61">
              <w:rPr>
                <w:noProof/>
                <w:webHidden/>
              </w:rPr>
              <w:tab/>
            </w:r>
            <w:r w:rsidRPr="00443A61">
              <w:rPr>
                <w:noProof/>
                <w:webHidden/>
              </w:rPr>
              <w:fldChar w:fldCharType="begin"/>
            </w:r>
            <w:r w:rsidRPr="00443A61">
              <w:rPr>
                <w:noProof/>
                <w:webHidden/>
              </w:rPr>
              <w:instrText xml:space="preserve"> PAGEREF _Toc221538880 \h </w:instrText>
            </w:r>
            <w:r w:rsidRPr="00443A61">
              <w:rPr>
                <w:noProof/>
                <w:webHidden/>
              </w:rPr>
            </w:r>
            <w:r w:rsidRPr="00443A61">
              <w:rPr>
                <w:noProof/>
                <w:webHidden/>
              </w:rPr>
              <w:fldChar w:fldCharType="separate"/>
            </w:r>
            <w:r w:rsidRPr="00443A61">
              <w:rPr>
                <w:noProof/>
                <w:webHidden/>
              </w:rPr>
              <w:t>7</w:t>
            </w:r>
            <w:r w:rsidRPr="00443A61">
              <w:rPr>
                <w:noProof/>
                <w:webHidden/>
              </w:rPr>
              <w:fldChar w:fldCharType="end"/>
            </w:r>
          </w:hyperlink>
        </w:p>
        <w:p w14:paraId="274C3FBB" w14:textId="450FDEAE" w:rsidR="00443A61" w:rsidRPr="00443A61" w:rsidRDefault="00443A61">
          <w:pPr>
            <w:pStyle w:val="TOC1"/>
            <w:tabs>
              <w:tab w:val="right" w:leader="dot" w:pos="9016"/>
            </w:tabs>
            <w:rPr>
              <w:noProof/>
              <w:lang w:val="en-NL"/>
            </w:rPr>
          </w:pPr>
          <w:hyperlink w:anchor="_Toc221538881" w:history="1">
            <w:r w:rsidRPr="00443A61">
              <w:rPr>
                <w:rStyle w:val="Hyperlink"/>
                <w:b/>
                <w:bCs/>
                <w:noProof/>
                <w:color w:val="auto"/>
              </w:rPr>
              <w:t>Supplementary Figure 2. Total diet-related GHGE, Water Use, and Land Use across dietary scenarios (stacked by food group).</w:t>
            </w:r>
            <w:r w:rsidRPr="00443A61">
              <w:rPr>
                <w:noProof/>
                <w:webHidden/>
              </w:rPr>
              <w:tab/>
            </w:r>
            <w:r w:rsidRPr="00443A61">
              <w:rPr>
                <w:noProof/>
                <w:webHidden/>
              </w:rPr>
              <w:fldChar w:fldCharType="begin"/>
            </w:r>
            <w:r w:rsidRPr="00443A61">
              <w:rPr>
                <w:noProof/>
                <w:webHidden/>
              </w:rPr>
              <w:instrText xml:space="preserve"> PAGEREF _Toc221538881 \h </w:instrText>
            </w:r>
            <w:r w:rsidRPr="00443A61">
              <w:rPr>
                <w:noProof/>
                <w:webHidden/>
              </w:rPr>
            </w:r>
            <w:r w:rsidRPr="00443A61">
              <w:rPr>
                <w:noProof/>
                <w:webHidden/>
              </w:rPr>
              <w:fldChar w:fldCharType="separate"/>
            </w:r>
            <w:r w:rsidRPr="00443A61">
              <w:rPr>
                <w:noProof/>
                <w:webHidden/>
              </w:rPr>
              <w:t>8</w:t>
            </w:r>
            <w:r w:rsidRPr="00443A61">
              <w:rPr>
                <w:noProof/>
                <w:webHidden/>
              </w:rPr>
              <w:fldChar w:fldCharType="end"/>
            </w:r>
          </w:hyperlink>
        </w:p>
        <w:p w14:paraId="3335C1E0" w14:textId="50633AEA" w:rsidR="00443A61" w:rsidRPr="00443A61" w:rsidRDefault="00443A61">
          <w:pPr>
            <w:pStyle w:val="TOC1"/>
            <w:tabs>
              <w:tab w:val="right" w:leader="dot" w:pos="9016"/>
            </w:tabs>
            <w:rPr>
              <w:noProof/>
              <w:lang w:val="en-NL"/>
            </w:rPr>
          </w:pPr>
          <w:hyperlink w:anchor="_Toc221538882" w:history="1">
            <w:r w:rsidRPr="00443A61">
              <w:rPr>
                <w:rStyle w:val="Hyperlink"/>
                <w:b/>
                <w:bCs/>
                <w:noProof/>
                <w:color w:val="auto"/>
              </w:rPr>
              <w:t>Supplementary Figure 3. Changes in global and city-network dietary environmental footprints when shifting from current diets to the EAT–Lancet 2.0 diet.</w:t>
            </w:r>
            <w:r w:rsidRPr="00443A61">
              <w:rPr>
                <w:noProof/>
                <w:webHidden/>
              </w:rPr>
              <w:tab/>
            </w:r>
            <w:r w:rsidRPr="00443A61">
              <w:rPr>
                <w:noProof/>
                <w:webHidden/>
              </w:rPr>
              <w:fldChar w:fldCharType="begin"/>
            </w:r>
            <w:r w:rsidRPr="00443A61">
              <w:rPr>
                <w:noProof/>
                <w:webHidden/>
              </w:rPr>
              <w:instrText xml:space="preserve"> PAGEREF _Toc221538882 \h </w:instrText>
            </w:r>
            <w:r w:rsidRPr="00443A61">
              <w:rPr>
                <w:noProof/>
                <w:webHidden/>
              </w:rPr>
            </w:r>
            <w:r w:rsidRPr="00443A61">
              <w:rPr>
                <w:noProof/>
                <w:webHidden/>
              </w:rPr>
              <w:fldChar w:fldCharType="separate"/>
            </w:r>
            <w:r w:rsidRPr="00443A61">
              <w:rPr>
                <w:noProof/>
                <w:webHidden/>
              </w:rPr>
              <w:t>9</w:t>
            </w:r>
            <w:r w:rsidRPr="00443A61">
              <w:rPr>
                <w:noProof/>
                <w:webHidden/>
              </w:rPr>
              <w:fldChar w:fldCharType="end"/>
            </w:r>
          </w:hyperlink>
        </w:p>
        <w:p w14:paraId="7D0C3AB3" w14:textId="305B7928" w:rsidR="00C61742" w:rsidRPr="00443A61" w:rsidRDefault="00C61742">
          <w:r w:rsidRPr="00443A61">
            <w:rPr>
              <w:b/>
              <w:bCs/>
              <w:noProof/>
            </w:rPr>
            <w:fldChar w:fldCharType="end"/>
          </w:r>
        </w:p>
      </w:sdtContent>
    </w:sdt>
    <w:p w14:paraId="648359E7" w14:textId="77777777" w:rsidR="0093613C" w:rsidRPr="00443A61" w:rsidRDefault="0093613C" w:rsidP="02B5BA7D">
      <w:pPr>
        <w:jc w:val="both"/>
        <w:rPr>
          <w:b/>
          <w:bCs/>
        </w:rPr>
      </w:pPr>
    </w:p>
    <w:p w14:paraId="033EB0D4" w14:textId="77777777" w:rsidR="00270AE3" w:rsidRPr="00443A61" w:rsidRDefault="00270AE3" w:rsidP="02B5BA7D">
      <w:pPr>
        <w:jc w:val="both"/>
        <w:rPr>
          <w:b/>
          <w:bCs/>
        </w:rPr>
      </w:pPr>
    </w:p>
    <w:p w14:paraId="435B11BE" w14:textId="77777777" w:rsidR="00C61742" w:rsidRPr="00443A61" w:rsidRDefault="00C61742" w:rsidP="02B5BA7D">
      <w:pPr>
        <w:jc w:val="both"/>
        <w:rPr>
          <w:b/>
          <w:bCs/>
        </w:rPr>
      </w:pPr>
    </w:p>
    <w:p w14:paraId="68A9501C" w14:textId="77777777" w:rsidR="00C61742" w:rsidRPr="00443A61" w:rsidRDefault="00C61742" w:rsidP="02B5BA7D">
      <w:pPr>
        <w:jc w:val="both"/>
        <w:rPr>
          <w:b/>
          <w:bCs/>
        </w:rPr>
      </w:pPr>
    </w:p>
    <w:p w14:paraId="231E8E0C" w14:textId="77777777" w:rsidR="00C61742" w:rsidRPr="00443A61" w:rsidRDefault="00C61742" w:rsidP="02B5BA7D">
      <w:pPr>
        <w:jc w:val="both"/>
        <w:rPr>
          <w:b/>
          <w:bCs/>
        </w:rPr>
      </w:pPr>
    </w:p>
    <w:p w14:paraId="1F9F4896" w14:textId="4BAA0330" w:rsidR="00F7612C" w:rsidRPr="00443A61" w:rsidRDefault="00F7612C" w:rsidP="00920E62">
      <w:pPr>
        <w:pStyle w:val="Heading1"/>
        <w:rPr>
          <w:b/>
          <w:bCs/>
          <w:color w:val="auto"/>
          <w:sz w:val="24"/>
          <w:szCs w:val="24"/>
        </w:rPr>
      </w:pPr>
      <w:bookmarkStart w:id="0" w:name="_Toc221538868"/>
      <w:r w:rsidRPr="00443A61">
        <w:rPr>
          <w:b/>
          <w:bCs/>
          <w:color w:val="auto"/>
          <w:sz w:val="24"/>
          <w:szCs w:val="24"/>
        </w:rPr>
        <w:lastRenderedPageBreak/>
        <w:t xml:space="preserve">MATILDA-City </w:t>
      </w:r>
      <w:r w:rsidRPr="00443A61">
        <w:rPr>
          <w:rFonts w:hint="eastAsia"/>
          <w:b/>
          <w:bCs/>
          <w:color w:val="auto"/>
          <w:sz w:val="24"/>
          <w:szCs w:val="24"/>
        </w:rPr>
        <w:t>datasets</w:t>
      </w:r>
      <w:bookmarkEnd w:id="0"/>
    </w:p>
    <w:p w14:paraId="54E2C1A7" w14:textId="51591780" w:rsidR="00F944E6" w:rsidRPr="00443A61" w:rsidRDefault="131C0524" w:rsidP="24FBF3FB">
      <w:pPr>
        <w:jc w:val="both"/>
      </w:pPr>
      <w:r w:rsidRPr="00443A61">
        <w:t xml:space="preserve">This study extends MATILDA (Micro–Macro Assessment Tool to Identify Low-impact Dietary Actions) to the city level. </w:t>
      </w:r>
      <w:r w:rsidR="1F5C8AE7" w:rsidRPr="00443A61">
        <w:t xml:space="preserve">The core structure of MATILDA </w:t>
      </w:r>
      <w:r w:rsidR="255B78DE" w:rsidRPr="00443A61">
        <w:t>couples</w:t>
      </w:r>
      <w:r w:rsidR="1F5C8AE7" w:rsidRPr="00443A61">
        <w:t xml:space="preserve"> harmonised dietary intake data from the Global Dietary Database (GDD)</w:t>
      </w:r>
      <w:r w:rsidRPr="00443A61">
        <w:fldChar w:fldCharType="begin"/>
      </w:r>
      <w:r w:rsidRPr="00443A61">
        <w:instrText xml:space="preserve"> ADDIN ZOTERO_ITEM CSL_CITATION {"citationID":"NaDiKolP","properties":{"formattedCitation":"(1)","plainCitation":"(1)","noteIndex":0},"citationItems":[{"id":"nnJuiZe2/ZzIWYFfb","uris":["http://zotero.org/users/16665975/items/MKQEMCMY"],"itemData":{"id":424,"type":"article-journal","abstract":"Background We aimed to systematically identify, standardise and disseminate individual-level dietary intake surveys from up to 207 countries for 54 foods, beverages and nutrients, including subnational intakes by age, sex, education and urban/rural residence, from 1980 to 2015.Methods Between 2008–2011 and 2014–2020, the Global Dietary Database (GDD) project systematically searched for surveys assessing individual-level intake worldwide. We prioritised nationally or subnationally representative surveys using 24-hour recalls, Food-Frequency Questionnaires or short standardised questionnaires. Data were retrieved from websites or corresponding members as individual-level food group microdata or aggregate stratum-level data. Standardisation included quality assessment; data cleaning; categorising of foods and nutrients and their units; aggregation by demographic strata and energy adjustment.Results We standardised and incorporated 1220 surveys into the final GDD 2017 database, together represented 188 countries and 99.0% of the world’s population in 2015. 72.1% were nationally, 17.0% subnationally, and 10.9% community-level representative. 41.2% used Food-Frequency Questionnaires; 23.4%, 24-hour recalls; 15.8%, Demographic Health Survey questionnaires; 13.1%, biomarkers and 6.4%, household surveys. 73.9% of surveys included data on children; 52.2%, by urban and rural residence; and 30.2%, by education. Most surveys were in high-income countries, followed by sub-Saharan Africa and Asia. Most commonly ascertained foods were fruits (N=803 surveys), non-starchy vegetables (N=787) and sugar-sweetened beverages (N=440); and nutrients, sodium (N=343), energy (N=256), calcium (N=224) and fibre (N=200). Least available data were on iodine, vitamin A, plant protein, selenium, added sugar and animal protein.Conclusions This systematic search, retrieval and standardised effort provides the most comprehensive empirical evidence on dietary intakes across and within countries worldwide.","container-title":"BMJ Global Health","DOI":"10.1136/bmjgh-2020-003585","ISSN":"2059-7908","issue":"2","journalAbbreviation":"BMJ Glob Health","language":"en","license":"This is an open access article distributed in accordance with the Creative Commons Attribution 4.0 Unported (CC BY 4.0) license","note":"publisher: BMJ Publishing Group Ltd\nPMID: 10.1136/bmjgh-2020-003585","source":"gh.bmj.com","title":"Global Dietary Database 2017: data availability and gaps on 54 major foods, beverages and nutrients among 5.6 million children and adults from 1220 surveys worldwide","title-short":"Global Dietary Database 2017","URL":"https://gh.bmj.com/content/6/2/e003585","volume":"6","author":[{"family":"Miller","given":"Victoria"},{"family":"Singh","given":"Gitanjali M."},{"family":"Onopa","given":"Jennifer"},{"family":"Reedy","given":"Julia"},{"family":"Shi","given":"Peilin"},{"family":"Zhang","given":"Jianyi"},{"family":"Tahira","given":"Adeem"},{"family":"Morris","given":"Masha L. Shulkin"},{"family":"Marsden","given":"Daniel P."},{"family":"Kranz","given":"Sarah"},{"family":"Stoyell","given":"Sally"},{"family":"Webb","given":"Patrick"},{"family":"Micha","given":"Renata"},{"family":"Mozaffarian","given":"Dariush"}],"accessed":{"date-parts":[["2025",11,15]]},"issued":{"date-parts":[["2021",2,5]]}}}],"schema":"https://github.com/citation-style-language/schema/raw/master/csl-citation.json"} </w:instrText>
      </w:r>
      <w:r w:rsidRPr="00443A61">
        <w:fldChar w:fldCharType="separate"/>
      </w:r>
      <w:r w:rsidR="00275A10" w:rsidRPr="00443A61">
        <w:rPr>
          <w:rFonts w:ascii="Aptos" w:hAnsi="Aptos"/>
        </w:rPr>
        <w:t>(1)</w:t>
      </w:r>
      <w:r w:rsidRPr="00443A61">
        <w:fldChar w:fldCharType="end"/>
      </w:r>
      <w:r w:rsidR="1F5C8AE7" w:rsidRPr="00443A61">
        <w:t xml:space="preserve"> </w:t>
      </w:r>
      <w:r w:rsidR="00751BA1" w:rsidRPr="00443A61">
        <w:t>with</w:t>
      </w:r>
      <w:r w:rsidR="1F5C8AE7" w:rsidRPr="00443A61">
        <w:t xml:space="preserve"> country-specific </w:t>
      </w:r>
      <w:r w:rsidR="04454C50" w:rsidRPr="00443A61">
        <w:t>food supply chain data</w:t>
      </w:r>
      <w:r w:rsidR="1F5C8AE7" w:rsidRPr="00443A61">
        <w:t xml:space="preserve"> from the Food and Agriculture Biomass Input–Output (FABIO) model</w:t>
      </w:r>
      <w:r w:rsidRPr="00443A61">
        <w:fldChar w:fldCharType="begin"/>
      </w:r>
      <w:r w:rsidRPr="00443A61">
        <w:instrText xml:space="preserve"> ADDIN ZOTERO_ITEM CSL_CITATION {"citationID":"DaFcxKkb","properties":{"formattedCitation":"(2)","plainCitation":"(2)","noteIndex":0},"citationItems":[{"id":65,"uris":["http://zotero.org/users/16665975/items/9AY5XQHD"],"itemData":{"id":65,"type":"article-journal","abstract":"Harvested biomass is linked to final consumption by networks of processes and actors that convert and distribute food and nonfood goods. Achieving a sustainable resource metabolism of the economy is an overarching challenge which manifests itself in a number of the UN Sustainable Development Goals. Modeling the physical dimensions of biomass conversion and distribution networks is essential to understanding the characteristics, drivers, and dynamics of the socio-economic biomass metabolism. In this paper, we present the Food and Agriculture Biomass Input–Output model (FABIO), a set of multiregional supply, use and input–output tables in physical units, that document the complex flows of agricultural and food products in the global economy. The model assembles FAOSTAT statistics reporting crop production, trade, and utilization in physical units, supplemented by data on technical and metabolic conversion efficiencies, into a consistent, balanced, input–output framework. FABIO covers 191 countries and 130 agriculture, food and forestry products from 1986 to 2013. The physical supply use tables offered by FABIO provide a comprehensive, transparent, and flexible structure for organizing data representing flows of materials within metabolic networks. They allow tracing of biomass flows and embodied environmental pressures along global supply chains at an unprecedented level of product and country detail and can help to answer a range of questions regarding environment, agriculture, and trade. Here we apply FABIO to the case of cropland footprints and show the evolution of consumption-based cropland demand in China, the E.U., and the U.S.A. for plant-based and livestock-based food and nonfood products.","container-title":"Environmental Science &amp; Technology","DOI":"10.1021/acs.est.9b03554","ISSN":"0013-936X","issue":"19","journalAbbreviation":"Environ. Sci. Technol.","page":"11302-11312","publisher":"American Chemical Society","source":"ACS Publications","title":"FABIO—The Construction of the Food and Agriculture Biomass Input–Output Model","volume":"53","author":[{"family":"Bruckner","given":"Martin"},{"family":"Wood","given":"Richard"},{"family":"Moran","given":"Daniel"},{"family":"Kuschnig","given":"Nikolas"},{"family":"Wieland","given":"Hanspeter"},{"family":"Maus","given":"Victor"},{"family":"Börner","given":"Jan"}],"issued":{"date-parts":[["2019",10,1]]}}}],"schema":"https://github.com/citation-style-language/schema/raw/master/csl-citation.json"} </w:instrText>
      </w:r>
      <w:r w:rsidRPr="00443A61">
        <w:fldChar w:fldCharType="separate"/>
      </w:r>
      <w:r w:rsidR="00275A10" w:rsidRPr="00443A61">
        <w:rPr>
          <w:rFonts w:ascii="Aptos" w:hAnsi="Aptos"/>
        </w:rPr>
        <w:t>(2)</w:t>
      </w:r>
      <w:r w:rsidRPr="00443A61">
        <w:fldChar w:fldCharType="end"/>
      </w:r>
      <w:r w:rsidR="1F5C8AE7" w:rsidRPr="00443A61">
        <w:t xml:space="preserve"> to enable environmental </w:t>
      </w:r>
      <w:r w:rsidR="48719C14" w:rsidRPr="00443A61">
        <w:t xml:space="preserve">footprinting </w:t>
      </w:r>
      <w:r w:rsidR="1F5C8AE7" w:rsidRPr="00443A61">
        <w:t>of</w:t>
      </w:r>
      <w:r w:rsidR="150788BE" w:rsidRPr="00443A61">
        <w:t xml:space="preserve"> dietary intake </w:t>
      </w:r>
      <w:r w:rsidR="5548553D" w:rsidRPr="00443A61">
        <w:t>in 165 countries, across 72</w:t>
      </w:r>
      <w:r w:rsidR="1F5C8AE7" w:rsidRPr="00443A61">
        <w:t xml:space="preserve"> socio-demographic groups. </w:t>
      </w:r>
      <w:r w:rsidR="3A6FBCE7" w:rsidRPr="00443A61">
        <w:t xml:space="preserve">Within this study, we extend this framework to the city level by connecting </w:t>
      </w:r>
      <w:r w:rsidR="0505BE2D" w:rsidRPr="00443A61">
        <w:t>MATILDA</w:t>
      </w:r>
      <w:r w:rsidR="1F5C8AE7" w:rsidRPr="00443A61">
        <w:t xml:space="preserve"> to</w:t>
      </w:r>
      <w:r w:rsidR="22CE64A7" w:rsidRPr="00443A61">
        <w:t xml:space="preserve"> </w:t>
      </w:r>
      <w:r w:rsidR="1F5C8AE7" w:rsidRPr="00443A61">
        <w:t>gridded</w:t>
      </w:r>
      <w:r w:rsidR="12175AFF" w:rsidRPr="00443A61">
        <w:t xml:space="preserve"> </w:t>
      </w:r>
      <w:r w:rsidR="1F5C8AE7" w:rsidRPr="00443A61">
        <w:t>population</w:t>
      </w:r>
      <w:r w:rsidR="7AAFEC00" w:rsidRPr="00443A61">
        <w:t xml:space="preserve"> and economic</w:t>
      </w:r>
      <w:r w:rsidR="10B59A5A" w:rsidRPr="00443A61">
        <w:t xml:space="preserve"> </w:t>
      </w:r>
      <w:r w:rsidR="1F5C8AE7" w:rsidRPr="00443A61">
        <w:t xml:space="preserve">data to derive age- and sex-resolved </w:t>
      </w:r>
      <w:r w:rsidR="7655BBCA" w:rsidRPr="00443A61">
        <w:t>food consumption patterns and environmental footprints</w:t>
      </w:r>
      <w:r w:rsidR="1F5C8AE7" w:rsidRPr="00443A61">
        <w:t xml:space="preserve"> for approximately 13,000 cities worldwide.</w:t>
      </w:r>
      <w:r w:rsidR="11BCE1BD" w:rsidRPr="00443A61">
        <w:t xml:space="preserve"> </w:t>
      </w:r>
      <w:r w:rsidRPr="00443A61">
        <w:t>The result</w:t>
      </w:r>
      <w:r w:rsidR="4106523C" w:rsidRPr="00443A61">
        <w:t>ant</w:t>
      </w:r>
      <w:r w:rsidRPr="00443A61">
        <w:t xml:space="preserve"> </w:t>
      </w:r>
      <w:r w:rsidR="2DBBE776" w:rsidRPr="00443A61">
        <w:t>database</w:t>
      </w:r>
      <w:r w:rsidR="4106523C" w:rsidRPr="00443A61">
        <w:t>,</w:t>
      </w:r>
      <w:r w:rsidRPr="00443A61">
        <w:t xml:space="preserve"> MATILDA-City</w:t>
      </w:r>
      <w:r w:rsidR="3EB871F7" w:rsidRPr="00443A61">
        <w:t>,</w:t>
      </w:r>
      <w:r w:rsidR="57C7682D" w:rsidRPr="00443A61">
        <w:t xml:space="preserve"> offers a tool for benchmarking food consumption patterns of cities and sustainable</w:t>
      </w:r>
      <w:r w:rsidR="57EAFF2F" w:rsidRPr="00443A61">
        <w:t xml:space="preserve"> </w:t>
      </w:r>
      <w:r w:rsidR="57C7682D" w:rsidRPr="00443A61">
        <w:t xml:space="preserve">improvement actions. </w:t>
      </w:r>
    </w:p>
    <w:p w14:paraId="7A38CE3B" w14:textId="06BADCAF" w:rsidR="001B45A3" w:rsidRPr="00443A61" w:rsidRDefault="28632BDD" w:rsidP="31D30A5B">
      <w:pPr>
        <w:jc w:val="both"/>
      </w:pPr>
      <w:r w:rsidRPr="00443A61">
        <w:t xml:space="preserve">Within </w:t>
      </w:r>
      <w:r w:rsidR="16A43737" w:rsidRPr="00443A61">
        <w:t>this</w:t>
      </w:r>
      <w:r w:rsidRPr="00443A61">
        <w:t xml:space="preserve"> study w</w:t>
      </w:r>
      <w:r w:rsidR="00F944E6" w:rsidRPr="00443A61">
        <w:t xml:space="preserve">e </w:t>
      </w:r>
      <w:r w:rsidR="0E272225" w:rsidRPr="00443A61">
        <w:t xml:space="preserve">apply MATILDA-City to </w:t>
      </w:r>
      <w:r w:rsidR="00F944E6" w:rsidRPr="00443A61">
        <w:t>quantif</w:t>
      </w:r>
      <w:r w:rsidR="25EEF324" w:rsidRPr="00443A61">
        <w:t>y</w:t>
      </w:r>
      <w:r w:rsidR="00F944E6" w:rsidRPr="00443A61">
        <w:t xml:space="preserve"> baseline city-level dietary footprints for GHGE, water use, and land use, and conducted scenario analyses assessing urban dietary transitions towards the EAT-Lancet v1.0</w:t>
      </w:r>
      <w:r w:rsidRPr="00443A61">
        <w:fldChar w:fldCharType="begin"/>
      </w:r>
      <w:r w:rsidR="00A964FF" w:rsidRPr="00443A61">
        <w:instrText xml:space="preserve"> ADDIN ZOTERO_ITEM CSL_CITATION {"citationID":"CvjL2q1r","properties":{"formattedCitation":"(3)","plainCitation":"(3)","noteIndex":0},"citationItems":[{"id":595,"uris":["http://zotero.org/users/16665975/items/CTV7HSME"],"itemData":{"id":595,"type":"article-journal","container-title":"The Lancet","DOI":"10.1016/S0140-6736(18)31788-4","ISSN":"0140-6736, 1474-547X","issue":"10170","journalAbbreviation":"The Lancet","language":"English","page":"447-492","PMID":"30660336","publisher":"Elsevier","source":"www.thelancet.com","title":"Food in the Anthropocene: the EAT–Lancet Commission on healthy diets from sustainable food systems","title-short":"Food in the Anthropocene","volume":"393","author":[{"family":"Willett","given":"Walter"},{"family":"Rockström","given":"Johan"},{"family":"Loken","given":"Brent"},{"family":"Springmann","given":"Marco"},{"family":"Lang","given":"Tim"},{"family":"Vermeulen","given":"Sonja"},{"family":"Garnett","given":"Tara"},{"family":"Tilman","given":"David"},{"family":"DeClerck","given":"Fabrice"},{"family":"Wood","given":"Amanda"},{"family":"Jonell","given":"Malin"},{"family":"Clark","given":"Michael"},{"family":"Gordon","given":"Line J."},{"family":"Fanzo","given":"Jessica"},{"family":"Hawkes","given":"Corinna"},{"family":"Zurayk","given":"Rami"},{"family":"Rivera","given":"Juan A."},{"family":"Vries","given":"Wim De"},{"family":"Sibanda","given":"Lindiwe Majele"},{"family":"Afshin","given":"Ashkan"},{"family":"Chaudhary","given":"Abhishek"},{"family":"Herrero","given":"Mario"},{"family":"Agustina","given":"Rina"},{"family":"Branca","given":"Francesco"},{"family":"Lartey","given":"Anna"},{"family":"Fan","given":"Shenggen"},{"family":"Crona","given":"Beatrice"},{"family":"Fox","given":"Elizabeth"},{"family":"Bignet","given":"Victoria"},{"family":"Troell","given":"Max"},{"family":"Lindahl","given":"Therese"},{"family":"Singh","given":"Sudhvir"},{"family":"Cornell","given":"Sarah E."},{"family":"Reddy","given":"K. Srinath"},{"family":"Narain","given":"Sunita"},{"family":"Nishtar","given":"Sania"},{"family":"Murray","given":"Christopher J. L."}],"issued":{"date-parts":[["2019",2,2]]}}}],"schema":"https://github.com/citation-style-language/schema/raw/master/csl-citation.json"} </w:instrText>
      </w:r>
      <w:r w:rsidRPr="00443A61">
        <w:fldChar w:fldCharType="separate"/>
      </w:r>
      <w:r w:rsidR="002B0E95" w:rsidRPr="00443A61">
        <w:rPr>
          <w:rFonts w:ascii="Aptos" w:hAnsi="Aptos"/>
        </w:rPr>
        <w:t>(3)</w:t>
      </w:r>
      <w:r w:rsidRPr="00443A61">
        <w:fldChar w:fldCharType="end"/>
      </w:r>
      <w:r w:rsidR="00F944E6" w:rsidRPr="00443A61">
        <w:t xml:space="preserve"> and v2.0 reference diets</w:t>
      </w:r>
      <w:r w:rsidRPr="00443A61">
        <w:fldChar w:fldCharType="begin"/>
      </w:r>
      <w:r w:rsidR="00A964FF" w:rsidRPr="00443A61">
        <w:instrText xml:space="preserve"> ADDIN ZOTERO_ITEM CSL_CITATION {"citationID":"ydpVHs6r","properties":{"formattedCitation":"(4)","plainCitation":"(4)","noteIndex":0},"citationItems":[{"id":598,"uris":["http://zotero.org/users/16665975/items/BH6T7EV4"],"itemData":{"id":598,"type":"article-journal","container-title":"The Lancet","issue":"10512","page":"1625–1700","publisher":"Elsevier","source":"Google Scholar","title":"The EAT–Lancet Commission on healthy, sustainable, and just food systems","volume":"406","author":[{"family":"Rockström","given":"Johan"},{"family":"Thilsted","given":"Shakuntala Haraksingh"},{"family":"Willett","given":"Walter C."},{"family":"Gordon","given":"Line J."},{"family":"Herrero","given":"Mario"},{"family":"Hicks","given":"Christina C."},{"family":"Mason-D'Croz","given":"Daniel"},{"family":"Rao","given":"Nitya"},{"family":"Springmann","given":"Marco"},{"family":"Wright","given":"Ellen Cecilie"}],"issued":{"date-parts":[["2025"]]}}}],"schema":"https://github.com/citation-style-language/schema/raw/master/csl-citation.json"} </w:instrText>
      </w:r>
      <w:r w:rsidRPr="00443A61">
        <w:fldChar w:fldCharType="separate"/>
      </w:r>
      <w:r w:rsidR="002B0E95" w:rsidRPr="00443A61">
        <w:rPr>
          <w:rFonts w:ascii="Aptos" w:hAnsi="Aptos"/>
        </w:rPr>
        <w:t>(4)</w:t>
      </w:r>
      <w:r w:rsidRPr="00443A61">
        <w:fldChar w:fldCharType="end"/>
      </w:r>
      <w:r w:rsidR="00F944E6" w:rsidRPr="00443A61">
        <w:t xml:space="preserve">, including full global adoption and partial adoption among major </w:t>
      </w:r>
      <w:r w:rsidR="77CF28AB" w:rsidRPr="00443A61">
        <w:t xml:space="preserve">transnational food policy </w:t>
      </w:r>
      <w:r w:rsidR="00F944E6" w:rsidRPr="00443A61">
        <w:t>city networks (C40</w:t>
      </w:r>
      <w:r w:rsidRPr="00443A61">
        <w:fldChar w:fldCharType="begin"/>
      </w:r>
      <w:r w:rsidRPr="00443A61">
        <w:instrText xml:space="preserve"> ADDIN ZOTERO_ITEM CSL_CITATION {"citationID":"vwW0nMWa","properties":{"formattedCitation":"(5)","plainCitation":"(5)","noteIndex":0},"citationItems":[{"id":599,"uris":["http://zotero.org/users/16665975/items/EU2RIKJH"],"itemData":{"id":599,"type":"webpage","abstract":"C40 Cities is a global network of mayors taking urgent action to confront the climate crisis and create a future where everyone can thrive.","container-title":"C40 Cities","language":"en-GB","title":"C40 Cities: Transforming urban systems for climate action","title-short":"C40 Cities","URL":"https://www.c40.org/"}}],"schema":"https://github.com/citation-style-language/schema/raw/master/csl-citation.json"} </w:instrText>
      </w:r>
      <w:r w:rsidRPr="00443A61">
        <w:fldChar w:fldCharType="separate"/>
      </w:r>
      <w:r w:rsidR="00D11143" w:rsidRPr="00443A61">
        <w:rPr>
          <w:rFonts w:ascii="Aptos" w:hAnsi="Aptos"/>
        </w:rPr>
        <w:t>(5)</w:t>
      </w:r>
      <w:r w:rsidRPr="00443A61">
        <w:fldChar w:fldCharType="end"/>
      </w:r>
      <w:r w:rsidR="00F944E6" w:rsidRPr="00443A61">
        <w:t>, E</w:t>
      </w:r>
      <w:r w:rsidR="00BC24C8" w:rsidRPr="00443A61">
        <w:rPr>
          <w:rFonts w:hint="eastAsia"/>
        </w:rPr>
        <w:t>uro</w:t>
      </w:r>
      <w:r w:rsidR="00F944E6" w:rsidRPr="00443A61">
        <w:t>cities</w:t>
      </w:r>
      <w:r w:rsidRPr="00443A61">
        <w:fldChar w:fldCharType="begin"/>
      </w:r>
      <w:r w:rsidRPr="00443A61">
        <w:instrText xml:space="preserve"> ADDIN ZOTERO_ITEM CSL_CITATION {"citationID":"a0LQcH9Z","properties":{"formattedCitation":"(6)","plainCitation":"(6)","noteIndex":0},"citationItems":[{"id":601,"uris":["http://zotero.org/users/16665975/items/H9VAJMGM"],"itemData":{"id":601,"type":"post-weblog","abstract":"We strive for a Europe where cities are genuine partners with the EU to create a better future for all.","language":"en-GB","title":"Eurocities - Home","URL":"https://eurocities.eu/"}}],"schema":"https://github.com/citation-style-language/schema/raw/master/csl-citation.json"} </w:instrText>
      </w:r>
      <w:r w:rsidRPr="00443A61">
        <w:fldChar w:fldCharType="separate"/>
      </w:r>
      <w:r w:rsidR="00491CF6" w:rsidRPr="00443A61">
        <w:rPr>
          <w:rFonts w:ascii="Aptos" w:hAnsi="Aptos"/>
        </w:rPr>
        <w:t>(6)</w:t>
      </w:r>
      <w:r w:rsidRPr="00443A61">
        <w:fldChar w:fldCharType="end"/>
      </w:r>
      <w:r w:rsidR="00F944E6" w:rsidRPr="00443A61">
        <w:t>, and MUFPP</w:t>
      </w:r>
      <w:r w:rsidRPr="00443A61">
        <w:fldChar w:fldCharType="begin"/>
      </w:r>
      <w:r w:rsidRPr="00443A61">
        <w:instrText xml:space="preserve"> ADDIN ZOTERO_ITEM CSL_CITATION {"citationID":"XcGciBdK","properties":{"formattedCitation":"(7)","plainCitation":"(7)","noteIndex":0},"citationItems":[{"id":603,"uris":["http://zotero.org/users/16665975/items/CJZJ8CYJ"],"itemData":{"id":603,"type":"webpage","abstract":"The Milan Urban Food Policy Pact is an international agreement on urban food policies signed by over 200 cities from all over the world.","container-title":"Milan Urban Food Policy Pact","language":"it-IT","title":"Milan Urban Food Policy Pact","URL":"https://www.milanurbanfoodpolicypact.org/"}}],"schema":"https://github.com/citation-style-language/schema/raw/master/csl-citation.json"} </w:instrText>
      </w:r>
      <w:r w:rsidRPr="00443A61">
        <w:fldChar w:fldCharType="separate"/>
      </w:r>
      <w:r w:rsidR="00491CF6" w:rsidRPr="00443A61">
        <w:rPr>
          <w:rFonts w:ascii="Aptos" w:hAnsi="Aptos"/>
        </w:rPr>
        <w:t>(7)</w:t>
      </w:r>
      <w:r w:rsidRPr="00443A61">
        <w:fldChar w:fldCharType="end"/>
      </w:r>
      <w:r w:rsidR="00F944E6" w:rsidRPr="00443A61">
        <w:t>).</w:t>
      </w:r>
    </w:p>
    <w:p w14:paraId="7A142945" w14:textId="3C21D6AE" w:rsidR="004E04C5" w:rsidRPr="00443A61" w:rsidRDefault="006464D4" w:rsidP="00920E62">
      <w:pPr>
        <w:pStyle w:val="Heading1"/>
        <w:rPr>
          <w:b/>
          <w:bCs/>
          <w:color w:val="auto"/>
          <w:sz w:val="24"/>
          <w:szCs w:val="24"/>
        </w:rPr>
      </w:pPr>
      <w:bookmarkStart w:id="1" w:name="_Toc221538869"/>
      <w:r w:rsidRPr="00443A61">
        <w:rPr>
          <w:b/>
          <w:bCs/>
          <w:color w:val="auto"/>
          <w:sz w:val="24"/>
          <w:szCs w:val="24"/>
        </w:rPr>
        <w:t>1. Integration of city-level population and dietary data</w:t>
      </w:r>
      <w:bookmarkEnd w:id="1"/>
    </w:p>
    <w:p w14:paraId="3AAC4ACD" w14:textId="63F8EE28" w:rsidR="004E04C5" w:rsidRPr="00443A61" w:rsidRDefault="004E04C5" w:rsidP="00C5003F">
      <w:pPr>
        <w:pStyle w:val="Heading2"/>
        <w:rPr>
          <w:b/>
          <w:bCs/>
          <w:color w:val="auto"/>
          <w:sz w:val="24"/>
          <w:szCs w:val="24"/>
        </w:rPr>
      </w:pPr>
      <w:bookmarkStart w:id="2" w:name="_Toc221538870"/>
      <w:r w:rsidRPr="00443A61">
        <w:rPr>
          <w:b/>
          <w:bCs/>
          <w:color w:val="auto"/>
          <w:sz w:val="24"/>
          <w:szCs w:val="24"/>
        </w:rPr>
        <w:t>1.1 Population and city boundary data</w:t>
      </w:r>
      <w:bookmarkEnd w:id="2"/>
    </w:p>
    <w:p w14:paraId="0EF7F662" w14:textId="46D6B143" w:rsidR="00B14636" w:rsidRPr="00443A61" w:rsidRDefault="752E639A" w:rsidP="24FBF3FB">
      <w:pPr>
        <w:jc w:val="both"/>
      </w:pPr>
      <w:r w:rsidRPr="00443A61">
        <w:t xml:space="preserve">To construct a harmonised global dataset linking city-level population structures with dietary intake data, we integrated gridded population </w:t>
      </w:r>
      <w:r w:rsidR="0A9DCD1E" w:rsidRPr="00443A61">
        <w:t>estimates</w:t>
      </w:r>
      <w:r w:rsidRPr="00443A61">
        <w:t xml:space="preserve"> from </w:t>
      </w:r>
      <w:r w:rsidR="409BF55B" w:rsidRPr="00443A61">
        <w:t>WorldPop</w:t>
      </w:r>
      <w:r w:rsidR="00275A10" w:rsidRPr="00443A61">
        <w:fldChar w:fldCharType="begin"/>
      </w:r>
      <w:r w:rsidR="00491CF6" w:rsidRPr="00443A61">
        <w:instrText xml:space="preserve"> ADDIN ZOTERO_ITEM CSL_CITATION {"citationID":"i0Uazfl9","properties":{"formattedCitation":"(8)","plainCitation":"(8)","noteIndex":0},"citationItems":[{"id":590,"uris":["http://zotero.org/users/16665975/items/W7PUPB9V"],"itemData":{"id":590,"type":"dataset","abstract":"RF-based aggregated (from 100m) gridded population distribution datasets produced in the framework of the Global Project - Funded by The Bill and Melinda Gates Foundation (OPP1134076)","DOI":"10.5258/SOTON/WP00647","publisher":"University of Southampton","source":"DOI.org (Datacite)","title":"Global 1km Population","URL":"https://www.worldpop.org/doi/10.5258/SOTON/WP00647","author":[{"family":"WorldPop","given":""}],"accessed":{"date-parts":[["2025",11,26]]},"issued":{"date-parts":[["2018"]]}}}],"schema":"https://github.com/citation-style-language/schema/raw/master/csl-citation.json"} </w:instrText>
      </w:r>
      <w:r w:rsidR="00275A10" w:rsidRPr="00443A61">
        <w:fldChar w:fldCharType="separate"/>
      </w:r>
      <w:r w:rsidR="00491CF6" w:rsidRPr="00443A61">
        <w:rPr>
          <w:rFonts w:ascii="Aptos" w:hAnsi="Aptos"/>
        </w:rPr>
        <w:t>(8)</w:t>
      </w:r>
      <w:r w:rsidR="00275A10" w:rsidRPr="00443A61">
        <w:fldChar w:fldCharType="end"/>
      </w:r>
      <w:r w:rsidRPr="00443A61">
        <w:t>. All population datasets provided sex- and age-disaggregated estimates at a spatial resolution of</w:t>
      </w:r>
      <w:r w:rsidR="7BE18CDF" w:rsidRPr="00443A61">
        <w:t xml:space="preserve"> 30 arc</w:t>
      </w:r>
      <w:r w:rsidRPr="00443A61">
        <w:t xml:space="preserve"> </w:t>
      </w:r>
      <w:r w:rsidR="3F700BC0" w:rsidRPr="00443A61">
        <w:t>(</w:t>
      </w:r>
      <w:r w:rsidR="60769E36" w:rsidRPr="00443A61">
        <w:t xml:space="preserve">approximately </w:t>
      </w:r>
      <w:r w:rsidRPr="00443A61">
        <w:t>1 km</w:t>
      </w:r>
      <w:r w:rsidR="3048B913" w:rsidRPr="00443A61">
        <w:t xml:space="preserve"> at the equator</w:t>
      </w:r>
      <w:r w:rsidR="623EA524" w:rsidRPr="00443A61">
        <w:t>)</w:t>
      </w:r>
      <w:r w:rsidRPr="00443A61">
        <w:t xml:space="preserve"> for the year 2025, separately for males and females across </w:t>
      </w:r>
      <w:r w:rsidR="68EA909C" w:rsidRPr="00443A61">
        <w:t>18</w:t>
      </w:r>
      <w:r w:rsidRPr="00443A61">
        <w:t xml:space="preserve"> age groups (</w:t>
      </w:r>
      <w:r w:rsidR="4FF84FCF" w:rsidRPr="00443A61">
        <w:t xml:space="preserve">0-1, </w:t>
      </w:r>
      <w:r w:rsidRPr="00443A61">
        <w:t xml:space="preserve">1–4, 5–9, …, 75–79, 80+). The population raster data were aggregated to urban agglomerations using </w:t>
      </w:r>
      <w:r w:rsidR="67DD28BA" w:rsidRPr="00443A61">
        <w:t>boundaries from Global Urban Polygons and Points Dataset</w:t>
      </w:r>
      <w:r w:rsidR="52898550" w:rsidRPr="00443A61">
        <w:t xml:space="preserve"> (GUPPD)</w:t>
      </w:r>
      <w:r w:rsidR="00491CF6" w:rsidRPr="00443A61">
        <w:fldChar w:fldCharType="begin"/>
      </w:r>
      <w:r w:rsidR="00491CF6" w:rsidRPr="00443A61">
        <w:instrText xml:space="preserve"> ADDIN ZOTERO_ITEM CSL_CITATION {"citationID":"BkjRuNfU","properties":{"formattedCitation":"(9)","plainCitation":"(9)","noteIndex":0},"citationItems":[{"id":589,"uris":["http://zotero.org/users/16665975/items/N6SIU6UM"],"itemData":{"id":589,"type":"dataset","DOI":"10.7927/BRQ1-XC29","publisher":"Palisades, NY: NASA Socioeconomic Data and Applications Center (SEDAC)","source":"DOI.org (Datacite)","title":"Global Urban Polygons and Points Dataset (GUPPD), Version 1","URL":"https://earthdata.nasa.gov/data/catalog/sedac-ciesin-sedac-uspat-guppd-v1-1.00","version":"1.00","author":[{"literal":"Center For International Earth Science Information Network-CIESIN-Columbia University"},{"literal":"Joint Research Centre-JRC-European Commission"}],"accessed":{"date-parts":[["2025",11,26]]},"issued":{"date-parts":[["2024"]]}}}],"schema":"https://github.com/citation-style-language/schema/raw/master/csl-citation.json"} </w:instrText>
      </w:r>
      <w:r w:rsidR="00491CF6" w:rsidRPr="00443A61">
        <w:fldChar w:fldCharType="separate"/>
      </w:r>
      <w:r w:rsidR="00491CF6" w:rsidRPr="00443A61">
        <w:rPr>
          <w:rFonts w:ascii="Aptos" w:hAnsi="Aptos"/>
        </w:rPr>
        <w:t>(9)</w:t>
      </w:r>
      <w:r w:rsidR="00491CF6" w:rsidRPr="00443A61">
        <w:fldChar w:fldCharType="end"/>
      </w:r>
      <w:r w:rsidRPr="00443A61">
        <w:t>, ensuring consistency in boundary delineation and naming conventions.</w:t>
      </w:r>
    </w:p>
    <w:p w14:paraId="59B3B77C" w14:textId="7192E67E" w:rsidR="00B14636" w:rsidRPr="00443A61" w:rsidRDefault="3057EA36" w:rsidP="02B5BA7D">
      <w:pPr>
        <w:jc w:val="both"/>
      </w:pPr>
      <w:r w:rsidRPr="00443A61">
        <w:t>Population counts were summarised by country, city, sex, and age group to generate a</w:t>
      </w:r>
      <w:r w:rsidR="6DCCB086" w:rsidRPr="00443A61">
        <w:t xml:space="preserve"> </w:t>
      </w:r>
      <w:r w:rsidRPr="00443A61">
        <w:t xml:space="preserve">consistent </w:t>
      </w:r>
      <w:r w:rsidR="798DF87A" w:rsidRPr="00443A61">
        <w:t>dataset of over 1</w:t>
      </w:r>
      <w:r w:rsidR="00BA45C5" w:rsidRPr="00443A61">
        <w:rPr>
          <w:rFonts w:hint="eastAsia"/>
        </w:rPr>
        <w:t>2</w:t>
      </w:r>
      <w:r w:rsidR="798DF87A" w:rsidRPr="00443A61">
        <w:t>,</w:t>
      </w:r>
      <w:r w:rsidR="00BA45C5" w:rsidRPr="00443A61">
        <w:rPr>
          <w:rFonts w:hint="eastAsia"/>
        </w:rPr>
        <w:t>6</w:t>
      </w:r>
      <w:r w:rsidR="003122B5" w:rsidRPr="00443A61">
        <w:rPr>
          <w:rFonts w:hint="eastAsia"/>
        </w:rPr>
        <w:t>8</w:t>
      </w:r>
      <w:r w:rsidR="00BA45C5" w:rsidRPr="00443A61">
        <w:rPr>
          <w:rFonts w:hint="eastAsia"/>
        </w:rPr>
        <w:t>3</w:t>
      </w:r>
      <w:r w:rsidR="798DF87A" w:rsidRPr="00443A61">
        <w:t xml:space="preserve"> cities</w:t>
      </w:r>
      <w:r w:rsidRPr="00443A61">
        <w:t xml:space="preserve"> disaggregated by sex and age.</w:t>
      </w:r>
    </w:p>
    <w:p w14:paraId="5E92FE7D" w14:textId="36C0D222" w:rsidR="00B14636" w:rsidRPr="00443A61" w:rsidRDefault="00A123B2" w:rsidP="00C5003F">
      <w:pPr>
        <w:pStyle w:val="Heading2"/>
        <w:rPr>
          <w:b/>
          <w:bCs/>
          <w:color w:val="auto"/>
          <w:sz w:val="24"/>
          <w:szCs w:val="24"/>
        </w:rPr>
      </w:pPr>
      <w:bookmarkStart w:id="3" w:name="_Toc221538871"/>
      <w:r w:rsidRPr="00443A61">
        <w:rPr>
          <w:b/>
          <w:bCs/>
          <w:color w:val="auto"/>
          <w:sz w:val="24"/>
          <w:szCs w:val="24"/>
        </w:rPr>
        <w:t>1.</w:t>
      </w:r>
      <w:r w:rsidR="004E04C5" w:rsidRPr="00443A61">
        <w:rPr>
          <w:b/>
          <w:bCs/>
          <w:color w:val="auto"/>
          <w:sz w:val="24"/>
          <w:szCs w:val="24"/>
        </w:rPr>
        <w:t>2</w:t>
      </w:r>
      <w:r w:rsidRPr="00443A61">
        <w:rPr>
          <w:b/>
          <w:bCs/>
          <w:color w:val="auto"/>
          <w:sz w:val="24"/>
          <w:szCs w:val="24"/>
        </w:rPr>
        <w:t xml:space="preserve"> </w:t>
      </w:r>
      <w:r w:rsidR="00B14636" w:rsidRPr="00443A61">
        <w:rPr>
          <w:b/>
          <w:bCs/>
          <w:color w:val="auto"/>
          <w:sz w:val="24"/>
          <w:szCs w:val="24"/>
        </w:rPr>
        <w:t xml:space="preserve">Dietary </w:t>
      </w:r>
      <w:r w:rsidR="00A13AFC" w:rsidRPr="00443A61">
        <w:rPr>
          <w:b/>
          <w:bCs/>
          <w:color w:val="auto"/>
          <w:sz w:val="24"/>
          <w:szCs w:val="24"/>
        </w:rPr>
        <w:t>i</w:t>
      </w:r>
      <w:r w:rsidR="00B14636" w:rsidRPr="00443A61">
        <w:rPr>
          <w:b/>
          <w:bCs/>
          <w:color w:val="auto"/>
          <w:sz w:val="24"/>
          <w:szCs w:val="24"/>
        </w:rPr>
        <w:t xml:space="preserve">ntake </w:t>
      </w:r>
      <w:r w:rsidR="00A13AFC" w:rsidRPr="00443A61">
        <w:rPr>
          <w:b/>
          <w:bCs/>
          <w:color w:val="auto"/>
          <w:sz w:val="24"/>
          <w:szCs w:val="24"/>
        </w:rPr>
        <w:t>d</w:t>
      </w:r>
      <w:r w:rsidR="00B14636" w:rsidRPr="00443A61">
        <w:rPr>
          <w:b/>
          <w:bCs/>
          <w:color w:val="auto"/>
          <w:sz w:val="24"/>
          <w:szCs w:val="24"/>
        </w:rPr>
        <w:t>ata</w:t>
      </w:r>
      <w:bookmarkEnd w:id="3"/>
    </w:p>
    <w:p w14:paraId="4839F792" w14:textId="49B0DAEC" w:rsidR="00B14636" w:rsidRPr="00443A61" w:rsidRDefault="00B14636" w:rsidP="02B5BA7D">
      <w:pPr>
        <w:jc w:val="both"/>
      </w:pPr>
      <w:r w:rsidRPr="00443A61">
        <w:t>Dietary intake data were obtained from the GDD, as integrated within the MATILDA (Micro–Macro Assessment Tool to Identify Low-impact Dietary Actions) framework</w:t>
      </w:r>
      <w:r w:rsidR="678289E4" w:rsidRPr="00443A61">
        <w:t xml:space="preserve"> </w:t>
      </w:r>
      <w:r w:rsidRPr="00443A61">
        <w:fldChar w:fldCharType="begin"/>
      </w:r>
      <w:r w:rsidRPr="00443A61">
        <w:instrText xml:space="preserve"> ADDIN ZOTERO_ITEM CSL_CITATION {"citationID":"Zh2UhYVw","properties":{"formattedCitation":"(10)","plainCitation":"(10)","noteIndex":0},"citationItems":[{"id":503,"uris":["http://zotero.org/users/16665975/items/YCJMI4DS"],"itemData":{"id":503,"type":"article","abstract":"A sustainable food system requires significant dietary shifts. While understanding the diverse food habits across billions of consumers is important, current models do not distinguish consumer-level environmental footprints. Micro-data on food consumption (e.g., by gender and age) offers the potential to pinpoint high-impact and vulnerable consumer groups. We develop a globally harmonised model integrating individual food intake and supply chains to explore dietary footprints (e.g., climate, water and land) and dietary quality using the Alternative Healthy Eating Index (AHEI), across 70+ socio-demographic subgroups in 150+ countries. We find highly educated urban males aged 15–34 have the highest per capita emissions (median: 3.97 kg CO₂-eq/2,000 kcal, IQR: 2.96–5.96), with 65% of their diets being plant-sourced foods. Low education, rural females aged 35–54 have the lowest (2.39 kg CO₂-eq/2,000 kcal, IQR: 1.72–3.52), with plant-sourced foods comprising 74% of their diets. Adults aged 35–54 years and individuals with lower education see the lowest impacts per capita. Each 5% increase in the AHEI is associated with an 8.6% reduction in GHG emissions, a 4.9% reduction in water use, and an 8.7% reduction in land use. Our findings highlight the need for the use of micro-level intake data to deliver targeted and equitable dietary policies that focus on high-emission groups—such as young, urban, highly educated men—while supporting low-emission, nutritionally vulnerable populations.","DOI":"10.21203/rs.3.rs-7188924/v1","note":"ISSN: 2693-5015","publisher":"Research Square","source":"Research Square","title":"Mapping high-impact groups across dietary sustainability and nutrition","URL":"https://www.researchsquare.com/article/rs-7188924/v1","author":[{"family":"Taherzadeh","given":"Oliver"},{"family":"Schoorlemmer","given":"Arthur"},{"family":"Behrens","given":"Paul"},{"family":"Bruckner","given":"Martin"},{"family":"Cai","given":"Hongyi"}],"issued":{"date-parts":[["2025",7,28]]}}}],"schema":"https://github.com/citation-style-language/schema/raw/master/csl-citation.json"} </w:instrText>
      </w:r>
      <w:r w:rsidRPr="00443A61">
        <w:fldChar w:fldCharType="separate"/>
      </w:r>
      <w:r w:rsidR="00A95139" w:rsidRPr="00443A61">
        <w:rPr>
          <w:rFonts w:ascii="Aptos" w:hAnsi="Aptos"/>
        </w:rPr>
        <w:t>(10)</w:t>
      </w:r>
      <w:r w:rsidRPr="00443A61">
        <w:fldChar w:fldCharType="end"/>
      </w:r>
      <w:r w:rsidRPr="00443A61">
        <w:t xml:space="preserve">. The GDD provides mean daily intakes (g/person/day) for 16 food and nutrient groups by country, sex, age group, education level, and urban/rural </w:t>
      </w:r>
      <w:r w:rsidR="7DBFD598" w:rsidRPr="00443A61">
        <w:t>residence</w:t>
      </w:r>
      <w:r w:rsidRPr="00443A61">
        <w:t>.</w:t>
      </w:r>
    </w:p>
    <w:p w14:paraId="72DB8709" w14:textId="5E135CDE" w:rsidR="00B14636" w:rsidRPr="00443A61" w:rsidRDefault="00B14636" w:rsidP="02B5BA7D">
      <w:pPr>
        <w:jc w:val="both"/>
      </w:pPr>
      <w:r w:rsidRPr="00443A61">
        <w:t xml:space="preserve">Age information was parsed from multiple string formats (e.g., “X–Y years”, “X+ years”, “X–Y months”) into numeric lower and upper bounds, which were then expanded into single-year ages (0–95). For example, “15–19 years” generated five single-year records (15–19). </w:t>
      </w:r>
      <w:r w:rsidRPr="00443A61">
        <w:lastRenderedPageBreak/>
        <w:t>These were subsequently regrouped into 18 harmonised age bands consistent with the population dataset to enable cross-dataset alignment. Mean daily intakes were aggregated across all food variables within each combination of country × sex × age band.</w:t>
      </w:r>
      <w:r w:rsidR="00AC5F35" w:rsidRPr="00443A61">
        <w:rPr>
          <w:rFonts w:hint="eastAsia"/>
        </w:rPr>
        <w:t xml:space="preserve"> </w:t>
      </w:r>
    </w:p>
    <w:p w14:paraId="42331FE1" w14:textId="1414B510" w:rsidR="00B40109" w:rsidRPr="00443A61" w:rsidRDefault="00B40109" w:rsidP="00C5003F">
      <w:pPr>
        <w:pStyle w:val="Heading2"/>
        <w:rPr>
          <w:b/>
          <w:bCs/>
          <w:color w:val="auto"/>
          <w:sz w:val="24"/>
          <w:szCs w:val="24"/>
        </w:rPr>
      </w:pPr>
      <w:bookmarkStart w:id="4" w:name="_Toc221538872"/>
      <w:r w:rsidRPr="00443A61">
        <w:rPr>
          <w:b/>
          <w:bCs/>
          <w:color w:val="auto"/>
          <w:sz w:val="24"/>
          <w:szCs w:val="24"/>
        </w:rPr>
        <w:t>1.</w:t>
      </w:r>
      <w:r w:rsidR="004E04C5" w:rsidRPr="00443A61">
        <w:rPr>
          <w:b/>
          <w:bCs/>
          <w:color w:val="auto"/>
          <w:sz w:val="24"/>
          <w:szCs w:val="24"/>
        </w:rPr>
        <w:t>3</w:t>
      </w:r>
      <w:r w:rsidRPr="00443A61">
        <w:rPr>
          <w:b/>
          <w:bCs/>
          <w:color w:val="auto"/>
          <w:sz w:val="24"/>
          <w:szCs w:val="24"/>
        </w:rPr>
        <w:t xml:space="preserve"> Estimating city-level energy intake from GDP</w:t>
      </w:r>
      <w:bookmarkEnd w:id="4"/>
    </w:p>
    <w:p w14:paraId="3866BB00" w14:textId="77777777" w:rsidR="005C5500" w:rsidRPr="00443A61" w:rsidRDefault="004136C6" w:rsidP="3584809C">
      <w:pPr>
        <w:jc w:val="both"/>
      </w:pPr>
      <w:r w:rsidRPr="00443A61">
        <w:t xml:space="preserve">To estimate city-level variation in dietary energy intake, we implemented a two-stage scaling approach that separates national calibration from subnational spatial allocation. </w:t>
      </w:r>
    </w:p>
    <w:p w14:paraId="496F7F4B" w14:textId="51858D1E" w:rsidR="00DD6689" w:rsidRPr="00443A61" w:rsidRDefault="005C5500" w:rsidP="00DD6689">
      <w:pPr>
        <w:jc w:val="both"/>
      </w:pPr>
      <w:bookmarkStart w:id="5" w:name="OLE_LINK24"/>
      <w:r w:rsidRPr="00443A61">
        <w:t>First</w:t>
      </w:r>
      <w:r w:rsidR="004136C6" w:rsidRPr="00443A61">
        <w:t xml:space="preserve">, to capture within-country variation in energy intake across cities, we linked national economic development with food energy availability. </w:t>
      </w:r>
      <w:r w:rsidR="00B40109" w:rsidRPr="00443A61">
        <w:t>Country-level data on daily per-capita calorie supply (kcal/person/day) were obtained from FAO food balance sheets</w:t>
      </w:r>
      <w:r w:rsidR="004136C6" w:rsidRPr="00443A61">
        <w:fldChar w:fldCharType="begin"/>
      </w:r>
      <w:r w:rsidR="00A964FF" w:rsidRPr="00443A61">
        <w:instrText xml:space="preserve"> ADDIN ZOTERO_ITEM CSL_CITATION {"citationID":"BIja3xqy","properties":{"formattedCitation":"(11)","plainCitation":"(11)","noteIndex":0},"citationItems":[{"id":605,"uris":["http://zotero.org/users/16665975/items/BCPTVPAP"],"itemData":{"id":605,"type":"webpage","title":"FAOSTAT","URL":"https://www.fao.org/faostat/en/#home"}}],"schema":"https://github.com/citation-style-language/schema/raw/master/csl-citation.json"} </w:instrText>
      </w:r>
      <w:r w:rsidR="004136C6" w:rsidRPr="00443A61">
        <w:fldChar w:fldCharType="separate"/>
      </w:r>
      <w:r w:rsidR="00A964FF" w:rsidRPr="00443A61">
        <w:rPr>
          <w:rFonts w:ascii="Aptos" w:hAnsi="Aptos"/>
        </w:rPr>
        <w:t>(11)</w:t>
      </w:r>
      <w:r w:rsidR="004136C6" w:rsidRPr="00443A61">
        <w:fldChar w:fldCharType="end"/>
      </w:r>
      <w:r w:rsidR="00B40109" w:rsidRPr="00443A61">
        <w:t>, matched with country GDP per capita (purchasing power parity, constant 2021 international dollars) from the World Bank’s World Development Indicators</w:t>
      </w:r>
      <w:r w:rsidR="004136C6" w:rsidRPr="00443A61">
        <w:fldChar w:fldCharType="begin"/>
      </w:r>
      <w:r w:rsidR="00A964FF" w:rsidRPr="00443A61">
        <w:instrText xml:space="preserve"> ADDIN ZOTERO_ITEM CSL_CITATION {"citationID":"qbCyskqF","properties":{"formattedCitation":"(12)","plainCitation":"(12)","noteIndex":0},"citationItems":[{"id":607,"uris":["http://zotero.org/users/16665975/items/BVQC4Y6Y"],"itemData":{"id":607,"type":"webpage","title":"World Development Indicators | DataBank","URL":"https://databank.worldbank.org/source/world-development-indicators"}}],"schema":"https://github.com/citation-style-language/schema/raw/master/csl-citation.json"} </w:instrText>
      </w:r>
      <w:r w:rsidR="004136C6" w:rsidRPr="00443A61">
        <w:fldChar w:fldCharType="separate"/>
      </w:r>
      <w:r w:rsidR="00A964FF" w:rsidRPr="00443A61">
        <w:rPr>
          <w:rFonts w:ascii="Aptos" w:hAnsi="Aptos"/>
        </w:rPr>
        <w:t>(12)</w:t>
      </w:r>
      <w:r w:rsidR="004136C6" w:rsidRPr="00443A61">
        <w:fldChar w:fldCharType="end"/>
      </w:r>
      <w:r w:rsidR="00B40109" w:rsidRPr="00443A61">
        <w:t>. City</w:t>
      </w:r>
      <w:r w:rsidR="32DE4D65" w:rsidRPr="00443A61">
        <w:t xml:space="preserve"> total</w:t>
      </w:r>
      <w:r w:rsidR="00B40109" w:rsidRPr="00443A61">
        <w:t xml:space="preserve"> GDP was </w:t>
      </w:r>
      <w:r w:rsidR="3C23E7BA" w:rsidRPr="00443A61">
        <w:t>derived</w:t>
      </w:r>
      <w:r w:rsidR="00B40109" w:rsidRPr="00443A61">
        <w:t xml:space="preserve"> from the newly released downscaled global GDP dataset (1990–2022) by Kummu et al.</w:t>
      </w:r>
      <w:r w:rsidR="004136C6" w:rsidRPr="00443A61">
        <w:fldChar w:fldCharType="begin"/>
      </w:r>
      <w:r w:rsidR="00A964FF" w:rsidRPr="00443A61">
        <w:instrText xml:space="preserve"> ADDIN ZOTERO_ITEM CSL_CITATION {"citationID":"59ntSn1O","properties":{"formattedCitation":"(13)","plainCitation":"(13)","noteIndex":0},"citationItems":[{"id":587,"uris":["http://zotero.org/users/16665975/items/GLMYSS84"],"itemData":{"id":587,"type":"article-journal","abstract":"We present a comprehensive gridded GDP per capita dataset downscaled to the admin 2 level (43,501 units) covering 1990–2022. It updates existing outdated datasets, which use reported subnational data only up to 2010. Our dataset, which is based on reported subnational GDP per capita data from 89 countries and 2,708 administrative units, employs various novel methods for extrapolation and downscaling. Downscaling with machine learning algorithms showed high performance (R2</w:instrText>
      </w:r>
      <w:r w:rsidR="00A964FF" w:rsidRPr="00443A61">
        <w:rPr>
          <w:rFonts w:ascii="Arial" w:hAnsi="Arial" w:cs="Arial"/>
        </w:rPr>
        <w:instrText> </w:instrText>
      </w:r>
      <w:r w:rsidR="00A964FF" w:rsidRPr="00443A61">
        <w:instrText>=</w:instrText>
      </w:r>
      <w:r w:rsidR="00A964FF" w:rsidRPr="00443A61">
        <w:rPr>
          <w:rFonts w:ascii="Arial" w:hAnsi="Arial" w:cs="Arial"/>
        </w:rPr>
        <w:instrText> </w:instrText>
      </w:r>
      <w:r w:rsidR="00A964FF" w:rsidRPr="00443A61">
        <w:instrText>0.79 for cross-validation, R2</w:instrText>
      </w:r>
      <w:r w:rsidR="00A964FF" w:rsidRPr="00443A61">
        <w:rPr>
          <w:rFonts w:ascii="Arial" w:hAnsi="Arial" w:cs="Arial"/>
        </w:rPr>
        <w:instrText> </w:instrText>
      </w:r>
      <w:r w:rsidR="00A964FF" w:rsidRPr="00443A61">
        <w:instrText>=</w:instrText>
      </w:r>
      <w:r w:rsidR="00A964FF" w:rsidRPr="00443A61">
        <w:rPr>
          <w:rFonts w:ascii="Arial" w:hAnsi="Arial" w:cs="Arial"/>
        </w:rPr>
        <w:instrText> </w:instrText>
      </w:r>
      <w:r w:rsidR="00A964FF" w:rsidRPr="00443A61">
        <w:instrText>0.80 for the test dataset) and accuracy against reported datasets (Pearson R</w:instrText>
      </w:r>
      <w:r w:rsidR="00A964FF" w:rsidRPr="00443A61">
        <w:rPr>
          <w:rFonts w:ascii="Arial" w:hAnsi="Arial" w:cs="Arial"/>
        </w:rPr>
        <w:instrText> </w:instrText>
      </w:r>
      <w:r w:rsidR="00A964FF" w:rsidRPr="00443A61">
        <w:instrText>=</w:instrText>
      </w:r>
      <w:r w:rsidR="00A964FF" w:rsidRPr="00443A61">
        <w:rPr>
          <w:rFonts w:ascii="Arial" w:hAnsi="Arial" w:cs="Arial"/>
        </w:rPr>
        <w:instrText> </w:instrText>
      </w:r>
      <w:r w:rsidR="00A964FF" w:rsidRPr="00443A61">
        <w:instrText>0.88). The dataset includes reported and downscaled annual data (1990</w:instrText>
      </w:r>
      <w:r w:rsidR="00A964FF" w:rsidRPr="00443A61">
        <w:rPr>
          <w:rFonts w:ascii="Aptos" w:hAnsi="Aptos" w:cs="Aptos"/>
        </w:rPr>
        <w:instrText>–</w:instrText>
      </w:r>
      <w:r w:rsidR="00A964FF" w:rsidRPr="00443A61">
        <w:instrText xml:space="preserve">2022) for three administrative levels: 0 (national; reported data for 237 administrative units), 1 (provincial; reported data for 2,708 administrative units for 89 countries), and 2 (municipality; downscaled data for 43,501 administrative units). The dataset has a higher spatial resolution and wider temporal range than the existing data do and will thus contribute to global or regional spatial analyses such as socioenvironmental modelling and economic resilience evaluation. The data are available at https://doi.org/10.5281/zenodo.10976733.","container-title":"Scientific Data","DOI":"10.1038/s41597-025-04487-x","ISSN":"2052-4463","issue":"1","journalAbbreviation":"Sci Data","language":"en","license":"2025 The Author(s)","page":"178","publisher":"Nature Publishing Group","source":"www.nature.com","title":"Downscaled gridded global dataset for gross domestic product (GDP) per capita PPP over 1990–2022","volume":"12","author":[{"family":"Kummu","given":"Matti"},{"family":"Kosonen","given":"Maria"},{"family":"Masoumzadeh Sayyar","given":"Sina"}],"issued":{"date-parts":[["2025",1,30]]}}}],"schema":"https://github.com/citation-style-language/schema/raw/master/csl-citation.json"} </w:instrText>
      </w:r>
      <w:r w:rsidR="004136C6" w:rsidRPr="00443A61">
        <w:fldChar w:fldCharType="separate"/>
      </w:r>
      <w:r w:rsidR="00A964FF" w:rsidRPr="00443A61">
        <w:rPr>
          <w:rFonts w:ascii="Aptos" w:hAnsi="Aptos"/>
        </w:rPr>
        <w:t>(13)</w:t>
      </w:r>
      <w:r w:rsidR="004136C6" w:rsidRPr="00443A61">
        <w:fldChar w:fldCharType="end"/>
      </w:r>
      <w:r w:rsidR="00BF3211" w:rsidRPr="00443A61">
        <w:t>.</w:t>
      </w:r>
      <w:r w:rsidR="00B40109" w:rsidRPr="00443A61">
        <w:t xml:space="preserve"> </w:t>
      </w:r>
      <w:r w:rsidR="5F1AD5B4" w:rsidRPr="00443A61">
        <w:t>This dataset</w:t>
      </w:r>
      <w:r w:rsidR="00B40109" w:rsidRPr="00443A61">
        <w:t xml:space="preserve"> provides nationally harmonised estimates </w:t>
      </w:r>
      <w:r w:rsidR="0569B29B" w:rsidRPr="00443A61">
        <w:t xml:space="preserve">for GDP </w:t>
      </w:r>
      <w:r w:rsidR="00B40109" w:rsidRPr="00443A61">
        <w:t xml:space="preserve">at admin-0/1/2 levels </w:t>
      </w:r>
      <w:r w:rsidR="4C391AD6" w:rsidRPr="00443A61">
        <w:t>as well as on</w:t>
      </w:r>
      <w:r w:rsidR="00B40109" w:rsidRPr="00443A61">
        <w:t xml:space="preserve"> 5-arc-min grids (43,501 admin-2 units)</w:t>
      </w:r>
      <w:r w:rsidR="57A73601" w:rsidRPr="00443A61">
        <w:t>, and total GDP estimates</w:t>
      </w:r>
      <w:r w:rsidR="6668B30E" w:rsidRPr="00443A61">
        <w:t xml:space="preserve"> </w:t>
      </w:r>
      <w:r w:rsidR="04A6BDAC" w:rsidRPr="00443A61">
        <w:t>at 30 arc-sec, 5 arc-min, and 30 arc-min resolutions</w:t>
      </w:r>
      <w:r w:rsidR="00B40109" w:rsidRPr="00443A61">
        <w:t xml:space="preserve">. </w:t>
      </w:r>
      <w:r w:rsidR="104BE36F" w:rsidRPr="00443A61">
        <w:t>For our analysis, w</w:t>
      </w:r>
      <w:r w:rsidR="01077EDC" w:rsidRPr="00443A61">
        <w:t xml:space="preserve">e used </w:t>
      </w:r>
      <w:r w:rsidR="535B04C1" w:rsidRPr="00443A61">
        <w:t>the</w:t>
      </w:r>
      <w:r w:rsidR="0743F217" w:rsidRPr="00443A61">
        <w:t xml:space="preserve"> 30 arc-sec (approximately 1 km at the equator)</w:t>
      </w:r>
      <w:r w:rsidR="535B04C1" w:rsidRPr="00443A61">
        <w:t xml:space="preserve"> </w:t>
      </w:r>
      <w:r w:rsidR="198D1F9C" w:rsidRPr="00443A61">
        <w:t xml:space="preserve">total </w:t>
      </w:r>
      <w:r w:rsidR="4A4CAA29" w:rsidRPr="00443A61">
        <w:t>GDP estimates</w:t>
      </w:r>
      <w:r w:rsidR="198D1F9C" w:rsidRPr="00443A61">
        <w:t xml:space="preserve"> for 2020</w:t>
      </w:r>
      <w:r w:rsidR="159A5769" w:rsidRPr="00443A61">
        <w:t>,</w:t>
      </w:r>
      <w:r w:rsidR="1421FB0A" w:rsidRPr="00443A61">
        <w:t xml:space="preserve"> and aggregated them to urban agglomerations using </w:t>
      </w:r>
      <w:r w:rsidR="1D703A3B" w:rsidRPr="00443A61">
        <w:t xml:space="preserve">Global Urban Polygons and Points Dataset </w:t>
      </w:r>
      <w:r w:rsidR="318D92A8" w:rsidRPr="00443A61">
        <w:t>boundaries</w:t>
      </w:r>
      <w:r w:rsidR="00A964FF" w:rsidRPr="00443A61">
        <w:rPr>
          <w:rFonts w:hint="eastAsia"/>
        </w:rPr>
        <w:t xml:space="preserve"> </w:t>
      </w:r>
      <w:r w:rsidR="00A964FF" w:rsidRPr="00443A61">
        <w:fldChar w:fldCharType="begin"/>
      </w:r>
      <w:r w:rsidR="00A964FF" w:rsidRPr="00443A61">
        <w:instrText xml:space="preserve"> ADDIN ZOTERO_ITEM CSL_CITATION {"citationID":"0INU1vt8","properties":{"formattedCitation":"(14)","plainCitation":"(14)","noteIndex":0},"citationItems":[{"id":749,"uris":["http://zotero.org/users/16665975/items/6J2GMHLY"],"itemData":{"id":749,"type":"dataset","DOI":"10.7927/BRQ1-XC29","publisher":"Palisades, NY: NASA Socioeconomic Data and Applications Center (SEDAC)","source":"DOI.org (Datacite)","title":"Global Urban Polygons and Points Dataset (GUPPD), Version 1","URL":"https://earthdata.nasa.gov/data/catalog/sedac-ciesin-sedac-uspat-guppd-v1-1.00","version":"1.00","author":[{"literal":"Center For International Earth Science Information Network-CIESIN-Columbia University"},{"literal":"Joint Research Centre-JRC-European Commission"}],"accessed":{"date-parts":[["2026",1,30]]},"issued":{"date-parts":[["2024"]]}}}],"schema":"https://github.com/citation-style-language/schema/raw/master/csl-citation.json"} </w:instrText>
      </w:r>
      <w:r w:rsidR="00A964FF" w:rsidRPr="00443A61">
        <w:fldChar w:fldCharType="separate"/>
      </w:r>
      <w:r w:rsidR="00A964FF" w:rsidRPr="00443A61">
        <w:rPr>
          <w:rFonts w:ascii="Aptos" w:hAnsi="Aptos"/>
        </w:rPr>
        <w:t>(14)</w:t>
      </w:r>
      <w:r w:rsidR="00A964FF" w:rsidRPr="00443A61">
        <w:fldChar w:fldCharType="end"/>
      </w:r>
      <w:r w:rsidR="318D92A8" w:rsidRPr="00443A61">
        <w:t xml:space="preserve">, </w:t>
      </w:r>
      <w:r w:rsidR="0BCD2B24" w:rsidRPr="00443A61">
        <w:t>yielding</w:t>
      </w:r>
      <w:r w:rsidR="318D92A8" w:rsidRPr="00443A61">
        <w:t xml:space="preserve"> total GDP for each city</w:t>
      </w:r>
      <w:r w:rsidR="198D1F9C" w:rsidRPr="00443A61">
        <w:t xml:space="preserve">. </w:t>
      </w:r>
      <w:r w:rsidR="13A862EB" w:rsidRPr="00443A61">
        <w:t>City-level GDP per capita was estimated by dividing total city GDP by the respective city population.</w:t>
      </w:r>
      <w:r w:rsidR="001E0441" w:rsidRPr="00443A61">
        <w:t xml:space="preserve"> </w:t>
      </w:r>
      <w:r w:rsidR="00B40109" w:rsidRPr="00443A61">
        <w:t>A mixed-effects model was fitted to the panel data, specifying daily calorie supply as the dependent variable and log country GDP per capita as the main predictor, with fixed effects for year and random intercepts by country. The model was estimated using maximum likelihood with robust variance estimation.</w:t>
      </w:r>
      <w:bookmarkStart w:id="6" w:name="OLE_LINK23"/>
      <w:r w:rsidR="001E0441" w:rsidRPr="00443A61">
        <w:t xml:space="preserve"> </w:t>
      </w:r>
      <w:r w:rsidR="00B40109" w:rsidRPr="00443A61">
        <w:t>The fitted coefficients and country-level random intercepts were then applied to the city GDP dataset. For each city, per-capita GDP was transformed to log scale, and predicted calorie supply was calculated as the sum of the fixed and country-specific random components from the fitted model. Missing values within countries were imputed using the mean predicted energy intake across cities in the same country, and any residual missing estimates were filled using the global mean.</w:t>
      </w:r>
      <w:r w:rsidR="455226B1" w:rsidRPr="00443A61">
        <w:t xml:space="preserve"> </w:t>
      </w:r>
      <w:r w:rsidR="40116EC3" w:rsidRPr="00443A61">
        <w:t>The resulting dataset provides city-level estimates of average dietary energy intake (kcal/person/day).</w:t>
      </w:r>
      <w:r w:rsidR="7CD66575" w:rsidRPr="00443A61">
        <w:t xml:space="preserve"> </w:t>
      </w:r>
    </w:p>
    <w:p w14:paraId="75463E34" w14:textId="28BCAF95" w:rsidR="00C97E93" w:rsidRPr="00443A61" w:rsidRDefault="00C97E93" w:rsidP="00DD6689">
      <w:pPr>
        <w:jc w:val="both"/>
      </w:pPr>
      <w:r w:rsidRPr="00443A61">
        <w:t xml:space="preserve">Second, </w:t>
      </w:r>
      <w:bookmarkStart w:id="7" w:name="OLE_LINK5"/>
      <w:r w:rsidRPr="00443A61">
        <w:t xml:space="preserve">national age- and sex-specific energy intake levels were aligned to externally estimated values derived from anthropometric-based modelling. Specifically, we adopted published estimates of total dietary energy intake by country, sex, and age group from Springmann </w:t>
      </w:r>
      <w:r w:rsidRPr="00443A61">
        <w:fldChar w:fldCharType="begin"/>
      </w:r>
      <w:r w:rsidR="00A964FF" w:rsidRPr="00443A61">
        <w:instrText xml:space="preserve"> ADDIN ZOTERO_ITEM CSL_CITATION {"citationID":"MW83aHfG","properties":{"formattedCitation":"(15)","plainCitation":"(15)","noteIndex":0},"citationItems":[{"id":679,"uris":["http://zotero.org/users/16665975/items/SDNCGI93"],"itemData":{"id":679,"type":"article-journal","abstract":"Introduction An accurate understanding of total energy intake, energy requirements for healthy body weights and the resultant imbalance is important for many aspects of dietary analysis. Despite its importance, existing estimates are highly uncertain and not well aligned with trends in body weight and malnutrition, especially at regionally comparable and global levels. We estimated energy intake, energy requirements and energy imbalances at global, regional, national and sociodemographic levels based on anthropometric measures.Methods We used predictive equations for estimating energy requirements derived from a comprehensive database of doubly labelled water studies, and paired them with global datasets on body weight, height and physical activity to estimate a new proxy of energy intake. We calculated energy requirements to attain healthy body weights by applying the predictive equations to a body mass index that minimises risks for weight-related diseases and is classified as normal. We calculated energy imbalances as the difference between the estimated intake and energy requirements to attain healthy body weights.Results On average, 2160 kilocalories per person per day (kcal/day) were required in 2020 to sustain measured levels of body weight, height and physical activity (95% CI, 2100 to 2210 kcal/day), ranging from 1980 (95% CI, 1900 to 2060) kcal/day in low-income countries to 2360 (95% CI, 2310 to 2410) kcal/day in high-income countries. The estimated intake exceeded energy requirements to attain healthy body weights by 80 (95% CI, 70 to 100) kcal/day on average, with 192 countries (97%) having average intakes above recommendations, and 6 countries (3%) with intake below, and increasing to 14 (7%) when considering rural residences. Between 1990 and 2020, 50 countries (25%) changed from average intakes below recommendations to intakes above.Conclusions Estimating total energy intake based on anthropometric measures captures the regional and temporal trends in body weight, height and physical activity. The estimates can be used as a complementary measure to existing proxies of energy intake. Among other things, they can inform misreporting of intake in dietary surveys, uncertainty in the amount of food wasted and the lack of data on at-home production in food availability statistics. Aligning existing measures of food intake with consistent estimates of overall energy intake could improve dietary analyses and policy planning.","container-title":"BMJ Public Health","DOI":"10.1136/bmjph-2024-002244","ISSN":"2753-4294","issue":"2","journalAbbreviation":"bmjph","language":"en","license":"This is an open access article distributed in accordance with the Creative Commons Attribution 4.0 Unported (CC BY 4.0) license","PMID":"10.1136/bmjph-2024-002244","publisher":"BMJ Publishing Group Ltd","source":"bmjpublichealth.bmj.com","title":"Estimates of energy intake, requirements and imbalances based on anthropometric measurements at global, regional and national levels and for sociodemographic groups: a modelling study","title-short":"Estimates of energy intake, requirements and imbalances based on anthropometric measurements at global, regional and national levels and for sociodemographic groups","URL":"https://bmjpublichealth.bmj.com/content/3/2/e002244","volume":"3","author":[{"family":"Springmann","given":"Marco"}],"accessed":{"date-parts":[["2026",1,9]]},"issued":{"date-parts":[["2025",9,18]]}}}],"schema":"https://github.com/citation-style-language/schema/raw/master/csl-citation.json"} </w:instrText>
      </w:r>
      <w:r w:rsidRPr="00443A61">
        <w:fldChar w:fldCharType="separate"/>
      </w:r>
      <w:r w:rsidR="00A964FF" w:rsidRPr="00443A61">
        <w:rPr>
          <w:rFonts w:ascii="Aptos" w:hAnsi="Aptos"/>
        </w:rPr>
        <w:t>(15)</w:t>
      </w:r>
      <w:r w:rsidRPr="00443A61">
        <w:fldChar w:fldCharType="end"/>
      </w:r>
      <w:r w:rsidRPr="00443A61">
        <w:t xml:space="preserve">, and used these to rescale the GDD, which reports dietary composition standardised to a 2,000 kcal reference. </w:t>
      </w:r>
      <w:bookmarkEnd w:id="7"/>
    </w:p>
    <w:p w14:paraId="445D8867" w14:textId="0D237D31" w:rsidR="001E0441" w:rsidRPr="00443A61" w:rsidRDefault="00DD6689" w:rsidP="02B5BA7D">
      <w:pPr>
        <w:jc w:val="both"/>
      </w:pPr>
      <w:r w:rsidRPr="00443A61">
        <w:t>Together, these two steps generate predicted city-level dietary energy intake</w:t>
      </w:r>
      <w:r w:rsidRPr="00443A61">
        <w:rPr>
          <w:b/>
        </w:rPr>
        <w:t xml:space="preserve"> </w:t>
      </w:r>
      <w:r w:rsidRPr="00443A61">
        <w:t>estimates (kcal/person/day), which are subsequently used to rescale all dietary intakes prior to the calculation of environmental impacts.</w:t>
      </w:r>
    </w:p>
    <w:p w14:paraId="6AD84CCB" w14:textId="0FECAE63" w:rsidR="00B14636" w:rsidRPr="00443A61" w:rsidRDefault="00A123B2" w:rsidP="00C5003F">
      <w:pPr>
        <w:pStyle w:val="Heading2"/>
        <w:rPr>
          <w:b/>
          <w:bCs/>
          <w:color w:val="auto"/>
          <w:sz w:val="24"/>
          <w:szCs w:val="24"/>
        </w:rPr>
      </w:pPr>
      <w:bookmarkStart w:id="8" w:name="_Toc221538873"/>
      <w:bookmarkEnd w:id="5"/>
      <w:bookmarkEnd w:id="6"/>
      <w:r w:rsidRPr="00443A61">
        <w:rPr>
          <w:b/>
          <w:bCs/>
          <w:color w:val="auto"/>
          <w:sz w:val="24"/>
          <w:szCs w:val="24"/>
        </w:rPr>
        <w:lastRenderedPageBreak/>
        <w:t>1.</w:t>
      </w:r>
      <w:r w:rsidR="004E04C5" w:rsidRPr="00443A61">
        <w:rPr>
          <w:b/>
          <w:bCs/>
          <w:color w:val="auto"/>
          <w:sz w:val="24"/>
          <w:szCs w:val="24"/>
        </w:rPr>
        <w:t>4</w:t>
      </w:r>
      <w:r w:rsidRPr="00443A61">
        <w:rPr>
          <w:b/>
          <w:bCs/>
          <w:color w:val="auto"/>
          <w:sz w:val="24"/>
          <w:szCs w:val="24"/>
        </w:rPr>
        <w:t xml:space="preserve"> </w:t>
      </w:r>
      <w:r w:rsidR="00B14636" w:rsidRPr="00443A61">
        <w:rPr>
          <w:b/>
          <w:bCs/>
          <w:color w:val="auto"/>
          <w:sz w:val="24"/>
          <w:szCs w:val="24"/>
        </w:rPr>
        <w:t xml:space="preserve">Linking </w:t>
      </w:r>
      <w:r w:rsidR="008F515E" w:rsidRPr="00443A61">
        <w:rPr>
          <w:b/>
          <w:bCs/>
          <w:color w:val="auto"/>
          <w:sz w:val="24"/>
          <w:szCs w:val="24"/>
        </w:rPr>
        <w:t>p</w:t>
      </w:r>
      <w:r w:rsidR="00B14636" w:rsidRPr="00443A61">
        <w:rPr>
          <w:b/>
          <w:bCs/>
          <w:color w:val="auto"/>
          <w:sz w:val="24"/>
          <w:szCs w:val="24"/>
        </w:rPr>
        <w:t xml:space="preserve">opulation and </w:t>
      </w:r>
      <w:r w:rsidR="008F515E" w:rsidRPr="00443A61">
        <w:rPr>
          <w:b/>
          <w:bCs/>
          <w:color w:val="auto"/>
          <w:sz w:val="24"/>
          <w:szCs w:val="24"/>
        </w:rPr>
        <w:t>d</w:t>
      </w:r>
      <w:r w:rsidR="00B14636" w:rsidRPr="00443A61">
        <w:rPr>
          <w:b/>
          <w:bCs/>
          <w:color w:val="auto"/>
          <w:sz w:val="24"/>
          <w:szCs w:val="24"/>
        </w:rPr>
        <w:t xml:space="preserve">ietary </w:t>
      </w:r>
      <w:r w:rsidR="008F515E" w:rsidRPr="00443A61">
        <w:rPr>
          <w:b/>
          <w:bCs/>
          <w:color w:val="auto"/>
          <w:sz w:val="24"/>
          <w:szCs w:val="24"/>
        </w:rPr>
        <w:t>i</w:t>
      </w:r>
      <w:r w:rsidR="00B14636" w:rsidRPr="00443A61">
        <w:rPr>
          <w:b/>
          <w:bCs/>
          <w:color w:val="auto"/>
          <w:sz w:val="24"/>
          <w:szCs w:val="24"/>
        </w:rPr>
        <w:t xml:space="preserve">ntake </w:t>
      </w:r>
      <w:r w:rsidR="008F515E" w:rsidRPr="00443A61">
        <w:rPr>
          <w:b/>
          <w:bCs/>
          <w:color w:val="auto"/>
          <w:sz w:val="24"/>
          <w:szCs w:val="24"/>
        </w:rPr>
        <w:t>d</w:t>
      </w:r>
      <w:r w:rsidR="00B14636" w:rsidRPr="00443A61">
        <w:rPr>
          <w:b/>
          <w:bCs/>
          <w:color w:val="auto"/>
          <w:sz w:val="24"/>
          <w:szCs w:val="24"/>
        </w:rPr>
        <w:t>ata</w:t>
      </w:r>
      <w:bookmarkEnd w:id="8"/>
    </w:p>
    <w:p w14:paraId="0706F093" w14:textId="77777777" w:rsidR="00B14636" w:rsidRPr="00443A61" w:rsidRDefault="00B14636" w:rsidP="02B5BA7D">
      <w:pPr>
        <w:jc w:val="both"/>
      </w:pPr>
      <w:r w:rsidRPr="00443A61">
        <w:t>To integrate dietary intake data with city-level population structures, the GDD-based age- and sex-specific dietary dataset was merged with the population dataset described above using country ISO codes, sex, and standardised age bands. This alignment linked each city’s demographic structure to its corresponding national-level dietary intake profiles. Records lacking matching identifiers (e.g., small island nations without GDD coverage, such as Antigua and Barbuda or Vanuatu) were excluded.</w:t>
      </w:r>
    </w:p>
    <w:p w14:paraId="3047EF60" w14:textId="67AE4577" w:rsidR="00B14636" w:rsidRPr="00443A61" w:rsidRDefault="00B14636" w:rsidP="02B5BA7D">
      <w:pPr>
        <w:jc w:val="both"/>
      </w:pPr>
      <w:r w:rsidRPr="00443A61">
        <w:t>The result</w:t>
      </w:r>
      <w:r w:rsidR="1CAC3C95" w:rsidRPr="00443A61">
        <w:t>ant</w:t>
      </w:r>
      <w:r w:rsidRPr="00443A61">
        <w:t xml:space="preserve"> dataset contains harmonised age- and sex-resolved dietary intake information matched to the demographic composition of </w:t>
      </w:r>
      <w:r w:rsidR="65E14C0E" w:rsidRPr="00443A61">
        <w:t xml:space="preserve"> 12,6</w:t>
      </w:r>
      <w:r w:rsidR="003122B5" w:rsidRPr="00443A61">
        <w:rPr>
          <w:rFonts w:hint="eastAsia"/>
        </w:rPr>
        <w:t>8</w:t>
      </w:r>
      <w:r w:rsidR="65E14C0E" w:rsidRPr="00443A61">
        <w:t>3</w:t>
      </w:r>
      <w:r w:rsidRPr="00443A61">
        <w:t xml:space="preserve"> cities worldwide. </w:t>
      </w:r>
    </w:p>
    <w:p w14:paraId="6E848C22" w14:textId="02B50DE6" w:rsidR="000326A9" w:rsidRPr="00443A61" w:rsidRDefault="001B45A3" w:rsidP="00C5003F">
      <w:pPr>
        <w:pStyle w:val="Heading1"/>
        <w:rPr>
          <w:b/>
          <w:bCs/>
          <w:color w:val="auto"/>
          <w:sz w:val="24"/>
          <w:szCs w:val="24"/>
        </w:rPr>
      </w:pPr>
      <w:bookmarkStart w:id="9" w:name="_Toc221538874"/>
      <w:r w:rsidRPr="00443A61">
        <w:rPr>
          <w:b/>
          <w:bCs/>
          <w:color w:val="auto"/>
          <w:sz w:val="24"/>
          <w:szCs w:val="24"/>
        </w:rPr>
        <w:t xml:space="preserve">2. </w:t>
      </w:r>
      <w:r w:rsidR="000326A9" w:rsidRPr="00443A61">
        <w:rPr>
          <w:b/>
          <w:bCs/>
          <w:color w:val="auto"/>
          <w:sz w:val="24"/>
          <w:szCs w:val="24"/>
        </w:rPr>
        <w:t>Construction of country-specific per-food environmental coefficients</w:t>
      </w:r>
      <w:bookmarkEnd w:id="9"/>
    </w:p>
    <w:p w14:paraId="6E00E4D1" w14:textId="6A87A429" w:rsidR="000326A9" w:rsidRPr="00443A61" w:rsidRDefault="000326A9" w:rsidP="02B5BA7D">
      <w:pPr>
        <w:jc w:val="both"/>
      </w:pPr>
      <w:r w:rsidRPr="00443A61">
        <w:t>We derived country-, food</w:t>
      </w:r>
      <w:r w:rsidR="346EC4B8" w:rsidRPr="00443A61">
        <w:t>-</w:t>
      </w:r>
      <w:r w:rsidRPr="00443A61">
        <w:t xml:space="preserve">, </w:t>
      </w:r>
      <w:r w:rsidR="3E7F19C5" w:rsidRPr="00443A61">
        <w:t>and</w:t>
      </w:r>
      <w:r w:rsidR="0071681B" w:rsidRPr="00443A61">
        <w:t xml:space="preserve"> </w:t>
      </w:r>
      <w:r w:rsidRPr="00443A61">
        <w:t>impact</w:t>
      </w:r>
      <w:r w:rsidR="4B9FD470" w:rsidRPr="00443A61">
        <w:t>-specific</w:t>
      </w:r>
      <w:r w:rsidRPr="00443A61">
        <w:t xml:space="preserve"> environmental coefficients </w:t>
      </w:r>
      <w:r w:rsidR="3E62332A" w:rsidRPr="00443A61">
        <w:t xml:space="preserve">from FABIO in order </w:t>
      </w:r>
      <w:r w:rsidRPr="00443A61">
        <w:t xml:space="preserve">to </w:t>
      </w:r>
      <w:r w:rsidR="20B599EA" w:rsidRPr="00443A61">
        <w:t xml:space="preserve">assign consumption-based environmental footprints to </w:t>
      </w:r>
      <w:r w:rsidRPr="00443A61">
        <w:t xml:space="preserve">dietary intake </w:t>
      </w:r>
      <w:r w:rsidR="1338CA70" w:rsidRPr="00443A61">
        <w:t>across cities</w:t>
      </w:r>
      <w:r w:rsidRPr="00443A61">
        <w:t xml:space="preserve">. </w:t>
      </w:r>
    </w:p>
    <w:p w14:paraId="3357187E" w14:textId="04764842" w:rsidR="000326A9" w:rsidRPr="00443A61" w:rsidRDefault="002F5DB4" w:rsidP="00C5003F">
      <w:pPr>
        <w:pStyle w:val="Heading2"/>
        <w:rPr>
          <w:b/>
          <w:bCs/>
          <w:color w:val="auto"/>
          <w:sz w:val="24"/>
          <w:szCs w:val="24"/>
        </w:rPr>
      </w:pPr>
      <w:bookmarkStart w:id="10" w:name="_Toc221538875"/>
      <w:r w:rsidRPr="00443A61">
        <w:rPr>
          <w:b/>
          <w:bCs/>
          <w:color w:val="auto"/>
          <w:sz w:val="24"/>
          <w:szCs w:val="24"/>
        </w:rPr>
        <w:t xml:space="preserve">2.1 </w:t>
      </w:r>
      <w:r w:rsidR="000326A9" w:rsidRPr="00443A61">
        <w:rPr>
          <w:b/>
          <w:bCs/>
          <w:color w:val="auto"/>
          <w:sz w:val="24"/>
          <w:szCs w:val="24"/>
        </w:rPr>
        <w:t xml:space="preserve">Food groups and </w:t>
      </w:r>
      <w:r w:rsidR="00A31750" w:rsidRPr="00443A61">
        <w:rPr>
          <w:b/>
          <w:bCs/>
          <w:color w:val="auto"/>
          <w:sz w:val="24"/>
          <w:szCs w:val="24"/>
        </w:rPr>
        <w:t xml:space="preserve">environmental </w:t>
      </w:r>
      <w:r w:rsidR="000326A9" w:rsidRPr="00443A61">
        <w:rPr>
          <w:b/>
          <w:bCs/>
          <w:color w:val="auto"/>
          <w:sz w:val="24"/>
          <w:szCs w:val="24"/>
        </w:rPr>
        <w:t>impacts</w:t>
      </w:r>
      <w:bookmarkEnd w:id="10"/>
    </w:p>
    <w:p w14:paraId="2F536946" w14:textId="33AFAC53" w:rsidR="000326A9" w:rsidRPr="00443A61" w:rsidRDefault="000326A9" w:rsidP="02B5BA7D">
      <w:pPr>
        <w:jc w:val="both"/>
      </w:pPr>
      <w:r w:rsidRPr="00443A61">
        <w:t xml:space="preserve">We considered 16 aggregated food groups consistent with MATILDA/GDD harmonisation: </w:t>
      </w:r>
      <w:r w:rsidR="1F6BF8D9" w:rsidRPr="00443A61">
        <w:t>f</w:t>
      </w:r>
      <w:r w:rsidRPr="00443A61">
        <w:t xml:space="preserve">ruits, </w:t>
      </w:r>
      <w:r w:rsidR="76FB8143" w:rsidRPr="00443A61">
        <w:t>n</w:t>
      </w:r>
      <w:r w:rsidRPr="00443A61">
        <w:t xml:space="preserve">on-starchy vegetables, </w:t>
      </w:r>
      <w:r w:rsidR="3B2478F2" w:rsidRPr="00443A61">
        <w:t>p</w:t>
      </w:r>
      <w:r w:rsidRPr="00443A61">
        <w:t xml:space="preserve">otatoes, </w:t>
      </w:r>
      <w:r w:rsidR="5F9B1A97" w:rsidRPr="00443A61">
        <w:t>o</w:t>
      </w:r>
      <w:r w:rsidRPr="00443A61">
        <w:t xml:space="preserve">ther starchy vegetables, </w:t>
      </w:r>
      <w:r w:rsidR="16261309" w:rsidRPr="00443A61">
        <w:t>b</w:t>
      </w:r>
      <w:r w:rsidRPr="00443A61">
        <w:t xml:space="preserve">eans and legumes, </w:t>
      </w:r>
      <w:r w:rsidR="001E9455" w:rsidRPr="00443A61">
        <w:t>n</w:t>
      </w:r>
      <w:r w:rsidRPr="00443A61">
        <w:t xml:space="preserve">uts and seeds, </w:t>
      </w:r>
      <w:r w:rsidR="52B25EFB" w:rsidRPr="00443A61">
        <w:t>r</w:t>
      </w:r>
      <w:r w:rsidRPr="00443A61">
        <w:t xml:space="preserve">efined grains, </w:t>
      </w:r>
      <w:r w:rsidR="30E835E1" w:rsidRPr="00443A61">
        <w:t>w</w:t>
      </w:r>
      <w:r w:rsidRPr="00443A61">
        <w:t xml:space="preserve">hole grains, </w:t>
      </w:r>
      <w:r w:rsidR="3D4A128C" w:rsidRPr="00443A61">
        <w:t>t</w:t>
      </w:r>
      <w:r w:rsidRPr="00443A61">
        <w:t xml:space="preserve">otal processed meats, </w:t>
      </w:r>
      <w:r w:rsidR="5E460DD3" w:rsidRPr="00443A61">
        <w:t>u</w:t>
      </w:r>
      <w:r w:rsidRPr="00443A61">
        <w:t xml:space="preserve">nprocessed red meats, </w:t>
      </w:r>
      <w:r w:rsidR="3593B055" w:rsidRPr="00443A61">
        <w:t>t</w:t>
      </w:r>
      <w:r w:rsidRPr="00443A61">
        <w:t xml:space="preserve">otal seafoods, </w:t>
      </w:r>
      <w:r w:rsidR="03950804" w:rsidRPr="00443A61">
        <w:t>e</w:t>
      </w:r>
      <w:r w:rsidRPr="00443A61">
        <w:t xml:space="preserve">ggs, </w:t>
      </w:r>
      <w:r w:rsidR="323AE43C" w:rsidRPr="00443A61">
        <w:t>c</w:t>
      </w:r>
      <w:r w:rsidRPr="00443A61">
        <w:t xml:space="preserve">offee, </w:t>
      </w:r>
      <w:r w:rsidR="3591A71B" w:rsidRPr="00443A61">
        <w:t>t</w:t>
      </w:r>
      <w:r w:rsidRPr="00443A61">
        <w:t xml:space="preserve">ea, </w:t>
      </w:r>
      <w:r w:rsidR="0932D3B6" w:rsidRPr="00443A61">
        <w:t>t</w:t>
      </w:r>
      <w:r w:rsidRPr="00443A61">
        <w:t xml:space="preserve">otal milk, and </w:t>
      </w:r>
      <w:r w:rsidR="3ED2B48C" w:rsidRPr="00443A61">
        <w:t>s</w:t>
      </w:r>
      <w:r w:rsidRPr="00443A61">
        <w:t>ugar-sweetened beverages (SSB).</w:t>
      </w:r>
      <w:r w:rsidR="002F5DB4" w:rsidRPr="00443A61">
        <w:t xml:space="preserve"> </w:t>
      </w:r>
      <w:r w:rsidRPr="00443A61">
        <w:t>Three environmental dimensions were used: GHGE, water use, and land use.</w:t>
      </w:r>
    </w:p>
    <w:p w14:paraId="2DFA718E" w14:textId="3FDA0E04" w:rsidR="000326A9" w:rsidRPr="00443A61" w:rsidRDefault="00A123B2" w:rsidP="00C5003F">
      <w:pPr>
        <w:pStyle w:val="Heading2"/>
        <w:rPr>
          <w:b/>
          <w:bCs/>
          <w:color w:val="auto"/>
          <w:sz w:val="24"/>
          <w:szCs w:val="24"/>
        </w:rPr>
      </w:pPr>
      <w:bookmarkStart w:id="11" w:name="_Toc221538876"/>
      <w:r w:rsidRPr="00443A61">
        <w:rPr>
          <w:b/>
          <w:bCs/>
          <w:color w:val="auto"/>
          <w:sz w:val="24"/>
          <w:szCs w:val="24"/>
        </w:rPr>
        <w:t>2.</w:t>
      </w:r>
      <w:r w:rsidR="002F5DB4" w:rsidRPr="00443A61">
        <w:rPr>
          <w:b/>
          <w:bCs/>
          <w:color w:val="auto"/>
          <w:sz w:val="24"/>
          <w:szCs w:val="24"/>
        </w:rPr>
        <w:t>2</w:t>
      </w:r>
      <w:r w:rsidRPr="00443A61">
        <w:rPr>
          <w:b/>
          <w:bCs/>
          <w:color w:val="auto"/>
          <w:sz w:val="24"/>
          <w:szCs w:val="24"/>
        </w:rPr>
        <w:t xml:space="preserve"> Environmental c</w:t>
      </w:r>
      <w:r w:rsidR="000326A9" w:rsidRPr="00443A61">
        <w:rPr>
          <w:b/>
          <w:bCs/>
          <w:color w:val="auto"/>
          <w:sz w:val="24"/>
          <w:szCs w:val="24"/>
        </w:rPr>
        <w:t>oefficient definition</w:t>
      </w:r>
      <w:bookmarkEnd w:id="11"/>
    </w:p>
    <w:p w14:paraId="7BE3273A" w14:textId="77777777" w:rsidR="000326A9" w:rsidRPr="00443A61" w:rsidRDefault="000326A9" w:rsidP="02B5BA7D">
      <w:pPr>
        <w:jc w:val="both"/>
      </w:pPr>
      <w:r w:rsidRPr="00443A61">
        <w:t xml:space="preserve">For each food group </w:t>
      </w:r>
      <m:oMath>
        <m:r>
          <w:rPr>
            <w:rFonts w:ascii="Cambria Math" w:hAnsi="Cambria Math"/>
          </w:rPr>
          <m:t xml:space="preserve"> f </m:t>
        </m:r>
      </m:oMath>
      <w:r w:rsidRPr="00443A61">
        <w:rPr>
          <w:rFonts w:hint="eastAsia"/>
        </w:rPr>
        <w:t xml:space="preserve"> </w:t>
      </w:r>
      <w:r w:rsidRPr="00443A61">
        <w:t xml:space="preserve">and impact </w:t>
      </w:r>
      <m:oMath>
        <m:r>
          <w:rPr>
            <w:rFonts w:ascii="Cambria Math" w:hAnsi="Cambria Math"/>
          </w:rPr>
          <m:t xml:space="preserve"> k </m:t>
        </m:r>
        <m:r>
          <m:rPr>
            <m:sty m:val="p"/>
          </m:rPr>
          <w:rPr>
            <w:rFonts w:ascii="Cambria Math" w:hAnsi="Cambria Math" w:hint="eastAsia"/>
          </w:rPr>
          <m:t>∈</m:t>
        </m:r>
        <m:r>
          <w:rPr>
            <w:rFonts w:ascii="Cambria Math" w:hAnsi="Cambria Math"/>
          </w:rPr>
          <m:t>{GHGE, water use, land use}</m:t>
        </m:r>
      </m:oMath>
      <w:r w:rsidRPr="00443A61">
        <w:t>, we define the coefficient</w:t>
      </w:r>
    </w:p>
    <w:p w14:paraId="17CB557B" w14:textId="520DBF2E" w:rsidR="007A16C5" w:rsidRPr="00443A61" w:rsidRDefault="00000000" w:rsidP="02B5BA7D">
      <w:pPr>
        <w:jc w:val="both"/>
      </w:pPr>
      <m:oMathPara>
        <m:oMath>
          <m:sSubSup>
            <m:sSubSupPr>
              <m:ctrlPr>
                <w:rPr>
                  <w:rFonts w:ascii="Cambria Math" w:hAnsi="Cambria Math"/>
                  <w:i/>
                  <w:lang w:val="en-GB"/>
                </w:rPr>
              </m:ctrlPr>
            </m:sSubSupPr>
            <m:e>
              <m:r>
                <w:rPr>
                  <w:rFonts w:ascii="Cambria Math" w:hAnsi="Cambria Math"/>
                  <w:lang w:val="it-IT"/>
                </w:rPr>
                <m:t>c</m:t>
              </m:r>
              <m:ctrlPr>
                <w:rPr>
                  <w:rFonts w:ascii="Cambria Math" w:hAnsi="Cambria Math"/>
                  <w:i/>
                  <w:lang w:val="it-IT"/>
                </w:rPr>
              </m:ctrlPr>
            </m:e>
            <m:sub>
              <m:r>
                <w:rPr>
                  <w:rFonts w:ascii="Cambria Math" w:hAnsi="Cambria Math"/>
                  <w:lang w:val="it-IT"/>
                </w:rPr>
                <m:t>f</m:t>
              </m:r>
              <m:r>
                <w:rPr>
                  <w:rFonts w:ascii="Cambria Math" w:hAnsi="Cambria Math"/>
                  <w:lang w:val="en-GB"/>
                </w:rPr>
                <m:t>,</m:t>
              </m:r>
              <m:r>
                <w:rPr>
                  <w:rFonts w:ascii="Cambria Math" w:hAnsi="Cambria Math"/>
                  <w:lang w:val="it-IT"/>
                </w:rPr>
                <m:t>k</m:t>
              </m:r>
            </m:sub>
            <m:sup>
              <m:d>
                <m:dPr>
                  <m:ctrlPr>
                    <w:rPr>
                      <w:rFonts w:ascii="Cambria Math" w:hAnsi="Cambria Math"/>
                      <w:i/>
                      <w:lang w:val="en-GB"/>
                    </w:rPr>
                  </m:ctrlPr>
                </m:dPr>
                <m:e>
                  <m:r>
                    <w:rPr>
                      <w:rFonts w:ascii="Cambria Math" w:hAnsi="Cambria Math"/>
                      <w:lang w:val="it-IT"/>
                    </w:rPr>
                    <m:t>r</m:t>
                  </m:r>
                </m:e>
              </m:d>
            </m:sup>
          </m:sSubSup>
          <m:r>
            <w:rPr>
              <w:rFonts w:ascii="Cambria Math" w:hAnsi="Cambria Math"/>
              <w:lang w:val="en-GB"/>
            </w:rPr>
            <m:t>=</m:t>
          </m:r>
          <m:f>
            <m:fPr>
              <m:ctrlPr>
                <w:rPr>
                  <w:rFonts w:ascii="Cambria Math" w:hAnsi="Cambria Math"/>
                  <w:lang w:val="en-GB"/>
                </w:rPr>
              </m:ctrlPr>
            </m:fPr>
            <m:num>
              <m:sSubSup>
                <m:sSubSupPr>
                  <m:ctrlPr>
                    <w:rPr>
                      <w:rFonts w:ascii="Cambria Math" w:hAnsi="Cambria Math"/>
                      <w:i/>
                      <w:lang w:val="en-GB"/>
                    </w:rPr>
                  </m:ctrlPr>
                </m:sSubSupPr>
                <m:e>
                  <m:r>
                    <w:rPr>
                      <w:rFonts w:ascii="Cambria Math" w:hAnsi="Cambria Math"/>
                      <w:lang w:val="it-IT"/>
                    </w:rPr>
                    <m:t>I</m:t>
                  </m:r>
                  <m:ctrlPr>
                    <w:rPr>
                      <w:rFonts w:ascii="Cambria Math" w:hAnsi="Cambria Math"/>
                      <w:lang w:val="en-GB"/>
                    </w:rPr>
                  </m:ctrlPr>
                </m:e>
                <m:sub>
                  <m:r>
                    <w:rPr>
                      <w:rFonts w:ascii="Cambria Math" w:hAnsi="Cambria Math"/>
                      <w:lang w:val="it-IT"/>
                    </w:rPr>
                    <m:t>f</m:t>
                  </m:r>
                  <m:r>
                    <w:rPr>
                      <w:rFonts w:ascii="Cambria Math" w:hAnsi="Cambria Math"/>
                      <w:lang w:val="en-GB"/>
                    </w:rPr>
                    <m:t>,</m:t>
                  </m:r>
                  <m:r>
                    <w:rPr>
                      <w:rFonts w:ascii="Cambria Math" w:hAnsi="Cambria Math"/>
                      <w:lang w:val="it-IT"/>
                    </w:rPr>
                    <m:t>k</m:t>
                  </m:r>
                </m:sub>
                <m:sup>
                  <m:d>
                    <m:dPr>
                      <m:ctrlPr>
                        <w:rPr>
                          <w:rFonts w:ascii="Cambria Math" w:hAnsi="Cambria Math"/>
                          <w:i/>
                          <w:lang w:val="en-GB"/>
                        </w:rPr>
                      </m:ctrlPr>
                    </m:dPr>
                    <m:e>
                      <m:r>
                        <w:rPr>
                          <w:rFonts w:ascii="Cambria Math" w:hAnsi="Cambria Math"/>
                          <w:lang w:val="it-IT"/>
                        </w:rPr>
                        <m:t>r</m:t>
                      </m:r>
                    </m:e>
                  </m:d>
                </m:sup>
              </m:sSubSup>
              <m:ctrlPr>
                <w:rPr>
                  <w:rFonts w:ascii="Cambria Math" w:hAnsi="Cambria Math"/>
                  <w:i/>
                  <w:lang w:val="en-GB"/>
                </w:rPr>
              </m:ctrlPr>
            </m:num>
            <m:den>
              <m:sSubSup>
                <m:sSubSupPr>
                  <m:ctrlPr>
                    <w:rPr>
                      <w:rFonts w:ascii="Cambria Math" w:hAnsi="Cambria Math"/>
                      <w:i/>
                      <w:lang w:val="en-GB"/>
                    </w:rPr>
                  </m:ctrlPr>
                </m:sSubSupPr>
                <m:e>
                  <m:r>
                    <w:rPr>
                      <w:rFonts w:ascii="Cambria Math" w:hAnsi="Cambria Math"/>
                      <w:lang w:val="it-IT"/>
                    </w:rPr>
                    <m:t>Q</m:t>
                  </m:r>
                  <m:ctrlPr>
                    <w:rPr>
                      <w:rFonts w:ascii="Cambria Math" w:hAnsi="Cambria Math"/>
                      <w:lang w:val="en-GB"/>
                    </w:rPr>
                  </m:ctrlPr>
                </m:e>
                <m:sub>
                  <m:r>
                    <w:rPr>
                      <w:rFonts w:ascii="Cambria Math" w:hAnsi="Cambria Math"/>
                      <w:lang w:val="it-IT"/>
                    </w:rPr>
                    <m:t>f</m:t>
                  </m:r>
                </m:sub>
                <m:sup>
                  <m:d>
                    <m:dPr>
                      <m:ctrlPr>
                        <w:rPr>
                          <w:rFonts w:ascii="Cambria Math" w:hAnsi="Cambria Math"/>
                          <w:i/>
                          <w:lang w:val="en-GB"/>
                        </w:rPr>
                      </m:ctrlPr>
                    </m:dPr>
                    <m:e>
                      <m:r>
                        <w:rPr>
                          <w:rFonts w:ascii="Cambria Math" w:hAnsi="Cambria Math"/>
                          <w:lang w:val="it-IT"/>
                        </w:rPr>
                        <m:t>r</m:t>
                      </m:r>
                    </m:e>
                  </m:d>
                </m:sup>
              </m:sSubSup>
            </m:den>
          </m:f>
          <m:r>
            <m:rPr>
              <m:sty m:val="p"/>
            </m:rPr>
            <w:rPr>
              <w:rFonts w:ascii="Cambria Math" w:hAnsi="Cambria Math"/>
              <w:lang w:val="en-GB"/>
            </w:rPr>
            <w:br/>
          </m:r>
        </m:oMath>
      </m:oMathPara>
      <w:r w:rsidR="000326A9" w:rsidRPr="00443A61">
        <w:t xml:space="preserve">where </w:t>
      </w:r>
      <m:oMath>
        <m:sSubSup>
          <m:sSubSupPr>
            <m:ctrlPr>
              <w:rPr>
                <w:rFonts w:ascii="Cambria Math" w:hAnsi="Cambria Math"/>
                <w:i/>
              </w:rPr>
            </m:ctrlPr>
          </m:sSubSupPr>
          <m:e>
            <m:r>
              <w:rPr>
                <w:rFonts w:ascii="Cambria Math" w:hAnsi="Cambria Math"/>
              </w:rPr>
              <m:t>I</m:t>
            </m:r>
          </m:e>
          <m:sub>
            <m:r>
              <w:rPr>
                <w:rFonts w:ascii="Cambria Math" w:hAnsi="Cambria Math"/>
              </w:rPr>
              <m:t>f,k</m:t>
            </m:r>
          </m:sub>
          <m:sup>
            <m:d>
              <m:dPr>
                <m:ctrlPr>
                  <w:rPr>
                    <w:rFonts w:ascii="Cambria Math" w:hAnsi="Cambria Math"/>
                    <w:i/>
                  </w:rPr>
                </m:ctrlPr>
              </m:dPr>
              <m:e>
                <m:r>
                  <w:rPr>
                    <w:rFonts w:ascii="Cambria Math" w:hAnsi="Cambria Math"/>
                  </w:rPr>
                  <m:t>r</m:t>
                </m:r>
              </m:e>
            </m:d>
          </m:sup>
        </m:sSubSup>
      </m:oMath>
      <w:r w:rsidR="000326A9" w:rsidRPr="00443A61">
        <w:t xml:space="preserve"> is the country-specific impact total for food </w:t>
      </w:r>
      <m:oMath>
        <m:r>
          <w:rPr>
            <w:rFonts w:ascii="Cambria Math" w:hAnsi="Cambria Math"/>
          </w:rPr>
          <m:t xml:space="preserve">f </m:t>
        </m:r>
      </m:oMath>
      <w:r w:rsidR="000326A9" w:rsidRPr="00443A61">
        <w:t xml:space="preserve"> in country </w:t>
      </w:r>
      <m:oMath>
        <m:r>
          <w:rPr>
            <w:rFonts w:ascii="Cambria Math" w:hAnsi="Cambria Math"/>
          </w:rPr>
          <m:t>r</m:t>
        </m:r>
      </m:oMath>
      <w:r w:rsidR="000326A9" w:rsidRPr="00443A61">
        <w:t xml:space="preserve"> , and </w:t>
      </w:r>
      <m:oMath>
        <m:sSubSup>
          <m:sSubSupPr>
            <m:ctrlPr>
              <w:rPr>
                <w:rFonts w:ascii="Cambria Math" w:hAnsi="Cambria Math"/>
                <w:i/>
              </w:rPr>
            </m:ctrlPr>
          </m:sSubSupPr>
          <m:e>
            <m:r>
              <w:rPr>
                <w:rFonts w:ascii="Cambria Math" w:hAnsi="Cambria Math"/>
              </w:rPr>
              <m:t>Q</m:t>
            </m:r>
          </m:e>
          <m:sub>
            <m:r>
              <w:rPr>
                <w:rFonts w:ascii="Cambria Math" w:hAnsi="Cambria Math"/>
              </w:rPr>
              <m:t>f</m:t>
            </m:r>
          </m:sub>
          <m:sup>
            <m:d>
              <m:dPr>
                <m:ctrlPr>
                  <w:rPr>
                    <w:rFonts w:ascii="Cambria Math" w:hAnsi="Cambria Math"/>
                    <w:i/>
                  </w:rPr>
                </m:ctrlPr>
              </m:dPr>
              <m:e>
                <m:r>
                  <w:rPr>
                    <w:rFonts w:ascii="Cambria Math" w:hAnsi="Cambria Math"/>
                  </w:rPr>
                  <m:t>r</m:t>
                </m:r>
              </m:e>
            </m:d>
          </m:sup>
        </m:sSubSup>
      </m:oMath>
      <w:r w:rsidR="000326A9" w:rsidRPr="00443A61">
        <w:t xml:space="preserve">  is the corresponding consumed quantity. This yields per-unit impact coefficients (e.g., kg CO</w:t>
      </w:r>
      <w:r w:rsidR="000326A9" w:rsidRPr="00443A61">
        <w:rPr>
          <w:vertAlign w:val="subscript"/>
        </w:rPr>
        <w:t>2</w:t>
      </w:r>
      <w:r w:rsidR="000326A9" w:rsidRPr="00443A61">
        <w:t>-eq per g food, m</w:t>
      </w:r>
      <w:r w:rsidR="000326A9" w:rsidRPr="00443A61">
        <w:rPr>
          <w:vertAlign w:val="superscript"/>
        </w:rPr>
        <w:t>3</w:t>
      </w:r>
      <w:r w:rsidR="000326A9" w:rsidRPr="00443A61">
        <w:t xml:space="preserve"> water per kg, or m</w:t>
      </w:r>
      <w:r w:rsidR="000326A9" w:rsidRPr="00443A61">
        <w:rPr>
          <w:vertAlign w:val="superscript"/>
        </w:rPr>
        <w:t>2</w:t>
      </w:r>
      <w:r w:rsidR="000326A9" w:rsidRPr="00443A61">
        <w:t xml:space="preserve">·year per kg). </w:t>
      </w:r>
    </w:p>
    <w:p w14:paraId="057C2866" w14:textId="41F90BB8" w:rsidR="005E4F4C" w:rsidRPr="00443A61" w:rsidRDefault="0042518A" w:rsidP="02B5BA7D">
      <w:pPr>
        <w:jc w:val="both"/>
      </w:pPr>
      <w:bookmarkStart w:id="12" w:name="OLE_LINK77"/>
      <w:r w:rsidRPr="00443A61">
        <w:rPr>
          <w:rFonts w:hint="eastAsia"/>
        </w:rPr>
        <w:t xml:space="preserve"> </w:t>
      </w:r>
      <w:r w:rsidRPr="00443A61">
        <w:t xml:space="preserve">To assess the sensitivity of environmental footprint estimates to uncertainty in food group composition, we propagated variability in impact factors linked to underlying product mixes. Each food group in the GDD, such as fruits, legumes, or dairy, maps onto multiple commodities in the FABIO framework with heterogeneous environmental intensities. We therefore applied Latin Hypercube Sampling to perturb the relative shares of these commodities within a ±10% range and conducted 200 simulations per country. For each simulation, greenhouse gas emissions, water use, and land use were recalculated, and uncertainty was characterised using interquartile ranges. Variability stabilised after approximately 80 simulations, indicating sufficient sampling to capture </w:t>
      </w:r>
      <w:r w:rsidRPr="00443A61">
        <w:lastRenderedPageBreak/>
        <w:t>plausible uncertainty and ensuring that cross-city comparisons reflect compositional variability rather than reliance on single point</w:t>
      </w:r>
      <w:r w:rsidR="007A16C5" w:rsidRPr="00443A61">
        <w:t xml:space="preserve"> estimates.</w:t>
      </w:r>
      <w:bookmarkEnd w:id="12"/>
    </w:p>
    <w:p w14:paraId="6B4CFC1B" w14:textId="7D2C024B" w:rsidR="005E4F4C" w:rsidRPr="00443A61" w:rsidRDefault="00124729" w:rsidP="00C5003F">
      <w:pPr>
        <w:pStyle w:val="Heading1"/>
        <w:rPr>
          <w:b/>
          <w:bCs/>
          <w:color w:val="auto"/>
          <w:sz w:val="24"/>
          <w:szCs w:val="24"/>
        </w:rPr>
      </w:pPr>
      <w:bookmarkStart w:id="13" w:name="_Toc221538877"/>
      <w:r w:rsidRPr="00443A61">
        <w:rPr>
          <w:b/>
          <w:bCs/>
          <w:color w:val="auto"/>
          <w:sz w:val="24"/>
          <w:szCs w:val="24"/>
        </w:rPr>
        <w:t xml:space="preserve">3. </w:t>
      </w:r>
      <w:r w:rsidR="005E4F4C" w:rsidRPr="00443A61">
        <w:rPr>
          <w:b/>
          <w:bCs/>
          <w:color w:val="auto"/>
          <w:sz w:val="24"/>
          <w:szCs w:val="24"/>
        </w:rPr>
        <w:t xml:space="preserve">Integrating </w:t>
      </w:r>
      <w:r w:rsidR="4BB9C248" w:rsidRPr="00443A61">
        <w:rPr>
          <w:b/>
          <w:bCs/>
          <w:color w:val="auto"/>
          <w:sz w:val="24"/>
          <w:szCs w:val="24"/>
        </w:rPr>
        <w:t xml:space="preserve">impact </w:t>
      </w:r>
      <w:r w:rsidR="005E4F4C" w:rsidRPr="00443A61">
        <w:rPr>
          <w:b/>
          <w:bCs/>
          <w:color w:val="auto"/>
          <w:sz w:val="24"/>
          <w:szCs w:val="24"/>
        </w:rPr>
        <w:t>coefficients with demographic dietary intake</w:t>
      </w:r>
      <w:bookmarkEnd w:id="13"/>
    </w:p>
    <w:p w14:paraId="03707D91" w14:textId="78E8FDE1" w:rsidR="005E4F4C" w:rsidRPr="00443A61" w:rsidRDefault="00C04985" w:rsidP="02B5BA7D">
      <w:pPr>
        <w:jc w:val="both"/>
      </w:pPr>
      <w:r w:rsidRPr="00443A61">
        <w:t xml:space="preserve">City-level dietary intake estimates from </w:t>
      </w:r>
      <w:r w:rsidR="005E4F4C" w:rsidRPr="00443A61">
        <w:t>the previously harmonised GDD-population</w:t>
      </w:r>
      <w:r w:rsidR="003A2E73" w:rsidRPr="00443A61">
        <w:rPr>
          <w:rFonts w:hint="eastAsia"/>
        </w:rPr>
        <w:t xml:space="preserve"> </w:t>
      </w:r>
      <w:r w:rsidR="005E4F4C" w:rsidRPr="00443A61">
        <w:t xml:space="preserve"> </w:t>
      </w:r>
      <w:r w:rsidR="003A2E73" w:rsidRPr="00443A61">
        <w:t>dataset were linked to country-specific environmental impact coefficients</w:t>
      </w:r>
      <w:r w:rsidR="003A2E73" w:rsidRPr="00443A61">
        <w:rPr>
          <w:rFonts w:hint="eastAsia"/>
        </w:rPr>
        <w:t>.</w:t>
      </w:r>
    </w:p>
    <w:p w14:paraId="0D8DCA91" w14:textId="5A6A1F26" w:rsidR="005E4F4C" w:rsidRPr="00443A61" w:rsidRDefault="005E4F4C" w:rsidP="02B5BA7D">
      <w:pPr>
        <w:jc w:val="both"/>
      </w:pPr>
      <w:r w:rsidRPr="00443A61">
        <w:t xml:space="preserve">For each record defined by country </w:t>
      </w:r>
      <m:oMath>
        <m:r>
          <m:rPr>
            <m:sty m:val="p"/>
          </m:rPr>
          <w:rPr>
            <w:rFonts w:ascii="Cambria Math" w:hAnsi="Cambria Math"/>
          </w:rPr>
          <m:t>r</m:t>
        </m:r>
      </m:oMath>
      <w:r w:rsidRPr="00443A61">
        <w:t>, sex, age band, and city identifier</w:t>
      </w:r>
      <w:r w:rsidR="005725D7" w:rsidRPr="00443A61">
        <w:t xml:space="preserve">, </w:t>
      </w:r>
      <w:r w:rsidR="00887AB8" w:rsidRPr="00443A61">
        <w:t>the dataset contains</w:t>
      </w:r>
      <w:r w:rsidRPr="00443A61">
        <w:t>:</w:t>
      </w:r>
    </w:p>
    <w:p w14:paraId="13A0DA92" w14:textId="77777777" w:rsidR="005E4F4C" w:rsidRPr="00443A61" w:rsidRDefault="005E4F4C" w:rsidP="02B5BA7D">
      <w:pPr>
        <w:pStyle w:val="ListParagraph"/>
        <w:numPr>
          <w:ilvl w:val="0"/>
          <w:numId w:val="2"/>
        </w:numPr>
        <w:jc w:val="both"/>
      </w:pPr>
      <w:r w:rsidRPr="00443A61">
        <w:t xml:space="preserve">Dietary intake by food group </w:t>
      </w:r>
      <m:oMath>
        <m:sSubSup>
          <m:sSubSupPr>
            <m:ctrlPr>
              <w:rPr>
                <w:rFonts w:ascii="Cambria Math" w:hAnsi="Cambria Math"/>
                <w:i/>
              </w:rPr>
            </m:ctrlPr>
          </m:sSubSupPr>
          <m:e>
            <m:r>
              <w:rPr>
                <w:rFonts w:ascii="Cambria Math" w:hAnsi="Cambria Math"/>
              </w:rPr>
              <m:t>Q</m:t>
            </m:r>
          </m:e>
          <m:sub>
            <m:r>
              <w:rPr>
                <w:rFonts w:ascii="Cambria Math" w:hAnsi="Cambria Math"/>
              </w:rPr>
              <m:t>f</m:t>
            </m:r>
          </m:sub>
          <m:sup>
            <m:d>
              <m:dPr>
                <m:ctrlPr>
                  <w:rPr>
                    <w:rFonts w:ascii="Cambria Math" w:hAnsi="Cambria Math"/>
                  </w:rPr>
                </m:ctrlPr>
              </m:dPr>
              <m:e>
                <m:r>
                  <w:rPr>
                    <w:rFonts w:ascii="Cambria Math" w:hAnsi="Cambria Math"/>
                  </w:rPr>
                  <m:t>r,s,a</m:t>
                </m:r>
                <m:ctrlPr>
                  <w:rPr>
                    <w:rFonts w:ascii="Cambria Math" w:hAnsi="Cambria Math"/>
                    <w:i/>
                  </w:rPr>
                </m:ctrlPr>
              </m:e>
            </m:d>
          </m:sup>
        </m:sSubSup>
      </m:oMath>
      <w:r w:rsidRPr="00443A61">
        <w:rPr>
          <w:rFonts w:hint="eastAsia"/>
        </w:rPr>
        <w:t xml:space="preserve"> </w:t>
      </w:r>
      <w:r w:rsidRPr="00443A61">
        <w:t>(g/person/day) from GDD,</w:t>
      </w:r>
    </w:p>
    <w:p w14:paraId="1CEDC7DE" w14:textId="77777777" w:rsidR="005E4F4C" w:rsidRPr="00443A61" w:rsidRDefault="005E4F4C" w:rsidP="02B5BA7D">
      <w:pPr>
        <w:pStyle w:val="ListParagraph"/>
        <w:numPr>
          <w:ilvl w:val="0"/>
          <w:numId w:val="2"/>
        </w:numPr>
        <w:jc w:val="both"/>
      </w:pPr>
      <w:r w:rsidRPr="00443A61">
        <w:t xml:space="preserve">Per-unit coefficients </w:t>
      </w:r>
      <m:oMath>
        <m:sSubSup>
          <m:sSubSupPr>
            <m:ctrlPr>
              <w:rPr>
                <w:rFonts w:ascii="Cambria Math" w:hAnsi="Cambria Math"/>
                <w:i/>
              </w:rPr>
            </m:ctrlPr>
          </m:sSubSupPr>
          <m:e>
            <m:r>
              <w:rPr>
                <w:rFonts w:ascii="Cambria Math" w:hAnsi="Cambria Math"/>
              </w:rPr>
              <m:t>c</m:t>
            </m:r>
          </m:e>
          <m:sub>
            <m:r>
              <w:rPr>
                <w:rFonts w:ascii="Cambria Math" w:hAnsi="Cambria Math"/>
              </w:rPr>
              <m:t>f,k</m:t>
            </m:r>
          </m:sub>
          <m:sup>
            <m:d>
              <m:dPr>
                <m:ctrlPr>
                  <w:rPr>
                    <w:rFonts w:ascii="Cambria Math" w:hAnsi="Cambria Math"/>
                  </w:rPr>
                </m:ctrlPr>
              </m:dPr>
              <m:e>
                <m:r>
                  <w:rPr>
                    <w:rFonts w:ascii="Cambria Math" w:hAnsi="Cambria Math"/>
                  </w:rPr>
                  <m:t>r</m:t>
                </m:r>
                <m:ctrlPr>
                  <w:rPr>
                    <w:rFonts w:ascii="Cambria Math" w:hAnsi="Cambria Math"/>
                    <w:i/>
                  </w:rPr>
                </m:ctrlPr>
              </m:e>
            </m:d>
          </m:sup>
        </m:sSubSup>
      </m:oMath>
      <w:r w:rsidRPr="00443A61">
        <w:t xml:space="preserve">  (impact per g) as defined above,</w:t>
      </w:r>
    </w:p>
    <w:p w14:paraId="6919454B" w14:textId="77777777" w:rsidR="005E4F4C" w:rsidRPr="00443A61" w:rsidRDefault="005E4F4C" w:rsidP="02B5BA7D">
      <w:pPr>
        <w:pStyle w:val="ListParagraph"/>
        <w:numPr>
          <w:ilvl w:val="0"/>
          <w:numId w:val="2"/>
        </w:numPr>
        <w:jc w:val="both"/>
      </w:pPr>
      <w:r w:rsidRPr="00443A61">
        <w:t xml:space="preserve">City-level demographic structure (population </w:t>
      </w:r>
      <m:oMath>
        <m:sSup>
          <m:sSupPr>
            <m:ctrlPr>
              <w:rPr>
                <w:rFonts w:ascii="Cambria Math" w:hAnsi="Cambria Math"/>
              </w:rPr>
            </m:ctrlPr>
          </m:sSupPr>
          <m:e>
            <m:r>
              <w:rPr>
                <w:rFonts w:ascii="Cambria Math" w:hAnsi="Cambria Math"/>
              </w:rPr>
              <m:t>P</m:t>
            </m:r>
          </m:e>
          <m:sup>
            <m:d>
              <m:dPr>
                <m:ctrlPr>
                  <w:rPr>
                    <w:rFonts w:ascii="Cambria Math" w:hAnsi="Cambria Math"/>
                  </w:rPr>
                </m:ctrlPr>
              </m:dPr>
              <m:e>
                <m:r>
                  <w:rPr>
                    <w:rFonts w:ascii="Cambria Math" w:hAnsi="Cambria Math"/>
                  </w:rPr>
                  <m:t>city</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a</m:t>
                </m:r>
              </m:e>
            </m:d>
          </m:sup>
        </m:sSup>
        <m:r>
          <w:rPr>
            <w:rFonts w:ascii="Cambria Math" w:hAnsi="Cambria Math"/>
          </w:rPr>
          <m:t xml:space="preserve"> </m:t>
        </m:r>
      </m:oMath>
      <w:r w:rsidRPr="00443A61">
        <w:t>by sex and age</w:t>
      </w:r>
      <w:r w:rsidRPr="00443A61">
        <w:rPr>
          <w:rFonts w:hint="eastAsia"/>
        </w:rPr>
        <w:t>)</w:t>
      </w:r>
      <w:r w:rsidRPr="00443A61">
        <w:t>.</w:t>
      </w:r>
    </w:p>
    <w:p w14:paraId="0984508D" w14:textId="77777777" w:rsidR="005E4F4C" w:rsidRPr="00443A61" w:rsidRDefault="005E4F4C" w:rsidP="02B5BA7D">
      <w:pPr>
        <w:jc w:val="both"/>
      </w:pPr>
      <w:r w:rsidRPr="00443A61">
        <w:t xml:space="preserve">For each food group </w:t>
      </w:r>
      <m:oMath>
        <m:r>
          <w:rPr>
            <w:rFonts w:ascii="Cambria Math" w:hAnsi="Cambria Math"/>
          </w:rPr>
          <m:t>f</m:t>
        </m:r>
      </m:oMath>
      <w:r w:rsidRPr="00443A61">
        <w:t xml:space="preserve"> and impact dimension </w:t>
      </w:r>
      <m:oMath>
        <m:r>
          <w:rPr>
            <w:rFonts w:ascii="Cambria Math" w:hAnsi="Cambria Math"/>
          </w:rPr>
          <m:t>k</m:t>
        </m:r>
      </m:oMath>
      <w:r w:rsidRPr="00443A61">
        <w:t>, per-capita impacts are computed as:</w:t>
      </w:r>
    </w:p>
    <w:p w14:paraId="3412DFD4" w14:textId="77777777" w:rsidR="005E4F4C" w:rsidRPr="00443A61" w:rsidRDefault="00000000" w:rsidP="02B5BA7D">
      <w:pPr>
        <w:jc w:val="both"/>
      </w:pPr>
      <m:oMathPara>
        <m:oMath>
          <m:sSubSup>
            <m:sSubSupPr>
              <m:ctrlPr>
                <w:rPr>
                  <w:rFonts w:ascii="Cambria Math" w:hAnsi="Cambria Math"/>
                  <w:i/>
                </w:rPr>
              </m:ctrlPr>
            </m:sSubSupPr>
            <m:e>
              <m:r>
                <w:rPr>
                  <w:rFonts w:ascii="Cambria Math" w:hAnsi="Cambria Math"/>
                </w:rPr>
                <m:t>E</m:t>
              </m:r>
            </m:e>
            <m:sub>
              <m:r>
                <w:rPr>
                  <w:rFonts w:ascii="Cambria Math" w:hAnsi="Cambria Math"/>
                </w:rPr>
                <m:t>f,k</m:t>
              </m:r>
            </m:sub>
            <m:sup>
              <m:d>
                <m:dPr>
                  <m:ctrlPr>
                    <w:rPr>
                      <w:rFonts w:ascii="Cambria Math" w:hAnsi="Cambria Math"/>
                      <w:i/>
                    </w:rPr>
                  </m:ctrlPr>
                </m:dPr>
                <m:e>
                  <m:r>
                    <w:rPr>
                      <w:rFonts w:ascii="Cambria Math" w:hAnsi="Cambria Math"/>
                    </w:rPr>
                    <m:t>r,s,a</m:t>
                  </m:r>
                </m:e>
              </m:d>
            </m:sup>
          </m:sSubSup>
          <m:r>
            <w:rPr>
              <w:rFonts w:ascii="Cambria Math" w:hAnsi="Cambria Math"/>
            </w:rPr>
            <m:t>=</m:t>
          </m:r>
          <m:sSubSup>
            <m:sSubSupPr>
              <m:ctrlPr>
                <w:rPr>
                  <w:rFonts w:ascii="Cambria Math" w:hAnsi="Cambria Math"/>
                  <w:i/>
                </w:rPr>
              </m:ctrlPr>
            </m:sSubSupPr>
            <m:e>
              <m:r>
                <w:rPr>
                  <w:rFonts w:ascii="Cambria Math" w:hAnsi="Cambria Math"/>
                </w:rPr>
                <m:t>Q</m:t>
              </m:r>
            </m:e>
            <m:sub>
              <m:r>
                <w:rPr>
                  <w:rFonts w:ascii="Cambria Math" w:hAnsi="Cambria Math"/>
                </w:rPr>
                <m:t>f</m:t>
              </m:r>
            </m:sub>
            <m:sup>
              <m:d>
                <m:dPr>
                  <m:ctrlPr>
                    <w:rPr>
                      <w:rFonts w:ascii="Cambria Math" w:hAnsi="Cambria Math"/>
                      <w:i/>
                    </w:rPr>
                  </m:ctrlPr>
                </m:dPr>
                <m:e>
                  <m:r>
                    <w:rPr>
                      <w:rFonts w:ascii="Cambria Math" w:hAnsi="Cambria Math"/>
                    </w:rPr>
                    <m:t>r,s,a</m:t>
                  </m:r>
                </m:e>
              </m:d>
            </m:sup>
          </m:sSubSup>
          <m:r>
            <m:rPr>
              <m:sty m:val="p"/>
            </m:rPr>
            <w:rPr>
              <w:rFonts w:ascii="Cambria Math" w:hAnsi="Cambria Math"/>
            </w:rPr>
            <m:t>×</m:t>
          </m:r>
          <m:sSubSup>
            <m:sSubSupPr>
              <m:ctrlPr>
                <w:rPr>
                  <w:rFonts w:ascii="Cambria Math" w:hAnsi="Cambria Math"/>
                  <w:i/>
                </w:rPr>
              </m:ctrlPr>
            </m:sSubSupPr>
            <m:e>
              <m:r>
                <w:rPr>
                  <w:rFonts w:ascii="Cambria Math" w:hAnsi="Cambria Math"/>
                </w:rPr>
                <m:t>c</m:t>
              </m:r>
              <m:ctrlPr>
                <w:rPr>
                  <w:rFonts w:ascii="Cambria Math" w:hAnsi="Cambria Math"/>
                </w:rPr>
              </m:ctrlPr>
            </m:e>
            <m:sub>
              <m:r>
                <w:rPr>
                  <w:rFonts w:ascii="Cambria Math" w:hAnsi="Cambria Math"/>
                </w:rPr>
                <m:t>f,k</m:t>
              </m:r>
            </m:sub>
            <m:sup>
              <m:d>
                <m:dPr>
                  <m:ctrlPr>
                    <w:rPr>
                      <w:rFonts w:ascii="Cambria Math" w:hAnsi="Cambria Math"/>
                      <w:i/>
                    </w:rPr>
                  </m:ctrlPr>
                </m:dPr>
                <m:e>
                  <m:r>
                    <w:rPr>
                      <w:rFonts w:ascii="Cambria Math" w:hAnsi="Cambria Math"/>
                    </w:rPr>
                    <m:t>r</m:t>
                  </m:r>
                </m:e>
              </m:d>
            </m:sup>
          </m:sSubSup>
          <m:r>
            <w:rPr>
              <w:rFonts w:ascii="Cambria Math" w:hAnsi="Cambria Math"/>
            </w:rPr>
            <m:t>.</m:t>
          </m:r>
        </m:oMath>
      </m:oMathPara>
    </w:p>
    <w:p w14:paraId="5321A11B" w14:textId="77777777" w:rsidR="005E4F4C" w:rsidRPr="00443A61" w:rsidRDefault="005E4F4C" w:rsidP="02B5BA7D">
      <w:pPr>
        <w:jc w:val="both"/>
      </w:pPr>
      <w:r w:rsidRPr="00443A61">
        <w:t>We then sum across all food groups to obtain total per-capita impacts for each impact type:</w:t>
      </w:r>
    </w:p>
    <w:p w14:paraId="4C2E6186" w14:textId="77777777" w:rsidR="005E4F4C" w:rsidRPr="00443A61" w:rsidRDefault="00000000" w:rsidP="02B5BA7D">
      <w:pPr>
        <w:jc w:val="both"/>
      </w:pPr>
      <m:oMathPara>
        <m:oMath>
          <m:sSubSup>
            <m:sSubSupPr>
              <m:ctrlPr>
                <w:rPr>
                  <w:rFonts w:ascii="Cambria Math" w:hAnsi="Cambria Math"/>
                  <w:i/>
                </w:rPr>
              </m:ctrlPr>
            </m:sSubSupPr>
            <m:e>
              <m:r>
                <w:rPr>
                  <w:rFonts w:ascii="Cambria Math" w:hAnsi="Cambria Math"/>
                </w:rPr>
                <m:t>E</m:t>
              </m:r>
            </m:e>
            <m:sub>
              <m:r>
                <w:rPr>
                  <w:rFonts w:ascii="Cambria Math" w:hAnsi="Cambria Math"/>
                </w:rPr>
                <m:t>k</m:t>
              </m:r>
            </m:sub>
            <m:sup>
              <m:d>
                <m:dPr>
                  <m:ctrlPr>
                    <w:rPr>
                      <w:rFonts w:ascii="Cambria Math" w:hAnsi="Cambria Math"/>
                      <w:i/>
                    </w:rPr>
                  </m:ctrlPr>
                </m:dPr>
                <m:e>
                  <m:r>
                    <w:rPr>
                      <w:rFonts w:ascii="Cambria Math" w:hAnsi="Cambria Math"/>
                    </w:rPr>
                    <m:t>r,s,a</m:t>
                  </m:r>
                </m:e>
              </m:d>
            </m:sup>
          </m:sSubSup>
          <m:r>
            <w:rPr>
              <w:rFonts w:ascii="Cambria Math" w:hAnsi="Cambria Math"/>
            </w:rPr>
            <m:t>=</m:t>
          </m:r>
          <m:nary>
            <m:naryPr>
              <m:chr m:val="∑"/>
              <m:supHide m:val="1"/>
              <m:ctrlPr>
                <w:rPr>
                  <w:rFonts w:ascii="Cambria Math" w:hAnsi="Cambria Math"/>
                </w:rPr>
              </m:ctrlPr>
            </m:naryPr>
            <m:sub>
              <m:r>
                <w:rPr>
                  <w:rFonts w:ascii="Cambria Math" w:hAnsi="Cambria Math"/>
                </w:rPr>
                <m:t>f</m:t>
              </m:r>
              <m:ctrlPr>
                <w:rPr>
                  <w:rFonts w:ascii="Cambria Math" w:hAnsi="Cambria Math"/>
                  <w:i/>
                </w:rPr>
              </m:ctrlPr>
            </m:sub>
            <m:sup>
              <m:ctrlPr>
                <w:rPr>
                  <w:rFonts w:ascii="Cambria Math" w:hAnsi="Cambria Math"/>
                  <w:i/>
                </w:rPr>
              </m:ctrlPr>
            </m:sup>
            <m:e>
              <m:sSubSup>
                <m:sSubSupPr>
                  <m:ctrlPr>
                    <w:rPr>
                      <w:rFonts w:ascii="Cambria Math" w:hAnsi="Cambria Math"/>
                      <w:i/>
                    </w:rPr>
                  </m:ctrlPr>
                </m:sSubSupPr>
                <m:e>
                  <m:r>
                    <w:rPr>
                      <w:rFonts w:ascii="Cambria Math" w:hAnsi="Cambria Math"/>
                    </w:rPr>
                    <m:t>E</m:t>
                  </m:r>
                </m:e>
                <m:sub>
                  <m:r>
                    <w:rPr>
                      <w:rFonts w:ascii="Cambria Math" w:hAnsi="Cambria Math"/>
                    </w:rPr>
                    <m:t>f,k</m:t>
                  </m:r>
                </m:sub>
                <m:sup>
                  <m:d>
                    <m:dPr>
                      <m:ctrlPr>
                        <w:rPr>
                          <w:rFonts w:ascii="Cambria Math" w:hAnsi="Cambria Math"/>
                          <w:i/>
                        </w:rPr>
                      </m:ctrlPr>
                    </m:dPr>
                    <m:e>
                      <m:r>
                        <w:rPr>
                          <w:rFonts w:ascii="Cambria Math" w:hAnsi="Cambria Math"/>
                        </w:rPr>
                        <m:t>r,s,a</m:t>
                      </m:r>
                    </m:e>
                  </m:d>
                </m:sup>
              </m:sSubSup>
              <m:ctrlPr>
                <w:rPr>
                  <w:rFonts w:ascii="Cambria Math" w:hAnsi="Cambria Math"/>
                  <w:i/>
                </w:rPr>
              </m:ctrlPr>
            </m:e>
          </m:nary>
          <m:r>
            <w:rPr>
              <w:rFonts w:ascii="Cambria Math" w:hAnsi="Cambria Math"/>
            </w:rPr>
            <m:t>.</m:t>
          </m:r>
        </m:oMath>
      </m:oMathPara>
    </w:p>
    <w:p w14:paraId="2A602DEB" w14:textId="77777777" w:rsidR="005E4F4C" w:rsidRPr="00443A61" w:rsidRDefault="005E4F4C" w:rsidP="02B5BA7D">
      <w:pPr>
        <w:jc w:val="both"/>
      </w:pPr>
      <w:r w:rsidRPr="00443A61">
        <w:t>For city-level totals, per-capita impacts are multiplied by the corresponding city population by sex-age band and then aggregated over sex and age bands within each city:</w:t>
      </w:r>
    </w:p>
    <w:p w14:paraId="503703B0" w14:textId="62FD99D4" w:rsidR="005E4F4C" w:rsidRPr="00443A61" w:rsidRDefault="00000000" w:rsidP="02B5BA7D">
      <w:pPr>
        <w:jc w:val="both"/>
      </w:pPr>
      <m:oMathPara>
        <m:oMath>
          <m:sSubSup>
            <m:sSubSupPr>
              <m:ctrlPr>
                <w:rPr>
                  <w:rFonts w:ascii="Cambria Math" w:hAnsi="Cambria Math"/>
                  <w:i/>
                </w:rPr>
              </m:ctrlPr>
            </m:sSubSupPr>
            <m:e>
              <m:r>
                <w:rPr>
                  <w:rFonts w:ascii="Cambria Math" w:hAnsi="Cambria Math"/>
                </w:rPr>
                <m:t>E</m:t>
              </m:r>
            </m:e>
            <m:sub>
              <m:r>
                <w:rPr>
                  <w:rFonts w:ascii="Cambria Math" w:hAnsi="Cambria Math"/>
                </w:rPr>
                <m:t>k</m:t>
              </m:r>
            </m:sub>
            <m:sup>
              <m:d>
                <m:dPr>
                  <m:ctrlPr>
                    <w:rPr>
                      <w:rFonts w:ascii="Cambria Math" w:hAnsi="Cambria Math"/>
                      <w:i/>
                    </w:rPr>
                  </m:ctrlPr>
                </m:dPr>
                <m:e>
                  <m:r>
                    <m:rPr>
                      <m:nor/>
                    </m:rPr>
                    <w:rPr>
                      <w:rFonts w:ascii="Cambria Math" w:hAnsi="Cambria Math"/>
                    </w:rPr>
                    <m:t>city</m:t>
                  </m:r>
                </m:e>
              </m:d>
            </m:sup>
          </m:sSubSup>
          <m:r>
            <w:rPr>
              <w:rFonts w:ascii="Cambria Math" w:hAnsi="Cambria Math"/>
            </w:rPr>
            <m:t>=</m:t>
          </m:r>
          <m:nary>
            <m:naryPr>
              <m:chr m:val="∑"/>
              <m:supHide m:val="1"/>
              <m:ctrlPr>
                <w:rPr>
                  <w:rFonts w:ascii="Cambria Math" w:hAnsi="Cambria Math"/>
                </w:rPr>
              </m:ctrlPr>
            </m:naryPr>
            <m:sub>
              <m:r>
                <w:rPr>
                  <w:rFonts w:ascii="Cambria Math" w:hAnsi="Cambria Math"/>
                </w:rPr>
                <m:t>s,a</m:t>
              </m:r>
              <m:ctrlPr>
                <w:rPr>
                  <w:rFonts w:ascii="Cambria Math" w:hAnsi="Cambria Math"/>
                  <w:i/>
                </w:rPr>
              </m:ctrlPr>
            </m:sub>
            <m:sup>
              <m:ctrlPr>
                <w:rPr>
                  <w:rFonts w:ascii="Cambria Math" w:hAnsi="Cambria Math"/>
                  <w:i/>
                </w:rPr>
              </m:ctrlPr>
            </m:sup>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k</m:t>
                      </m:r>
                    </m:sub>
                    <m:sup>
                      <m:d>
                        <m:dPr>
                          <m:ctrlPr>
                            <w:rPr>
                              <w:rFonts w:ascii="Cambria Math" w:hAnsi="Cambria Math"/>
                              <w:i/>
                            </w:rPr>
                          </m:ctrlPr>
                        </m:dPr>
                        <m:e>
                          <m:r>
                            <w:rPr>
                              <w:rFonts w:ascii="Cambria Math" w:hAnsi="Cambria Math"/>
                            </w:rPr>
                            <m:t>r,s,a</m:t>
                          </m:r>
                        </m:e>
                      </m:d>
                    </m:sup>
                  </m:sSubSup>
                  <m:r>
                    <m:rPr>
                      <m:sty m:val="p"/>
                    </m:rPr>
                    <w:rPr>
                      <w:rFonts w:ascii="Cambria Math" w:hAnsi="Cambria Math"/>
                    </w:rPr>
                    <m:t>×</m:t>
                  </m:r>
                  <m:sSup>
                    <m:sSupPr>
                      <m:ctrlPr>
                        <w:rPr>
                          <w:rFonts w:ascii="Cambria Math" w:hAnsi="Cambria Math"/>
                          <w:i/>
                        </w:rPr>
                      </m:ctrlPr>
                    </m:sSupPr>
                    <m:e>
                      <m:r>
                        <w:rPr>
                          <w:rFonts w:ascii="Cambria Math" w:hAnsi="Cambria Math"/>
                        </w:rPr>
                        <m:t>P</m:t>
                      </m:r>
                      <m:ctrlPr>
                        <w:rPr>
                          <w:rFonts w:ascii="Cambria Math" w:hAnsi="Cambria Math"/>
                        </w:rPr>
                      </m:ctrlPr>
                    </m:e>
                    <m:sup>
                      <m:d>
                        <m:dPr>
                          <m:ctrlPr>
                            <w:rPr>
                              <w:rFonts w:ascii="Cambria Math" w:hAnsi="Cambria Math"/>
                              <w:i/>
                            </w:rPr>
                          </m:ctrlPr>
                        </m:dPr>
                        <m:e>
                          <m:r>
                            <m:rPr>
                              <m:nor/>
                            </m:rPr>
                            <w:rPr>
                              <w:rFonts w:ascii="Cambria Math" w:hAnsi="Cambria Math"/>
                            </w:rPr>
                            <m:t>city</m:t>
                          </m:r>
                          <m:r>
                            <w:rPr>
                              <w:rFonts w:ascii="Cambria Math" w:hAnsi="Cambria Math"/>
                            </w:rPr>
                            <m:t>,s,a</m:t>
                          </m:r>
                        </m:e>
                      </m:d>
                    </m:sup>
                  </m:sSup>
                </m:e>
              </m:d>
              <m:ctrlPr>
                <w:rPr>
                  <w:rFonts w:ascii="Cambria Math" w:hAnsi="Cambria Math"/>
                  <w:i/>
                </w:rPr>
              </m:ctrlPr>
            </m:e>
          </m:nary>
          <m:r>
            <w:rPr>
              <w:rFonts w:ascii="Cambria Math" w:hAnsi="Cambria Math"/>
            </w:rPr>
            <m:t>.</m:t>
          </m:r>
        </m:oMath>
      </m:oMathPara>
    </w:p>
    <w:p w14:paraId="5397F494" w14:textId="77777777" w:rsidR="00A242DF" w:rsidRPr="00443A61" w:rsidRDefault="00A242DF" w:rsidP="02B5BA7D">
      <w:pPr>
        <w:jc w:val="both"/>
      </w:pPr>
    </w:p>
    <w:p w14:paraId="21AF1ED7" w14:textId="73AFDD1A" w:rsidR="0073727E" w:rsidRPr="00443A61" w:rsidRDefault="00A31750" w:rsidP="00C5003F">
      <w:pPr>
        <w:pStyle w:val="Heading1"/>
        <w:rPr>
          <w:b/>
          <w:bCs/>
          <w:color w:val="auto"/>
          <w:sz w:val="24"/>
          <w:szCs w:val="24"/>
        </w:rPr>
      </w:pPr>
      <w:bookmarkStart w:id="14" w:name="_Toc221538878"/>
      <w:r w:rsidRPr="00443A61">
        <w:rPr>
          <w:b/>
          <w:bCs/>
          <w:color w:val="auto"/>
          <w:sz w:val="24"/>
          <w:szCs w:val="24"/>
        </w:rPr>
        <w:t xml:space="preserve">4. </w:t>
      </w:r>
      <w:r w:rsidR="0073727E" w:rsidRPr="00443A61">
        <w:rPr>
          <w:b/>
          <w:bCs/>
          <w:color w:val="auto"/>
          <w:sz w:val="24"/>
          <w:szCs w:val="24"/>
        </w:rPr>
        <w:t>EAT-Lancet diet</w:t>
      </w:r>
      <w:r w:rsidR="00152DCD" w:rsidRPr="00443A61">
        <w:rPr>
          <w:rFonts w:hint="eastAsia"/>
          <w:b/>
          <w:bCs/>
          <w:color w:val="auto"/>
          <w:sz w:val="24"/>
          <w:szCs w:val="24"/>
        </w:rPr>
        <w:t xml:space="preserve"> 2.0 di</w:t>
      </w:r>
      <w:r w:rsidR="0073727E" w:rsidRPr="00443A61">
        <w:rPr>
          <w:b/>
          <w:bCs/>
          <w:color w:val="auto"/>
          <w:sz w:val="24"/>
          <w:szCs w:val="24"/>
        </w:rPr>
        <w:t>e</w:t>
      </w:r>
      <w:r w:rsidR="00152DCD" w:rsidRPr="00443A61">
        <w:rPr>
          <w:rFonts w:hint="eastAsia"/>
          <w:b/>
          <w:bCs/>
          <w:color w:val="auto"/>
          <w:sz w:val="24"/>
          <w:szCs w:val="24"/>
        </w:rPr>
        <w:t>t</w:t>
      </w:r>
      <w:r w:rsidR="0073727E" w:rsidRPr="00443A61">
        <w:rPr>
          <w:b/>
          <w:bCs/>
          <w:color w:val="auto"/>
          <w:sz w:val="24"/>
          <w:szCs w:val="24"/>
        </w:rPr>
        <w:t xml:space="preserve"> and city network adoption (C40, EUROcities, MUFPP)</w:t>
      </w:r>
      <w:bookmarkEnd w:id="14"/>
    </w:p>
    <w:p w14:paraId="012BAC11" w14:textId="240A61A8" w:rsidR="0073727E" w:rsidRPr="00443A61" w:rsidRDefault="03FD5265" w:rsidP="24FBF3FB">
      <w:pPr>
        <w:jc w:val="both"/>
      </w:pPr>
      <w:r w:rsidRPr="00443A61">
        <w:rPr>
          <w:i/>
          <w:iCs/>
        </w:rPr>
        <w:t>Diet scenarios</w:t>
      </w:r>
      <w:r w:rsidRPr="00443A61">
        <w:t>. We evaluated two diet</w:t>
      </w:r>
      <w:r w:rsidR="003C66B0" w:rsidRPr="00443A61">
        <w:t>ary patterns</w:t>
      </w:r>
      <w:r w:rsidRPr="00443A61">
        <w:t xml:space="preserve"> aligned with the EAT-Lancet guidelines (v1.0 and v2.0). For both scenarios, target daily intakes (g/person/day) were assigned </w:t>
      </w:r>
      <w:r w:rsidR="41972E4B" w:rsidRPr="00443A61">
        <w:t>to</w:t>
      </w:r>
      <w:r w:rsidR="50E5A099" w:rsidRPr="00443A61">
        <w:t xml:space="preserve"> major food groups. Coffee, tea, and refined grains</w:t>
      </w:r>
      <w:r w:rsidR="1330878F" w:rsidRPr="00443A61">
        <w:t>,</w:t>
      </w:r>
      <w:r w:rsidR="1B4E8055" w:rsidRPr="00443A61">
        <w:t xml:space="preserve"> </w:t>
      </w:r>
      <w:r w:rsidRPr="00443A61">
        <w:t xml:space="preserve">not explicitly constrained in </w:t>
      </w:r>
      <w:r w:rsidR="2DD3A826" w:rsidRPr="00443A61">
        <w:t xml:space="preserve">the </w:t>
      </w:r>
      <w:r w:rsidRPr="00443A61">
        <w:t>EAT-Lancet;</w:t>
      </w:r>
      <w:r w:rsidR="4297A014" w:rsidRPr="00443A61">
        <w:t xml:space="preserve"> diet</w:t>
      </w:r>
      <w:r w:rsidRPr="00443A61">
        <w:t xml:space="preserve">  were held at their baseline to maintain comparability.</w:t>
      </w:r>
    </w:p>
    <w:p w14:paraId="31C296A9" w14:textId="3D513CAA" w:rsidR="0073727E" w:rsidRPr="00443A61" w:rsidRDefault="0073727E" w:rsidP="02B5BA7D">
      <w:pPr>
        <w:jc w:val="both"/>
      </w:pPr>
      <w:r w:rsidRPr="00443A61">
        <w:rPr>
          <w:i/>
          <w:iCs/>
        </w:rPr>
        <w:t>Impact intensities</w:t>
      </w:r>
      <w:r w:rsidRPr="00443A61">
        <w:t>. Country-specific supply-chain intensities for GHGE, blue water use, and land use (per kilogram of food) were taken from the MATILDA framework</w:t>
      </w:r>
      <w:r w:rsidR="1A35DD52" w:rsidRPr="00443A61">
        <w:t>, based on FABIO</w:t>
      </w:r>
      <w:r w:rsidR="00DC7141" w:rsidRPr="00443A61">
        <w:rPr>
          <w:rFonts w:hint="eastAsia"/>
        </w:rPr>
        <w:t xml:space="preserve"> </w:t>
      </w:r>
      <w:r w:rsidR="00DC7141" w:rsidRPr="00443A61">
        <w:fldChar w:fldCharType="begin"/>
      </w:r>
      <w:r w:rsidR="00DC7141" w:rsidRPr="00443A61">
        <w:instrText xml:space="preserve"> ADDIN ZOTERO_ITEM CSL_CITATION {"citationID":"rn5v7XBz","properties":{"formattedCitation":"(2)","plainCitation":"(2)","noteIndex":0},"citationItems":[{"id":65,"uris":["http://zotero.org/users/16665975/items/9AY5XQHD"],"itemData":{"id":65,"type":"article-journal","abstract":"Harvested biomass is linked to final consumption by networks of processes and actors that convert and distribute food and nonfood goods. Achieving a sustainable resource metabolism of the economy is an overarching challenge which manifests itself in a number of the UN Sustainable Development Goals. Modeling the physical dimensions of biomass conversion and distribution networks is essential to understanding the characteristics, drivers, and dynamics of the socio-economic biomass metabolism. In this paper, we present the Food and Agriculture Biomass Input–Output model (FABIO), a set of multiregional supply, use and input–output tables in physical units, that document the complex flows of agricultural and food products in the global economy. The model assembles FAOSTAT statistics reporting crop production, trade, and utilization in physical units, supplemented by data on technical and metabolic conversion efficiencies, into a consistent, balanced, input–output framework. FABIO covers 191 countries and 130 agriculture, food and forestry products from 1986 to 2013. The physical supply use tables offered by FABIO provide a comprehensive, transparent, and flexible structure for organizing data representing flows of materials within metabolic networks. They allow tracing of biomass flows and embodied environmental pressures along global supply chains at an unprecedented level of product and country detail and can help to answer a range of questions regarding environment, agriculture, and trade. Here we apply FABIO to the case of cropland footprints and show the evolution of consumption-based cropland demand in China, the E.U., and the U.S.A. for plant-based and livestock-based food and nonfood products.","container-title":"Environmental Science &amp; Technology","DOI":"10.1021/acs.est.9b03554","ISSN":"0013-936X","issue":"19","journalAbbreviation":"Environ. Sci. Technol.","page":"11302-11312","publisher":"American Chemical Society","source":"ACS Publications","title":"FABIO—The Construction of the Food and Agriculture Biomass Input–Output Model","volume":"53","author":[{"family":"Bruckner","given":"Martin"},{"family":"Wood","given":"Richard"},{"family":"Moran","given":"Daniel"},{"family":"Kuschnig","given":"Nikolas"},{"family":"Wieland","given":"Hanspeter"},{"family":"Maus","given":"Victor"},{"family":"Börner","given":"Jan"}],"issued":{"date-parts":[["2019",10,1]]}}}],"schema":"https://github.com/citation-style-language/schema/raw/master/csl-citation.json"} </w:instrText>
      </w:r>
      <w:r w:rsidR="00DC7141" w:rsidRPr="00443A61">
        <w:fldChar w:fldCharType="separate"/>
      </w:r>
      <w:r w:rsidR="00DC7141" w:rsidRPr="00443A61">
        <w:rPr>
          <w:rFonts w:ascii="Aptos" w:hAnsi="Aptos"/>
        </w:rPr>
        <w:t>(2)</w:t>
      </w:r>
      <w:r w:rsidR="00DC7141" w:rsidRPr="00443A61">
        <w:fldChar w:fldCharType="end"/>
      </w:r>
      <w:r w:rsidR="00DC7141" w:rsidRPr="00443A61">
        <w:rPr>
          <w:rFonts w:hint="eastAsia"/>
        </w:rPr>
        <w:t>.</w:t>
      </w:r>
    </w:p>
    <w:p w14:paraId="43E1D629" w14:textId="49F5E60E" w:rsidR="0073727E" w:rsidRPr="00443A61" w:rsidRDefault="0073727E" w:rsidP="02B5BA7D">
      <w:pPr>
        <w:jc w:val="both"/>
      </w:pPr>
      <w:r w:rsidRPr="00443A61">
        <w:rPr>
          <w:i/>
          <w:iCs/>
        </w:rPr>
        <w:t>Per-capita impacts</w:t>
      </w:r>
      <w:r w:rsidRPr="00443A61">
        <w:t xml:space="preserve">. For each city, sex, and age band, per-capita environmental impacts were computed by multiplying recommended (scenario) or observed (baseline) intakes by the corresponding country-specific intensities, separately for GHGE, water use, and </w:t>
      </w:r>
      <w:r w:rsidRPr="00443A61">
        <w:lastRenderedPageBreak/>
        <w:t>land use. Baseline per-capita intakes and impacts were first rescaled from the GDD 2,000-kcal reference to city-specific energy levels using the GDP-based energy estimates described earlier. In contrast, the EAT-Lancet scenarios applied the guideline gram targets directly (i.e., without calorie rescaling), while keeping coffee, tea, and refined grains at their baseline (GDP-adjusted) levels.</w:t>
      </w:r>
    </w:p>
    <w:p w14:paraId="57013EC3" w14:textId="009701A7" w:rsidR="008E13CA" w:rsidRPr="00443A61" w:rsidRDefault="03FD5265" w:rsidP="24FBF3FB">
      <w:pPr>
        <w:jc w:val="both"/>
      </w:pPr>
      <w:r w:rsidRPr="00443A61">
        <w:rPr>
          <w:i/>
          <w:iCs/>
        </w:rPr>
        <w:t>Annualisation and aggregation</w:t>
      </w:r>
      <w:r w:rsidRPr="00443A61">
        <w:t xml:space="preserve">. Per-capita daily impacts were annualised and then multiplied by the corresponding city population in each sex–age stratum. </w:t>
      </w:r>
    </w:p>
    <w:p w14:paraId="49E1C743" w14:textId="52A805A7" w:rsidR="0073727E" w:rsidRPr="00443A61" w:rsidRDefault="4C4C3F67" w:rsidP="24FBF3FB">
      <w:pPr>
        <w:jc w:val="both"/>
      </w:pPr>
      <w:r w:rsidRPr="00443A61">
        <w:t xml:space="preserve">Dietary </w:t>
      </w:r>
      <w:r w:rsidR="008E13CA" w:rsidRPr="00443A61">
        <w:t>environmental</w:t>
      </w:r>
      <w:r w:rsidRPr="00443A61">
        <w:t xml:space="preserve"> footprints of cities</w:t>
      </w:r>
      <w:r w:rsidR="03FD5265" w:rsidRPr="00443A61">
        <w:t xml:space="preserve"> were </w:t>
      </w:r>
      <w:r w:rsidR="008E13CA" w:rsidRPr="00443A61">
        <w:t xml:space="preserve">derived </w:t>
      </w:r>
      <w:r w:rsidR="03FD5265" w:rsidRPr="00443A61">
        <w:t xml:space="preserve">by </w:t>
      </w:r>
      <w:r w:rsidR="008E13CA" w:rsidRPr="00443A61">
        <w:t xml:space="preserve">aggregating environmental impacts across demographic </w:t>
      </w:r>
      <w:r w:rsidR="008F15CC" w:rsidRPr="00443A61">
        <w:t>subgroups</w:t>
      </w:r>
      <w:r w:rsidR="03FD5265" w:rsidRPr="00443A61">
        <w:t xml:space="preserve">. We also computed city-level </w:t>
      </w:r>
      <w:r w:rsidR="008F15CC" w:rsidRPr="00443A61">
        <w:t xml:space="preserve">dietary GHGE </w:t>
      </w:r>
      <w:r w:rsidR="03FD5265" w:rsidRPr="00443A61">
        <w:t>for each food group. All calculations were performed independently for GHGE, water, and land</w:t>
      </w:r>
      <w:r w:rsidR="1F350552" w:rsidRPr="00443A61">
        <w:t>, from a consumption-based accounting perspective</w:t>
      </w:r>
      <w:r w:rsidR="03FD5265" w:rsidRPr="00443A61">
        <w:t>.</w:t>
      </w:r>
    </w:p>
    <w:p w14:paraId="7CCFF9D8" w14:textId="61C00C34" w:rsidR="0073727E" w:rsidRPr="00443A61" w:rsidRDefault="0073727E" w:rsidP="3584809C">
      <w:pPr>
        <w:jc w:val="both"/>
      </w:pPr>
      <w:r w:rsidRPr="00443A61">
        <w:t xml:space="preserve">City-network adoption scenarios. In addition to the global EAT-Lancet </w:t>
      </w:r>
      <w:r w:rsidR="002F5DB4" w:rsidRPr="00443A61">
        <w:t>diet scenario</w:t>
      </w:r>
      <w:r w:rsidRPr="00443A61">
        <w:t xml:space="preserve"> (all cities adopt v1.0 or v2.0), we constructed partial-adoption scenarios for three city networks—C40, E</w:t>
      </w:r>
      <w:r w:rsidR="00071479" w:rsidRPr="00443A61">
        <w:t>uro</w:t>
      </w:r>
      <w:r w:rsidRPr="00443A61">
        <w:t xml:space="preserve">cities, and MUFPP. For each network, member cities were assigned their EAT-Lancet v2.0 totals (with coffee, tea, and refined grains retained at baseline), while all non-member cities remained at baseline. </w:t>
      </w:r>
      <w:r w:rsidR="0047301F" w:rsidRPr="00443A61">
        <w:t>There are 112 cities in the C40 network, of which 107 were matched to the MATILDA-City framework. The Eurocities network includes 211 cities, with 202 matched to MATILDA-City. The MUFPP network comprises 326 cities, of which 263 were matched to MATILDA-City.</w:t>
      </w:r>
    </w:p>
    <w:p w14:paraId="19FDBE79" w14:textId="76D24155" w:rsidR="44756771" w:rsidRPr="00443A61" w:rsidRDefault="44756771" w:rsidP="000D5E62">
      <w:pPr>
        <w:pStyle w:val="Heading1"/>
        <w:rPr>
          <w:b/>
          <w:bCs/>
          <w:color w:val="auto"/>
          <w:sz w:val="24"/>
          <w:szCs w:val="24"/>
        </w:rPr>
      </w:pPr>
      <w:bookmarkStart w:id="15" w:name="_Toc221538879"/>
      <w:r w:rsidRPr="00443A61">
        <w:rPr>
          <w:b/>
          <w:bCs/>
          <w:color w:val="auto"/>
          <w:sz w:val="24"/>
          <w:szCs w:val="24"/>
        </w:rPr>
        <w:t xml:space="preserve">Supplementary Table 1: </w:t>
      </w:r>
      <w:r w:rsidR="41D2659C" w:rsidRPr="00443A61">
        <w:rPr>
          <w:b/>
          <w:bCs/>
          <w:color w:val="auto"/>
          <w:sz w:val="24"/>
          <w:szCs w:val="24"/>
        </w:rPr>
        <w:t>Presence of dietary sustainability policies in highest impact cities</w:t>
      </w:r>
      <w:bookmarkEnd w:id="15"/>
    </w:p>
    <w:tbl>
      <w:tblPr>
        <w:tblStyle w:val="TableGrid"/>
        <w:tblW w:w="0" w:type="auto"/>
        <w:tblBorders>
          <w:top w:val="single" w:sz="4" w:space="0" w:color="auto"/>
          <w:bottom w:val="single" w:sz="4" w:space="0" w:color="auto"/>
        </w:tblBorders>
        <w:tblLayout w:type="fixed"/>
        <w:tblLook w:val="06A0" w:firstRow="1" w:lastRow="0" w:firstColumn="1" w:lastColumn="0" w:noHBand="1" w:noVBand="1"/>
      </w:tblPr>
      <w:tblGrid>
        <w:gridCol w:w="3465"/>
        <w:gridCol w:w="5610"/>
      </w:tblGrid>
      <w:tr w:rsidR="00443A61" w:rsidRPr="00443A61" w14:paraId="7C96133A" w14:textId="77777777" w:rsidTr="006B5151">
        <w:trPr>
          <w:trHeight w:val="300"/>
        </w:trPr>
        <w:tc>
          <w:tcPr>
            <w:tcW w:w="3465" w:type="dxa"/>
            <w:tcBorders>
              <w:top w:val="single" w:sz="4" w:space="0" w:color="auto"/>
              <w:bottom w:val="single" w:sz="4" w:space="0" w:color="auto"/>
            </w:tcBorders>
          </w:tcPr>
          <w:p w14:paraId="777CC74A" w14:textId="34A79029" w:rsidR="41D2659C" w:rsidRPr="00443A61" w:rsidRDefault="41D2659C" w:rsidP="31D30A5B">
            <w:pPr>
              <w:rPr>
                <w:b/>
                <w:bCs/>
              </w:rPr>
            </w:pPr>
            <w:r w:rsidRPr="00443A61">
              <w:rPr>
                <w:b/>
                <w:bCs/>
              </w:rPr>
              <w:t>City</w:t>
            </w:r>
          </w:p>
        </w:tc>
        <w:tc>
          <w:tcPr>
            <w:tcW w:w="5610" w:type="dxa"/>
            <w:tcBorders>
              <w:top w:val="single" w:sz="4" w:space="0" w:color="auto"/>
              <w:bottom w:val="single" w:sz="4" w:space="0" w:color="auto"/>
            </w:tcBorders>
          </w:tcPr>
          <w:p w14:paraId="3227566E" w14:textId="03DFE246" w:rsidR="41D2659C" w:rsidRPr="00443A61" w:rsidRDefault="41D2659C" w:rsidP="31D30A5B">
            <w:pPr>
              <w:rPr>
                <w:b/>
                <w:bCs/>
              </w:rPr>
            </w:pPr>
            <w:r w:rsidRPr="00443A61">
              <w:rPr>
                <w:b/>
                <w:bCs/>
              </w:rPr>
              <w:t>Food Policy</w:t>
            </w:r>
          </w:p>
        </w:tc>
      </w:tr>
      <w:tr w:rsidR="00443A61" w:rsidRPr="00443A61" w14:paraId="0C04D959" w14:textId="77777777" w:rsidTr="006B5151">
        <w:trPr>
          <w:trHeight w:val="300"/>
        </w:trPr>
        <w:tc>
          <w:tcPr>
            <w:tcW w:w="3465" w:type="dxa"/>
            <w:tcBorders>
              <w:top w:val="single" w:sz="4" w:space="0" w:color="auto"/>
            </w:tcBorders>
          </w:tcPr>
          <w:p w14:paraId="070FE5BD" w14:textId="49F90FF7" w:rsidR="41D2659C" w:rsidRPr="00443A61" w:rsidRDefault="41D2659C" w:rsidP="31D30A5B">
            <w:r w:rsidRPr="00443A61">
              <w:t>Jakarta, Indonesia</w:t>
            </w:r>
          </w:p>
        </w:tc>
        <w:tc>
          <w:tcPr>
            <w:tcW w:w="5610" w:type="dxa"/>
            <w:tcBorders>
              <w:top w:val="single" w:sz="4" w:space="0" w:color="auto"/>
            </w:tcBorders>
          </w:tcPr>
          <w:p w14:paraId="0840EB78" w14:textId="6FF158AC" w:rsidR="31D30A5B" w:rsidRPr="00443A61" w:rsidRDefault="31D30A5B" w:rsidP="31D30A5B"/>
        </w:tc>
      </w:tr>
      <w:tr w:rsidR="00443A61" w:rsidRPr="00443A61" w14:paraId="4CC91F79" w14:textId="77777777" w:rsidTr="006B5151">
        <w:trPr>
          <w:trHeight w:val="300"/>
        </w:trPr>
        <w:tc>
          <w:tcPr>
            <w:tcW w:w="3465" w:type="dxa"/>
          </w:tcPr>
          <w:p w14:paraId="3B84CA0E" w14:textId="3D6E1352" w:rsidR="41D2659C" w:rsidRPr="00443A61" w:rsidRDefault="41D2659C" w:rsidP="31D30A5B">
            <w:r w:rsidRPr="00443A61">
              <w:t>São, Paulo, Brazil</w:t>
            </w:r>
          </w:p>
        </w:tc>
        <w:tc>
          <w:tcPr>
            <w:tcW w:w="5610" w:type="dxa"/>
          </w:tcPr>
          <w:p w14:paraId="7D49C65E" w14:textId="3BC9637D" w:rsidR="44649E3D" w:rsidRPr="00443A61" w:rsidRDefault="44649E3D" w:rsidP="31D30A5B">
            <w:r w:rsidRPr="00443A61">
              <w:t>MUFPP signatory with active policy</w:t>
            </w:r>
          </w:p>
        </w:tc>
      </w:tr>
      <w:tr w:rsidR="00443A61" w:rsidRPr="00443A61" w14:paraId="7C6B3A79" w14:textId="77777777" w:rsidTr="006B5151">
        <w:trPr>
          <w:trHeight w:val="300"/>
        </w:trPr>
        <w:tc>
          <w:tcPr>
            <w:tcW w:w="3465" w:type="dxa"/>
          </w:tcPr>
          <w:p w14:paraId="0B70AD40" w14:textId="44957802" w:rsidR="41D2659C" w:rsidRPr="00443A61" w:rsidRDefault="41D2659C" w:rsidP="31D30A5B">
            <w:r w:rsidRPr="00443A61">
              <w:t>Guangzhou, China</w:t>
            </w:r>
          </w:p>
        </w:tc>
        <w:tc>
          <w:tcPr>
            <w:tcW w:w="5610" w:type="dxa"/>
          </w:tcPr>
          <w:p w14:paraId="0632D59C" w14:textId="6FF158AC" w:rsidR="31D30A5B" w:rsidRPr="00443A61" w:rsidRDefault="31D30A5B" w:rsidP="31D30A5B"/>
        </w:tc>
      </w:tr>
      <w:tr w:rsidR="00443A61" w:rsidRPr="00443A61" w14:paraId="713FB883" w14:textId="77777777" w:rsidTr="006B5151">
        <w:trPr>
          <w:trHeight w:val="300"/>
        </w:trPr>
        <w:tc>
          <w:tcPr>
            <w:tcW w:w="3465" w:type="dxa"/>
          </w:tcPr>
          <w:p w14:paraId="7435F165" w14:textId="0A39D6DF" w:rsidR="41D2659C" w:rsidRPr="00443A61" w:rsidRDefault="41D2659C" w:rsidP="31D30A5B">
            <w:r w:rsidRPr="00443A61">
              <w:t>Tokyo, Japan</w:t>
            </w:r>
          </w:p>
        </w:tc>
        <w:tc>
          <w:tcPr>
            <w:tcW w:w="5610" w:type="dxa"/>
          </w:tcPr>
          <w:p w14:paraId="6FBD62F7" w14:textId="1BFBCDFA" w:rsidR="20819ADD" w:rsidRPr="00443A61" w:rsidRDefault="20819ADD" w:rsidP="31D30A5B">
            <w:r w:rsidRPr="00443A61">
              <w:t>C40 Good Food Cities commitment</w:t>
            </w:r>
          </w:p>
        </w:tc>
      </w:tr>
      <w:tr w:rsidR="00443A61" w:rsidRPr="00443A61" w14:paraId="5C6EB9A2" w14:textId="77777777" w:rsidTr="006B5151">
        <w:trPr>
          <w:trHeight w:val="300"/>
        </w:trPr>
        <w:tc>
          <w:tcPr>
            <w:tcW w:w="3465" w:type="dxa"/>
          </w:tcPr>
          <w:p w14:paraId="69FFA0CC" w14:textId="071DEF71" w:rsidR="41D2659C" w:rsidRPr="00443A61" w:rsidRDefault="41D2659C" w:rsidP="31D30A5B">
            <w:r w:rsidRPr="00443A61">
              <w:t>Lima, Peru</w:t>
            </w:r>
          </w:p>
        </w:tc>
        <w:tc>
          <w:tcPr>
            <w:tcW w:w="5610" w:type="dxa"/>
          </w:tcPr>
          <w:p w14:paraId="61E8B949" w14:textId="1A171276" w:rsidR="02B4C3CC" w:rsidRPr="00443A61" w:rsidRDefault="02B4C3CC" w:rsidP="31D30A5B">
            <w:r w:rsidRPr="00443A61">
              <w:t>C40 Good Food Cities commitment</w:t>
            </w:r>
          </w:p>
        </w:tc>
      </w:tr>
      <w:tr w:rsidR="00443A61" w:rsidRPr="00443A61" w14:paraId="329EFF40" w14:textId="77777777" w:rsidTr="006B5151">
        <w:trPr>
          <w:trHeight w:val="300"/>
        </w:trPr>
        <w:tc>
          <w:tcPr>
            <w:tcW w:w="3465" w:type="dxa"/>
          </w:tcPr>
          <w:p w14:paraId="544CBF33" w14:textId="03FCA698" w:rsidR="41D2659C" w:rsidRPr="00443A61" w:rsidRDefault="41D2659C" w:rsidP="31D30A5B">
            <w:r w:rsidRPr="00443A61">
              <w:t>Moscow, Russia</w:t>
            </w:r>
          </w:p>
        </w:tc>
        <w:tc>
          <w:tcPr>
            <w:tcW w:w="5610" w:type="dxa"/>
          </w:tcPr>
          <w:p w14:paraId="644A54A9" w14:textId="6FF158AC" w:rsidR="31D30A5B" w:rsidRPr="00443A61" w:rsidRDefault="31D30A5B" w:rsidP="31D30A5B"/>
        </w:tc>
      </w:tr>
      <w:tr w:rsidR="00443A61" w:rsidRPr="00443A61" w14:paraId="6088211D" w14:textId="77777777" w:rsidTr="006B5151">
        <w:trPr>
          <w:trHeight w:val="300"/>
        </w:trPr>
        <w:tc>
          <w:tcPr>
            <w:tcW w:w="3465" w:type="dxa"/>
          </w:tcPr>
          <w:p w14:paraId="49DBF992" w14:textId="36754CD3" w:rsidR="41D2659C" w:rsidRPr="00443A61" w:rsidRDefault="41D2659C" w:rsidP="31D30A5B">
            <w:r w:rsidRPr="00443A61">
              <w:t xml:space="preserve">Quezon City, </w:t>
            </w:r>
            <w:r w:rsidR="7C9C8A22" w:rsidRPr="00443A61">
              <w:t>Philippines</w:t>
            </w:r>
          </w:p>
        </w:tc>
        <w:tc>
          <w:tcPr>
            <w:tcW w:w="5610" w:type="dxa"/>
          </w:tcPr>
          <w:p w14:paraId="1650FFF6" w14:textId="651E85E1" w:rsidR="3EF3D06A" w:rsidRPr="00443A61" w:rsidRDefault="3EF3D06A" w:rsidP="31D30A5B">
            <w:r w:rsidRPr="00443A61">
              <w:t>C40 Good Food Cities commitment</w:t>
            </w:r>
          </w:p>
        </w:tc>
      </w:tr>
      <w:tr w:rsidR="00443A61" w:rsidRPr="00443A61" w14:paraId="569C0B1E" w14:textId="77777777" w:rsidTr="006B5151">
        <w:trPr>
          <w:trHeight w:val="300"/>
        </w:trPr>
        <w:tc>
          <w:tcPr>
            <w:tcW w:w="3465" w:type="dxa"/>
          </w:tcPr>
          <w:p w14:paraId="7D6E7D7F" w14:textId="35DC891A" w:rsidR="2ED8B34E" w:rsidRPr="00443A61" w:rsidRDefault="2ED8B34E" w:rsidP="31D30A5B">
            <w:r w:rsidRPr="00443A61">
              <w:t>Bogota, Colombia</w:t>
            </w:r>
          </w:p>
        </w:tc>
        <w:tc>
          <w:tcPr>
            <w:tcW w:w="5610" w:type="dxa"/>
          </w:tcPr>
          <w:p w14:paraId="08BEE4A0" w14:textId="32DBBEEA" w:rsidR="7C96DAB9" w:rsidRPr="00443A61" w:rsidRDefault="7C96DAB9" w:rsidP="31D30A5B">
            <w:r w:rsidRPr="00443A61">
              <w:t>MUFPP signatory with active policy</w:t>
            </w:r>
          </w:p>
        </w:tc>
      </w:tr>
      <w:tr w:rsidR="00443A61" w:rsidRPr="00443A61" w14:paraId="6E83BDF9" w14:textId="77777777" w:rsidTr="006B5151">
        <w:trPr>
          <w:trHeight w:val="300"/>
        </w:trPr>
        <w:tc>
          <w:tcPr>
            <w:tcW w:w="3465" w:type="dxa"/>
          </w:tcPr>
          <w:p w14:paraId="7312D6CC" w14:textId="49A122BD" w:rsidR="2ED8B34E" w:rsidRPr="00443A61" w:rsidRDefault="2ED8B34E" w:rsidP="31D30A5B">
            <w:r w:rsidRPr="00443A61">
              <w:t>Rio De Janeiro, Brazil</w:t>
            </w:r>
          </w:p>
        </w:tc>
        <w:tc>
          <w:tcPr>
            <w:tcW w:w="5610" w:type="dxa"/>
          </w:tcPr>
          <w:p w14:paraId="1EF9E22C" w14:textId="2CB694B6" w:rsidR="31D30A5B" w:rsidRPr="00443A61" w:rsidRDefault="74134643" w:rsidP="31D30A5B">
            <w:r w:rsidRPr="00443A61">
              <w:t>MUFPP signatory with active policy</w:t>
            </w:r>
          </w:p>
        </w:tc>
      </w:tr>
      <w:tr w:rsidR="00443A61" w:rsidRPr="00443A61" w14:paraId="32BEB811" w14:textId="77777777" w:rsidTr="006B5151">
        <w:trPr>
          <w:trHeight w:val="300"/>
        </w:trPr>
        <w:tc>
          <w:tcPr>
            <w:tcW w:w="3465" w:type="dxa"/>
          </w:tcPr>
          <w:p w14:paraId="405EC87C" w14:textId="4930BCE3" w:rsidR="2ED8B34E" w:rsidRPr="00443A61" w:rsidRDefault="2ED8B34E" w:rsidP="31D30A5B">
            <w:r w:rsidRPr="00443A61">
              <w:t>Bangkok, Thailand</w:t>
            </w:r>
          </w:p>
        </w:tc>
        <w:tc>
          <w:tcPr>
            <w:tcW w:w="5610" w:type="dxa"/>
          </w:tcPr>
          <w:p w14:paraId="78D5C3E8" w14:textId="280C0A3A" w:rsidR="2B4E8955" w:rsidRPr="00443A61" w:rsidRDefault="288C4A03" w:rsidP="797438FA">
            <w:r w:rsidRPr="00443A61">
              <w:t xml:space="preserve">MUFPP signatory with active policy, </w:t>
            </w:r>
            <w:r w:rsidR="34C43205" w:rsidRPr="00443A61">
              <w:t>Bangkok Food Strategy 2023-2027</w:t>
            </w:r>
          </w:p>
        </w:tc>
      </w:tr>
      <w:tr w:rsidR="00443A61" w:rsidRPr="00443A61" w14:paraId="4E75F2E5" w14:textId="77777777" w:rsidTr="006B5151">
        <w:trPr>
          <w:trHeight w:val="300"/>
        </w:trPr>
        <w:tc>
          <w:tcPr>
            <w:tcW w:w="3465" w:type="dxa"/>
          </w:tcPr>
          <w:p w14:paraId="532BFF1B" w14:textId="06876C55" w:rsidR="2ED8B34E" w:rsidRPr="00443A61" w:rsidRDefault="2ED8B34E" w:rsidP="31D30A5B">
            <w:r w:rsidRPr="00443A61">
              <w:t>Mexico City, Mexico</w:t>
            </w:r>
          </w:p>
        </w:tc>
        <w:tc>
          <w:tcPr>
            <w:tcW w:w="5610" w:type="dxa"/>
          </w:tcPr>
          <w:p w14:paraId="0553B280" w14:textId="7DA4BA1B" w:rsidR="1C728DAB" w:rsidRPr="00443A61" w:rsidRDefault="1C728DAB" w:rsidP="31D30A5B">
            <w:r w:rsidRPr="00443A61">
              <w:t>MUFPP signatory with active policy</w:t>
            </w:r>
          </w:p>
        </w:tc>
      </w:tr>
      <w:tr w:rsidR="00443A61" w:rsidRPr="00443A61" w14:paraId="23DFD8D3" w14:textId="77777777" w:rsidTr="006B5151">
        <w:trPr>
          <w:trHeight w:val="300"/>
        </w:trPr>
        <w:tc>
          <w:tcPr>
            <w:tcW w:w="3465" w:type="dxa"/>
          </w:tcPr>
          <w:p w14:paraId="04A35611" w14:textId="64B1382F" w:rsidR="2ED8B34E" w:rsidRPr="00443A61" w:rsidRDefault="2ED8B34E" w:rsidP="31D30A5B">
            <w:r w:rsidRPr="00443A61">
              <w:t>Buenos Aires, Argentina</w:t>
            </w:r>
          </w:p>
        </w:tc>
        <w:tc>
          <w:tcPr>
            <w:tcW w:w="5610" w:type="dxa"/>
          </w:tcPr>
          <w:p w14:paraId="0C6EBBE0" w14:textId="57BEDFA1" w:rsidR="5EDC6111" w:rsidRPr="00443A61" w:rsidRDefault="5EDC6111" w:rsidP="31D30A5B">
            <w:r w:rsidRPr="00443A61">
              <w:t>MUFPP signatory with active policy</w:t>
            </w:r>
          </w:p>
        </w:tc>
      </w:tr>
      <w:tr w:rsidR="00443A61" w:rsidRPr="00443A61" w14:paraId="2F14C6D0" w14:textId="77777777" w:rsidTr="006B5151">
        <w:trPr>
          <w:trHeight w:val="300"/>
        </w:trPr>
        <w:tc>
          <w:tcPr>
            <w:tcW w:w="3465" w:type="dxa"/>
          </w:tcPr>
          <w:p w14:paraId="52658D38" w14:textId="1C561C7E" w:rsidR="2ED8B34E" w:rsidRPr="00443A61" w:rsidRDefault="2ED8B34E" w:rsidP="31D30A5B">
            <w:r w:rsidRPr="00443A61">
              <w:t>Shanghai, China</w:t>
            </w:r>
          </w:p>
        </w:tc>
        <w:tc>
          <w:tcPr>
            <w:tcW w:w="5610" w:type="dxa"/>
          </w:tcPr>
          <w:p w14:paraId="30605985" w14:textId="56523F2F" w:rsidR="31D30A5B" w:rsidRPr="00443A61" w:rsidRDefault="22C6082A" w:rsidP="31D30A5B">
            <w:r w:rsidRPr="00443A61">
              <w:t>MUFPP signatory with active policy</w:t>
            </w:r>
          </w:p>
        </w:tc>
      </w:tr>
      <w:tr w:rsidR="00443A61" w:rsidRPr="00443A61" w14:paraId="654A5153" w14:textId="77777777" w:rsidTr="006B5151">
        <w:trPr>
          <w:trHeight w:val="300"/>
        </w:trPr>
        <w:tc>
          <w:tcPr>
            <w:tcW w:w="3465" w:type="dxa"/>
          </w:tcPr>
          <w:p w14:paraId="0A6FB392" w14:textId="0508D5F8" w:rsidR="2ED8B34E" w:rsidRPr="00443A61" w:rsidRDefault="2ED8B34E" w:rsidP="31D30A5B">
            <w:r w:rsidRPr="00443A61">
              <w:t>Osaka, Japan</w:t>
            </w:r>
          </w:p>
        </w:tc>
        <w:tc>
          <w:tcPr>
            <w:tcW w:w="5610" w:type="dxa"/>
          </w:tcPr>
          <w:p w14:paraId="774EA06C" w14:textId="7FB23934" w:rsidR="31D30A5B" w:rsidRPr="00443A61" w:rsidRDefault="48B66D82" w:rsidP="31D30A5B">
            <w:r w:rsidRPr="00443A61">
              <w:t>MUFPP signatory with active policy</w:t>
            </w:r>
          </w:p>
        </w:tc>
      </w:tr>
      <w:tr w:rsidR="00443A61" w:rsidRPr="00443A61" w14:paraId="2DA7F082" w14:textId="77777777" w:rsidTr="006B5151">
        <w:trPr>
          <w:trHeight w:val="300"/>
        </w:trPr>
        <w:tc>
          <w:tcPr>
            <w:tcW w:w="3465" w:type="dxa"/>
          </w:tcPr>
          <w:p w14:paraId="5EE3E27C" w14:textId="3E1C51CA" w:rsidR="2ED8B34E" w:rsidRPr="00443A61" w:rsidRDefault="2ED8B34E" w:rsidP="31D30A5B">
            <w:r w:rsidRPr="00443A61">
              <w:t>Dhaka, Bangladesh</w:t>
            </w:r>
          </w:p>
        </w:tc>
        <w:tc>
          <w:tcPr>
            <w:tcW w:w="5610" w:type="dxa"/>
          </w:tcPr>
          <w:p w14:paraId="4B0EBC30" w14:textId="068F5B1F" w:rsidR="31D30A5B" w:rsidRPr="00443A61" w:rsidRDefault="31D30A5B" w:rsidP="31D30A5B"/>
        </w:tc>
      </w:tr>
      <w:tr w:rsidR="00443A61" w:rsidRPr="00443A61" w14:paraId="79157FE0" w14:textId="77777777" w:rsidTr="006B5151">
        <w:trPr>
          <w:trHeight w:val="300"/>
        </w:trPr>
        <w:tc>
          <w:tcPr>
            <w:tcW w:w="3465" w:type="dxa"/>
          </w:tcPr>
          <w:p w14:paraId="1B9A59C3" w14:textId="40D5B9E0" w:rsidR="2ED8B34E" w:rsidRPr="00443A61" w:rsidRDefault="2ED8B34E" w:rsidP="31D30A5B">
            <w:r w:rsidRPr="00443A61">
              <w:t>Istanbul, Turkey</w:t>
            </w:r>
          </w:p>
        </w:tc>
        <w:tc>
          <w:tcPr>
            <w:tcW w:w="5610" w:type="dxa"/>
          </w:tcPr>
          <w:p w14:paraId="52A07B6E" w14:textId="15BB6BCA" w:rsidR="2ED9FB1F" w:rsidRPr="00443A61" w:rsidRDefault="2ED9FB1F" w:rsidP="31D30A5B">
            <w:r w:rsidRPr="00443A61">
              <w:t>MUFPP signatory with active policy</w:t>
            </w:r>
          </w:p>
        </w:tc>
      </w:tr>
      <w:tr w:rsidR="00443A61" w:rsidRPr="00443A61" w14:paraId="03BB9595" w14:textId="77777777" w:rsidTr="006B5151">
        <w:trPr>
          <w:trHeight w:val="300"/>
        </w:trPr>
        <w:tc>
          <w:tcPr>
            <w:tcW w:w="3465" w:type="dxa"/>
          </w:tcPr>
          <w:p w14:paraId="2F3B2BF1" w14:textId="717CF96C" w:rsidR="2ED8B34E" w:rsidRPr="00443A61" w:rsidRDefault="2ED8B34E" w:rsidP="31D30A5B">
            <w:r w:rsidRPr="00443A61">
              <w:t>Seoul, South Korea</w:t>
            </w:r>
          </w:p>
        </w:tc>
        <w:tc>
          <w:tcPr>
            <w:tcW w:w="5610" w:type="dxa"/>
          </w:tcPr>
          <w:p w14:paraId="733B0CFB" w14:textId="334D5E66" w:rsidR="2D748031" w:rsidRPr="00443A61" w:rsidRDefault="2D748031" w:rsidP="31D30A5B">
            <w:r w:rsidRPr="00443A61">
              <w:t>C40 Good Food Cities commitment</w:t>
            </w:r>
          </w:p>
        </w:tc>
      </w:tr>
      <w:tr w:rsidR="00443A61" w:rsidRPr="00443A61" w14:paraId="0AC657ED" w14:textId="77777777" w:rsidTr="006B5151">
        <w:trPr>
          <w:trHeight w:val="300"/>
        </w:trPr>
        <w:tc>
          <w:tcPr>
            <w:tcW w:w="3465" w:type="dxa"/>
          </w:tcPr>
          <w:p w14:paraId="7B1FBCAB" w14:textId="53B4731E" w:rsidR="2ED8B34E" w:rsidRPr="00443A61" w:rsidRDefault="2ED8B34E" w:rsidP="31D30A5B">
            <w:r w:rsidRPr="00443A61">
              <w:lastRenderedPageBreak/>
              <w:t>Ho Chi Minh City, Vietnam</w:t>
            </w:r>
          </w:p>
        </w:tc>
        <w:tc>
          <w:tcPr>
            <w:tcW w:w="5610" w:type="dxa"/>
          </w:tcPr>
          <w:p w14:paraId="79A5C417" w14:textId="22F9CBD5" w:rsidR="31D30A5B" w:rsidRPr="00443A61" w:rsidRDefault="31D30A5B" w:rsidP="31D30A5B"/>
        </w:tc>
      </w:tr>
      <w:tr w:rsidR="00443A61" w:rsidRPr="00443A61" w14:paraId="430471FD" w14:textId="77777777" w:rsidTr="006B5151">
        <w:trPr>
          <w:trHeight w:val="300"/>
        </w:trPr>
        <w:tc>
          <w:tcPr>
            <w:tcW w:w="3465" w:type="dxa"/>
          </w:tcPr>
          <w:p w14:paraId="2A61E8CD" w14:textId="67CFF113" w:rsidR="2ED8B34E" w:rsidRPr="00443A61" w:rsidRDefault="2ED8B34E" w:rsidP="31D30A5B">
            <w:r w:rsidRPr="00443A61">
              <w:t>Yangon, Myanmar</w:t>
            </w:r>
          </w:p>
        </w:tc>
        <w:tc>
          <w:tcPr>
            <w:tcW w:w="5610" w:type="dxa"/>
          </w:tcPr>
          <w:p w14:paraId="178BDBAA" w14:textId="21AB8BDA" w:rsidR="31D30A5B" w:rsidRPr="00443A61" w:rsidRDefault="31D30A5B" w:rsidP="31D30A5B"/>
        </w:tc>
      </w:tr>
      <w:tr w:rsidR="00443A61" w:rsidRPr="00443A61" w14:paraId="3FF59530" w14:textId="77777777" w:rsidTr="006B5151">
        <w:trPr>
          <w:trHeight w:val="300"/>
        </w:trPr>
        <w:tc>
          <w:tcPr>
            <w:tcW w:w="3465" w:type="dxa"/>
          </w:tcPr>
          <w:p w14:paraId="70957BAE" w14:textId="2390146B" w:rsidR="2ED8B34E" w:rsidRPr="00443A61" w:rsidRDefault="2ED8B34E" w:rsidP="31D30A5B">
            <w:r w:rsidRPr="00443A61">
              <w:t>Beijing, China</w:t>
            </w:r>
          </w:p>
        </w:tc>
        <w:tc>
          <w:tcPr>
            <w:tcW w:w="5610" w:type="dxa"/>
          </w:tcPr>
          <w:p w14:paraId="7CD54CC7" w14:textId="7EF46D24" w:rsidR="31D30A5B" w:rsidRPr="00443A61" w:rsidRDefault="674804E3" w:rsidP="31D30A5B">
            <w:r w:rsidRPr="00443A61">
              <w:t>MUFPP signatory with active policy</w:t>
            </w:r>
          </w:p>
        </w:tc>
      </w:tr>
      <w:tr w:rsidR="00443A61" w:rsidRPr="00443A61" w14:paraId="026B9666" w14:textId="77777777" w:rsidTr="006B5151">
        <w:trPr>
          <w:trHeight w:val="300"/>
        </w:trPr>
        <w:tc>
          <w:tcPr>
            <w:tcW w:w="3465" w:type="dxa"/>
          </w:tcPr>
          <w:p w14:paraId="5DE0D2ED" w14:textId="36C59221" w:rsidR="2ED8B34E" w:rsidRPr="00443A61" w:rsidRDefault="2ED8B34E" w:rsidP="31D30A5B">
            <w:r w:rsidRPr="00443A61">
              <w:t>Delhi, India</w:t>
            </w:r>
          </w:p>
        </w:tc>
        <w:tc>
          <w:tcPr>
            <w:tcW w:w="5610" w:type="dxa"/>
          </w:tcPr>
          <w:p w14:paraId="0A15EE38" w14:textId="05D41FA0" w:rsidR="31D30A5B" w:rsidRPr="00443A61" w:rsidRDefault="31D30A5B" w:rsidP="31D30A5B"/>
        </w:tc>
      </w:tr>
      <w:tr w:rsidR="00443A61" w:rsidRPr="00443A61" w14:paraId="2A70D6E9" w14:textId="77777777" w:rsidTr="006B5151">
        <w:trPr>
          <w:trHeight w:val="300"/>
        </w:trPr>
        <w:tc>
          <w:tcPr>
            <w:tcW w:w="3465" w:type="dxa"/>
          </w:tcPr>
          <w:p w14:paraId="47281A4B" w14:textId="1B41AA2B" w:rsidR="2ED8B34E" w:rsidRPr="00443A61" w:rsidRDefault="2ED8B34E" w:rsidP="31D30A5B">
            <w:r w:rsidRPr="00443A61">
              <w:t>Cairo, Egypt</w:t>
            </w:r>
          </w:p>
        </w:tc>
        <w:tc>
          <w:tcPr>
            <w:tcW w:w="5610" w:type="dxa"/>
          </w:tcPr>
          <w:p w14:paraId="0A669FB3" w14:textId="44613915" w:rsidR="31D30A5B" w:rsidRPr="00443A61" w:rsidRDefault="31D30A5B" w:rsidP="31D30A5B"/>
        </w:tc>
      </w:tr>
      <w:tr w:rsidR="00443A61" w:rsidRPr="00443A61" w14:paraId="1AEC0505" w14:textId="77777777" w:rsidTr="006B5151">
        <w:trPr>
          <w:trHeight w:val="300"/>
        </w:trPr>
        <w:tc>
          <w:tcPr>
            <w:tcW w:w="3465" w:type="dxa"/>
          </w:tcPr>
          <w:p w14:paraId="0A341DAC" w14:textId="7F7940ED" w:rsidR="2ED8B34E" w:rsidRPr="00443A61" w:rsidRDefault="2ED8B34E" w:rsidP="31D30A5B">
            <w:r w:rsidRPr="00443A61">
              <w:t>Karachi, Pakistan</w:t>
            </w:r>
          </w:p>
        </w:tc>
        <w:tc>
          <w:tcPr>
            <w:tcW w:w="5610" w:type="dxa"/>
          </w:tcPr>
          <w:p w14:paraId="6185E3F3" w14:textId="76061885" w:rsidR="31D30A5B" w:rsidRPr="00443A61" w:rsidRDefault="31D30A5B" w:rsidP="31D30A5B"/>
        </w:tc>
      </w:tr>
      <w:tr w:rsidR="00443A61" w:rsidRPr="00443A61" w14:paraId="75C2AA88" w14:textId="77777777" w:rsidTr="006B5151">
        <w:trPr>
          <w:trHeight w:val="300"/>
        </w:trPr>
        <w:tc>
          <w:tcPr>
            <w:tcW w:w="3465" w:type="dxa"/>
          </w:tcPr>
          <w:p w14:paraId="523C5D1C" w14:textId="387A9C29" w:rsidR="2ED8B34E" w:rsidRPr="00443A61" w:rsidRDefault="2ED8B34E" w:rsidP="31D30A5B">
            <w:r w:rsidRPr="00443A61">
              <w:t>Riyadh, Saudi Arabia</w:t>
            </w:r>
          </w:p>
        </w:tc>
        <w:tc>
          <w:tcPr>
            <w:tcW w:w="5610" w:type="dxa"/>
          </w:tcPr>
          <w:p w14:paraId="1FF97D4D" w14:textId="4D45CE7A" w:rsidR="31D30A5B" w:rsidRPr="00443A61" w:rsidRDefault="31D30A5B" w:rsidP="31D30A5B"/>
        </w:tc>
      </w:tr>
      <w:tr w:rsidR="00443A61" w:rsidRPr="00443A61" w14:paraId="0C100B36" w14:textId="77777777" w:rsidTr="006B5151">
        <w:trPr>
          <w:trHeight w:val="300"/>
        </w:trPr>
        <w:tc>
          <w:tcPr>
            <w:tcW w:w="3465" w:type="dxa"/>
          </w:tcPr>
          <w:p w14:paraId="0AD427C9" w14:textId="08BCD84C" w:rsidR="2ED8B34E" w:rsidRPr="00443A61" w:rsidRDefault="2ED8B34E" w:rsidP="31D30A5B">
            <w:r w:rsidRPr="00443A61">
              <w:t>New York, United States</w:t>
            </w:r>
          </w:p>
        </w:tc>
        <w:tc>
          <w:tcPr>
            <w:tcW w:w="5610" w:type="dxa"/>
          </w:tcPr>
          <w:p w14:paraId="075EE2D0" w14:textId="2CD986FC" w:rsidR="4160C2C3" w:rsidRPr="00443A61" w:rsidRDefault="4160C2C3" w:rsidP="31D30A5B">
            <w:r w:rsidRPr="00443A61">
              <w:t>C40 Good Food Cities commitment, Food Forward NYC Plan</w:t>
            </w:r>
          </w:p>
        </w:tc>
      </w:tr>
      <w:tr w:rsidR="00443A61" w:rsidRPr="00443A61" w14:paraId="7BE458F6" w14:textId="77777777" w:rsidTr="006B5151">
        <w:trPr>
          <w:trHeight w:val="300"/>
        </w:trPr>
        <w:tc>
          <w:tcPr>
            <w:tcW w:w="3465" w:type="dxa"/>
          </w:tcPr>
          <w:p w14:paraId="2A6C56AB" w14:textId="17B174AD" w:rsidR="2ED8B34E" w:rsidRPr="00443A61" w:rsidRDefault="2ED8B34E" w:rsidP="31D30A5B">
            <w:r w:rsidRPr="00443A61">
              <w:t>Lagos, Nigeria</w:t>
            </w:r>
          </w:p>
        </w:tc>
        <w:tc>
          <w:tcPr>
            <w:tcW w:w="5610" w:type="dxa"/>
          </w:tcPr>
          <w:p w14:paraId="10927540" w14:textId="0360922B" w:rsidR="31D30A5B" w:rsidRPr="00443A61" w:rsidRDefault="31D30A5B" w:rsidP="31D30A5B"/>
        </w:tc>
      </w:tr>
      <w:tr w:rsidR="00443A61" w:rsidRPr="00443A61" w14:paraId="1BD374F6" w14:textId="77777777" w:rsidTr="006B5151">
        <w:trPr>
          <w:trHeight w:val="300"/>
        </w:trPr>
        <w:tc>
          <w:tcPr>
            <w:tcW w:w="3465" w:type="dxa"/>
          </w:tcPr>
          <w:p w14:paraId="782788D5" w14:textId="05AB5F5C" w:rsidR="2ED8B34E" w:rsidRPr="00443A61" w:rsidRDefault="2ED8B34E" w:rsidP="31D30A5B">
            <w:r w:rsidRPr="00443A61">
              <w:t>Malang, Indonesia</w:t>
            </w:r>
          </w:p>
        </w:tc>
        <w:tc>
          <w:tcPr>
            <w:tcW w:w="5610" w:type="dxa"/>
          </w:tcPr>
          <w:p w14:paraId="7212073E" w14:textId="644FD0CF" w:rsidR="31D30A5B" w:rsidRPr="00443A61" w:rsidRDefault="31D30A5B" w:rsidP="31D30A5B"/>
        </w:tc>
      </w:tr>
      <w:tr w:rsidR="00443A61" w:rsidRPr="00443A61" w14:paraId="092A7E25" w14:textId="77777777" w:rsidTr="006B5151">
        <w:trPr>
          <w:trHeight w:val="300"/>
        </w:trPr>
        <w:tc>
          <w:tcPr>
            <w:tcW w:w="3465" w:type="dxa"/>
          </w:tcPr>
          <w:p w14:paraId="636A701C" w14:textId="3BE70824" w:rsidR="2ED8B34E" w:rsidRPr="00443A61" w:rsidRDefault="2ED8B34E" w:rsidP="31D30A5B">
            <w:r w:rsidRPr="00443A61">
              <w:t>Medellín, Colombia</w:t>
            </w:r>
          </w:p>
        </w:tc>
        <w:tc>
          <w:tcPr>
            <w:tcW w:w="5610" w:type="dxa"/>
          </w:tcPr>
          <w:p w14:paraId="1BF3BF74" w14:textId="4483862A" w:rsidR="010023CC" w:rsidRPr="00443A61" w:rsidRDefault="010023CC" w:rsidP="31D30A5B">
            <w:r w:rsidRPr="00443A61">
              <w:t>MUFPP signatory with active policy</w:t>
            </w:r>
          </w:p>
        </w:tc>
      </w:tr>
      <w:tr w:rsidR="00443A61" w:rsidRPr="00443A61" w14:paraId="6840C613" w14:textId="77777777" w:rsidTr="006B5151">
        <w:trPr>
          <w:trHeight w:val="300"/>
        </w:trPr>
        <w:tc>
          <w:tcPr>
            <w:tcW w:w="3465" w:type="dxa"/>
          </w:tcPr>
          <w:p w14:paraId="2F6ED4BE" w14:textId="1E23AC09" w:rsidR="2ED8B34E" w:rsidRPr="00443A61" w:rsidRDefault="2ED8B34E" w:rsidP="31D30A5B">
            <w:r w:rsidRPr="00443A61">
              <w:t>Los Angeles, United States</w:t>
            </w:r>
          </w:p>
        </w:tc>
        <w:tc>
          <w:tcPr>
            <w:tcW w:w="5610" w:type="dxa"/>
          </w:tcPr>
          <w:p w14:paraId="39C94242" w14:textId="4E7A0FBA" w:rsidR="52084ACB" w:rsidRPr="00443A61" w:rsidRDefault="52084ACB" w:rsidP="31D30A5B">
            <w:r w:rsidRPr="00443A61">
              <w:t>Good Food Purchasing Policy</w:t>
            </w:r>
          </w:p>
        </w:tc>
      </w:tr>
      <w:tr w:rsidR="00443A61" w:rsidRPr="00443A61" w14:paraId="777F10E7" w14:textId="77777777" w:rsidTr="006B5151">
        <w:trPr>
          <w:trHeight w:val="300"/>
        </w:trPr>
        <w:tc>
          <w:tcPr>
            <w:tcW w:w="3465" w:type="dxa"/>
          </w:tcPr>
          <w:p w14:paraId="12DFFEE6" w14:textId="6EEEF1E8" w:rsidR="2ED8B34E" w:rsidRPr="00443A61" w:rsidRDefault="2ED8B34E" w:rsidP="31D30A5B">
            <w:r w:rsidRPr="00443A61">
              <w:t>Tehran, Iran</w:t>
            </w:r>
          </w:p>
        </w:tc>
        <w:tc>
          <w:tcPr>
            <w:tcW w:w="5610" w:type="dxa"/>
          </w:tcPr>
          <w:p w14:paraId="02C2733C" w14:textId="31C3DBA7" w:rsidR="31D30A5B" w:rsidRPr="00443A61" w:rsidRDefault="31D30A5B" w:rsidP="31D30A5B"/>
        </w:tc>
      </w:tr>
      <w:tr w:rsidR="00443A61" w:rsidRPr="00443A61" w14:paraId="16A88243" w14:textId="77777777" w:rsidTr="006B5151">
        <w:trPr>
          <w:trHeight w:val="300"/>
        </w:trPr>
        <w:tc>
          <w:tcPr>
            <w:tcW w:w="3465" w:type="dxa"/>
          </w:tcPr>
          <w:p w14:paraId="5EDDB6FC" w14:textId="6EF108BD" w:rsidR="2ED8B34E" w:rsidRPr="00443A61" w:rsidRDefault="2ED8B34E" w:rsidP="31D30A5B">
            <w:r w:rsidRPr="00443A61">
              <w:t>Chengdu, China</w:t>
            </w:r>
          </w:p>
        </w:tc>
        <w:tc>
          <w:tcPr>
            <w:tcW w:w="5610" w:type="dxa"/>
          </w:tcPr>
          <w:p w14:paraId="65DD39BE" w14:textId="4FE8CE54" w:rsidR="31D30A5B" w:rsidRPr="00443A61" w:rsidRDefault="31D30A5B" w:rsidP="31D30A5B"/>
        </w:tc>
      </w:tr>
      <w:tr w:rsidR="00443A61" w:rsidRPr="00443A61" w14:paraId="1250A025" w14:textId="77777777" w:rsidTr="006B5151">
        <w:trPr>
          <w:trHeight w:val="300"/>
        </w:trPr>
        <w:tc>
          <w:tcPr>
            <w:tcW w:w="3465" w:type="dxa"/>
          </w:tcPr>
          <w:p w14:paraId="585D67AE" w14:textId="3E609528" w:rsidR="2ED8B34E" w:rsidRPr="00443A61" w:rsidRDefault="2ED8B34E" w:rsidP="31D30A5B">
            <w:r w:rsidRPr="00443A61">
              <w:t>London, United Kingdom</w:t>
            </w:r>
          </w:p>
        </w:tc>
        <w:tc>
          <w:tcPr>
            <w:tcW w:w="5610" w:type="dxa"/>
          </w:tcPr>
          <w:p w14:paraId="79C25F5A" w14:textId="2F0792C6" w:rsidR="28860716" w:rsidRPr="00443A61" w:rsidRDefault="28860716" w:rsidP="31D30A5B">
            <w:r w:rsidRPr="00443A61">
              <w:t>C40 Good Food Cities commitment, London Food Strategy</w:t>
            </w:r>
          </w:p>
        </w:tc>
      </w:tr>
      <w:tr w:rsidR="00443A61" w:rsidRPr="00443A61" w14:paraId="257BE327" w14:textId="77777777" w:rsidTr="006B5151">
        <w:trPr>
          <w:trHeight w:val="300"/>
        </w:trPr>
        <w:tc>
          <w:tcPr>
            <w:tcW w:w="3465" w:type="dxa"/>
          </w:tcPr>
          <w:p w14:paraId="023014C3" w14:textId="149EF870" w:rsidR="2ED8B34E" w:rsidRPr="00443A61" w:rsidRDefault="2ED8B34E" w:rsidP="31D30A5B">
            <w:r w:rsidRPr="00443A61">
              <w:t>Nagoya, Japan</w:t>
            </w:r>
          </w:p>
        </w:tc>
        <w:tc>
          <w:tcPr>
            <w:tcW w:w="5610" w:type="dxa"/>
          </w:tcPr>
          <w:p w14:paraId="077A6110" w14:textId="4B05191D" w:rsidR="31D30A5B" w:rsidRPr="00443A61" w:rsidRDefault="4B0B0881" w:rsidP="31D30A5B">
            <w:r w:rsidRPr="00443A61">
              <w:t>Food loss reduction plan</w:t>
            </w:r>
          </w:p>
        </w:tc>
      </w:tr>
      <w:tr w:rsidR="00443A61" w:rsidRPr="00443A61" w14:paraId="257D3EED" w14:textId="77777777" w:rsidTr="006B5151">
        <w:trPr>
          <w:trHeight w:val="300"/>
        </w:trPr>
        <w:tc>
          <w:tcPr>
            <w:tcW w:w="3465" w:type="dxa"/>
          </w:tcPr>
          <w:p w14:paraId="27F17EF5" w14:textId="40CA812E" w:rsidR="2ED8B34E" w:rsidRPr="00443A61" w:rsidRDefault="2ED8B34E" w:rsidP="31D30A5B">
            <w:r w:rsidRPr="00443A61">
              <w:t>Johannesburg, South Africa</w:t>
            </w:r>
          </w:p>
        </w:tc>
        <w:tc>
          <w:tcPr>
            <w:tcW w:w="5610" w:type="dxa"/>
          </w:tcPr>
          <w:p w14:paraId="06FCA509" w14:textId="69B97BC1" w:rsidR="3D0FCF41" w:rsidRPr="00443A61" w:rsidRDefault="0335A3BF" w:rsidP="31D30A5B">
            <w:r w:rsidRPr="00443A61">
              <w:t>MUFPP signatory with active policy</w:t>
            </w:r>
          </w:p>
        </w:tc>
      </w:tr>
      <w:tr w:rsidR="00443A61" w:rsidRPr="00443A61" w14:paraId="135CD12C" w14:textId="77777777" w:rsidTr="006B5151">
        <w:trPr>
          <w:trHeight w:val="300"/>
        </w:trPr>
        <w:tc>
          <w:tcPr>
            <w:tcW w:w="3465" w:type="dxa"/>
          </w:tcPr>
          <w:p w14:paraId="46E156C4" w14:textId="6619483B" w:rsidR="2ED8B34E" w:rsidRPr="00443A61" w:rsidRDefault="2ED8B34E" w:rsidP="31D30A5B">
            <w:r w:rsidRPr="00443A61">
              <w:t>Belo Horizonte, Brazil</w:t>
            </w:r>
          </w:p>
        </w:tc>
        <w:tc>
          <w:tcPr>
            <w:tcW w:w="5610" w:type="dxa"/>
          </w:tcPr>
          <w:p w14:paraId="7EF3CDDB" w14:textId="67273655" w:rsidR="331FD338" w:rsidRPr="00443A61" w:rsidRDefault="123915CA" w:rsidP="31D30A5B">
            <w:r w:rsidRPr="00443A61">
              <w:t>MUFPP signatory with active policy</w:t>
            </w:r>
          </w:p>
        </w:tc>
      </w:tr>
      <w:tr w:rsidR="00443A61" w:rsidRPr="00443A61" w14:paraId="40B5E026" w14:textId="77777777" w:rsidTr="006B5151">
        <w:trPr>
          <w:trHeight w:val="300"/>
        </w:trPr>
        <w:tc>
          <w:tcPr>
            <w:tcW w:w="3465" w:type="dxa"/>
          </w:tcPr>
          <w:p w14:paraId="2B519A87" w14:textId="1FDB7117" w:rsidR="2ED8B34E" w:rsidRPr="00443A61" w:rsidRDefault="2ED8B34E" w:rsidP="31D30A5B">
            <w:r w:rsidRPr="00443A61">
              <w:t>Bandug, Indonesia</w:t>
            </w:r>
          </w:p>
        </w:tc>
        <w:tc>
          <w:tcPr>
            <w:tcW w:w="5610" w:type="dxa"/>
          </w:tcPr>
          <w:p w14:paraId="6F4DE73B" w14:textId="0C5CDB3F" w:rsidR="16F61D7F" w:rsidRPr="00443A61" w:rsidRDefault="16F61D7F" w:rsidP="31D30A5B">
            <w:r w:rsidRPr="00443A61">
              <w:t>MUFPP signatory with active policy</w:t>
            </w:r>
          </w:p>
        </w:tc>
      </w:tr>
      <w:tr w:rsidR="00443A61" w:rsidRPr="00443A61" w14:paraId="731646EC" w14:textId="77777777" w:rsidTr="006B5151">
        <w:trPr>
          <w:trHeight w:val="300"/>
        </w:trPr>
        <w:tc>
          <w:tcPr>
            <w:tcW w:w="3465" w:type="dxa"/>
          </w:tcPr>
          <w:p w14:paraId="3A0141EA" w14:textId="7792323C" w:rsidR="2ED8B34E" w:rsidRPr="00443A61" w:rsidRDefault="2ED8B34E" w:rsidP="31D30A5B">
            <w:r w:rsidRPr="00443A61">
              <w:t>Lahore, Pakistan</w:t>
            </w:r>
          </w:p>
        </w:tc>
        <w:tc>
          <w:tcPr>
            <w:tcW w:w="5610" w:type="dxa"/>
          </w:tcPr>
          <w:p w14:paraId="2CEB6297" w14:textId="3A9837BB" w:rsidR="31D30A5B" w:rsidRPr="00443A61" w:rsidRDefault="31D30A5B" w:rsidP="31D30A5B"/>
        </w:tc>
      </w:tr>
      <w:tr w:rsidR="00443A61" w:rsidRPr="00443A61" w14:paraId="25A256C1" w14:textId="77777777" w:rsidTr="006B5151">
        <w:trPr>
          <w:trHeight w:val="300"/>
        </w:trPr>
        <w:tc>
          <w:tcPr>
            <w:tcW w:w="3465" w:type="dxa"/>
          </w:tcPr>
          <w:p w14:paraId="49F0B915" w14:textId="03568757" w:rsidR="2ED8B34E" w:rsidRPr="00443A61" w:rsidRDefault="2ED8B34E" w:rsidP="31D30A5B">
            <w:r w:rsidRPr="00443A61">
              <w:t>Shantou, China</w:t>
            </w:r>
          </w:p>
        </w:tc>
        <w:tc>
          <w:tcPr>
            <w:tcW w:w="5610" w:type="dxa"/>
          </w:tcPr>
          <w:p w14:paraId="1DF21FE3" w14:textId="131A7049" w:rsidR="31D30A5B" w:rsidRPr="00443A61" w:rsidRDefault="31D30A5B" w:rsidP="31D30A5B"/>
        </w:tc>
      </w:tr>
      <w:tr w:rsidR="00443A61" w:rsidRPr="00443A61" w14:paraId="76F93E68" w14:textId="77777777" w:rsidTr="006B5151">
        <w:trPr>
          <w:trHeight w:val="300"/>
        </w:trPr>
        <w:tc>
          <w:tcPr>
            <w:tcW w:w="3465" w:type="dxa"/>
          </w:tcPr>
          <w:p w14:paraId="2CA89B05" w14:textId="7BD1C2CC" w:rsidR="2ED8B34E" w:rsidRPr="00443A61" w:rsidRDefault="2ED8B34E" w:rsidP="31D30A5B">
            <w:r w:rsidRPr="00443A61">
              <w:t>Paris, France</w:t>
            </w:r>
          </w:p>
        </w:tc>
        <w:tc>
          <w:tcPr>
            <w:tcW w:w="5610" w:type="dxa"/>
          </w:tcPr>
          <w:p w14:paraId="08F20D1C" w14:textId="66B6E26A" w:rsidR="580D9B66" w:rsidRPr="00443A61" w:rsidRDefault="580D9B66" w:rsidP="31D30A5B">
            <w:r w:rsidRPr="00443A61">
              <w:t>C40 Good Food Cities commitment, Sustainable Food Strategy</w:t>
            </w:r>
          </w:p>
        </w:tc>
      </w:tr>
      <w:tr w:rsidR="00443A61" w:rsidRPr="00443A61" w14:paraId="5F4A22AF" w14:textId="77777777" w:rsidTr="006B5151">
        <w:trPr>
          <w:trHeight w:val="300"/>
        </w:trPr>
        <w:tc>
          <w:tcPr>
            <w:tcW w:w="3465" w:type="dxa"/>
          </w:tcPr>
          <w:p w14:paraId="2B3ACC0F" w14:textId="6D98915C" w:rsidR="2ED8B34E" w:rsidRPr="00443A61" w:rsidRDefault="2ED8B34E" w:rsidP="31D30A5B">
            <w:r w:rsidRPr="00443A61">
              <w:t>Suzhou, China</w:t>
            </w:r>
          </w:p>
        </w:tc>
        <w:tc>
          <w:tcPr>
            <w:tcW w:w="5610" w:type="dxa"/>
          </w:tcPr>
          <w:p w14:paraId="47AB7476" w14:textId="6E81F26D" w:rsidR="31D30A5B" w:rsidRPr="00443A61" w:rsidRDefault="31D30A5B" w:rsidP="31D30A5B"/>
        </w:tc>
      </w:tr>
      <w:tr w:rsidR="00443A61" w:rsidRPr="00443A61" w14:paraId="73023264" w14:textId="77777777" w:rsidTr="006B5151">
        <w:trPr>
          <w:trHeight w:val="300"/>
        </w:trPr>
        <w:tc>
          <w:tcPr>
            <w:tcW w:w="3465" w:type="dxa"/>
          </w:tcPr>
          <w:p w14:paraId="08EE7B3D" w14:textId="14A33207" w:rsidR="2ED8B34E" w:rsidRPr="00443A61" w:rsidRDefault="2ED8B34E" w:rsidP="31D30A5B">
            <w:r w:rsidRPr="00443A61">
              <w:t>Kuala Lumpur, Malaysia</w:t>
            </w:r>
          </w:p>
        </w:tc>
        <w:tc>
          <w:tcPr>
            <w:tcW w:w="5610" w:type="dxa"/>
          </w:tcPr>
          <w:p w14:paraId="1FB2BB11" w14:textId="2F95A45C" w:rsidR="31D30A5B" w:rsidRPr="00443A61" w:rsidRDefault="31D30A5B" w:rsidP="31D30A5B"/>
        </w:tc>
      </w:tr>
      <w:tr w:rsidR="00443A61" w:rsidRPr="00443A61" w14:paraId="3C983F9F" w14:textId="77777777" w:rsidTr="006B5151">
        <w:trPr>
          <w:trHeight w:val="300"/>
        </w:trPr>
        <w:tc>
          <w:tcPr>
            <w:tcW w:w="3465" w:type="dxa"/>
          </w:tcPr>
          <w:p w14:paraId="67CCB94C" w14:textId="10E490ED" w:rsidR="2ED8B34E" w:rsidRPr="00443A61" w:rsidRDefault="2ED8B34E" w:rsidP="31D30A5B">
            <w:r w:rsidRPr="00443A61">
              <w:t>Saint Petersburg, Russia</w:t>
            </w:r>
          </w:p>
        </w:tc>
        <w:tc>
          <w:tcPr>
            <w:tcW w:w="5610" w:type="dxa"/>
          </w:tcPr>
          <w:p w14:paraId="54C806D9" w14:textId="7F5D4CAD" w:rsidR="31D30A5B" w:rsidRPr="00443A61" w:rsidRDefault="31D30A5B" w:rsidP="31D30A5B"/>
        </w:tc>
      </w:tr>
      <w:tr w:rsidR="00443A61" w:rsidRPr="00443A61" w14:paraId="7D5A39CB" w14:textId="77777777" w:rsidTr="006B5151">
        <w:trPr>
          <w:trHeight w:val="300"/>
        </w:trPr>
        <w:tc>
          <w:tcPr>
            <w:tcW w:w="3465" w:type="dxa"/>
          </w:tcPr>
          <w:p w14:paraId="43048114" w14:textId="0D41AB2E" w:rsidR="2ED8B34E" w:rsidRPr="00443A61" w:rsidRDefault="2ED8B34E" w:rsidP="31D30A5B">
            <w:r w:rsidRPr="00443A61">
              <w:t>Hangzhou, China</w:t>
            </w:r>
          </w:p>
        </w:tc>
        <w:tc>
          <w:tcPr>
            <w:tcW w:w="5610" w:type="dxa"/>
          </w:tcPr>
          <w:p w14:paraId="2E052B8A" w14:textId="3103EB2B" w:rsidR="31D30A5B" w:rsidRPr="00443A61" w:rsidRDefault="31D30A5B" w:rsidP="31D30A5B"/>
        </w:tc>
      </w:tr>
      <w:tr w:rsidR="00443A61" w:rsidRPr="00443A61" w14:paraId="0E78E26B" w14:textId="77777777" w:rsidTr="006B5151">
        <w:trPr>
          <w:trHeight w:val="300"/>
        </w:trPr>
        <w:tc>
          <w:tcPr>
            <w:tcW w:w="3465" w:type="dxa"/>
          </w:tcPr>
          <w:p w14:paraId="5A2A74E2" w14:textId="17BEAC6C" w:rsidR="2ED8B34E" w:rsidRPr="00443A61" w:rsidRDefault="2ED8B34E" w:rsidP="31D30A5B">
            <w:r w:rsidRPr="00443A61">
              <w:t>Abreu E Lima, Brazil</w:t>
            </w:r>
          </w:p>
        </w:tc>
        <w:tc>
          <w:tcPr>
            <w:tcW w:w="5610" w:type="dxa"/>
          </w:tcPr>
          <w:p w14:paraId="24179D48" w14:textId="13E4332E" w:rsidR="31D30A5B" w:rsidRPr="00443A61" w:rsidRDefault="31D30A5B" w:rsidP="31D30A5B"/>
        </w:tc>
      </w:tr>
      <w:tr w:rsidR="00443A61" w:rsidRPr="00443A61" w14:paraId="168C5CEA" w14:textId="77777777" w:rsidTr="006B5151">
        <w:trPr>
          <w:trHeight w:val="300"/>
        </w:trPr>
        <w:tc>
          <w:tcPr>
            <w:tcW w:w="3465" w:type="dxa"/>
          </w:tcPr>
          <w:p w14:paraId="2DE223B1" w14:textId="01E56C06" w:rsidR="2ED8B34E" w:rsidRPr="00443A61" w:rsidRDefault="2ED8B34E" w:rsidP="31D30A5B">
            <w:r w:rsidRPr="00443A61">
              <w:t>Asuncion, Paraguay</w:t>
            </w:r>
          </w:p>
        </w:tc>
        <w:tc>
          <w:tcPr>
            <w:tcW w:w="5610" w:type="dxa"/>
          </w:tcPr>
          <w:p w14:paraId="44F67CF0" w14:textId="0BAF0525" w:rsidR="31D30A5B" w:rsidRPr="00443A61" w:rsidRDefault="31D30A5B" w:rsidP="31D30A5B"/>
        </w:tc>
      </w:tr>
      <w:tr w:rsidR="00443A61" w:rsidRPr="00443A61" w14:paraId="37A626A7" w14:textId="77777777" w:rsidTr="006B5151">
        <w:trPr>
          <w:trHeight w:val="300"/>
        </w:trPr>
        <w:tc>
          <w:tcPr>
            <w:tcW w:w="3465" w:type="dxa"/>
          </w:tcPr>
          <w:p w14:paraId="357FDCAB" w14:textId="088F7E37" w:rsidR="5FA98CAC" w:rsidRPr="00443A61" w:rsidRDefault="5FA98CAC" w:rsidP="31D30A5B">
            <w:r w:rsidRPr="00443A61">
              <w:t xml:space="preserve">Hà </w:t>
            </w:r>
            <w:r w:rsidR="425945E1" w:rsidRPr="00443A61">
              <w:t>Noi, Vietnam</w:t>
            </w:r>
          </w:p>
        </w:tc>
        <w:tc>
          <w:tcPr>
            <w:tcW w:w="5610" w:type="dxa"/>
          </w:tcPr>
          <w:p w14:paraId="6BDF98F1" w14:textId="0E975AD7" w:rsidR="31D30A5B" w:rsidRPr="00443A61" w:rsidRDefault="31D30A5B" w:rsidP="31D30A5B"/>
        </w:tc>
      </w:tr>
      <w:tr w:rsidR="00443A61" w:rsidRPr="00443A61" w14:paraId="6AAFF497" w14:textId="77777777" w:rsidTr="006B5151">
        <w:trPr>
          <w:trHeight w:val="300"/>
        </w:trPr>
        <w:tc>
          <w:tcPr>
            <w:tcW w:w="3465" w:type="dxa"/>
          </w:tcPr>
          <w:p w14:paraId="02AD3191" w14:textId="5FD69699" w:rsidR="425945E1" w:rsidRPr="00443A61" w:rsidRDefault="425945E1" w:rsidP="31D30A5B">
            <w:r w:rsidRPr="00443A61">
              <w:t>Maracanaú, Brazil</w:t>
            </w:r>
          </w:p>
        </w:tc>
        <w:tc>
          <w:tcPr>
            <w:tcW w:w="5610" w:type="dxa"/>
          </w:tcPr>
          <w:p w14:paraId="5DE8FF02" w14:textId="3A8C84D0" w:rsidR="31D30A5B" w:rsidRPr="00443A61" w:rsidRDefault="31D30A5B" w:rsidP="31D30A5B"/>
        </w:tc>
      </w:tr>
      <w:tr w:rsidR="00443A61" w:rsidRPr="00443A61" w14:paraId="3EAA4BC6" w14:textId="77777777" w:rsidTr="006B5151">
        <w:trPr>
          <w:trHeight w:val="300"/>
        </w:trPr>
        <w:tc>
          <w:tcPr>
            <w:tcW w:w="3465" w:type="dxa"/>
          </w:tcPr>
          <w:p w14:paraId="43FF783A" w14:textId="7BB4F6D6" w:rsidR="425945E1" w:rsidRPr="00443A61" w:rsidRDefault="425945E1" w:rsidP="31D30A5B">
            <w:r w:rsidRPr="00443A61">
              <w:t>Baghdad, Iraq</w:t>
            </w:r>
          </w:p>
        </w:tc>
        <w:tc>
          <w:tcPr>
            <w:tcW w:w="5610" w:type="dxa"/>
          </w:tcPr>
          <w:p w14:paraId="107A66E9" w14:textId="0E3D15CC" w:rsidR="31D30A5B" w:rsidRPr="00443A61" w:rsidRDefault="31D30A5B" w:rsidP="31D30A5B"/>
        </w:tc>
      </w:tr>
      <w:tr w:rsidR="00443A61" w:rsidRPr="00443A61" w14:paraId="539EA8B1" w14:textId="77777777" w:rsidTr="006B5151">
        <w:trPr>
          <w:trHeight w:val="300"/>
        </w:trPr>
        <w:tc>
          <w:tcPr>
            <w:tcW w:w="3465" w:type="dxa"/>
          </w:tcPr>
          <w:p w14:paraId="3E445252" w14:textId="234F4CA8" w:rsidR="425945E1" w:rsidRPr="00443A61" w:rsidRDefault="425945E1" w:rsidP="31D30A5B">
            <w:r w:rsidRPr="00443A61">
              <w:t>Tel Aviv, Israel</w:t>
            </w:r>
          </w:p>
        </w:tc>
        <w:tc>
          <w:tcPr>
            <w:tcW w:w="5610" w:type="dxa"/>
          </w:tcPr>
          <w:p w14:paraId="2F6181FF" w14:textId="6C0DF788" w:rsidR="4E0CD45E" w:rsidRPr="00443A61" w:rsidRDefault="4E0CD45E" w:rsidP="31D30A5B">
            <w:r w:rsidRPr="00443A61">
              <w:t>MUFPP signatory with active policy</w:t>
            </w:r>
          </w:p>
        </w:tc>
      </w:tr>
      <w:tr w:rsidR="31D30A5B" w:rsidRPr="00443A61" w14:paraId="44D73080" w14:textId="77777777" w:rsidTr="006B5151">
        <w:trPr>
          <w:trHeight w:val="300"/>
        </w:trPr>
        <w:tc>
          <w:tcPr>
            <w:tcW w:w="3465" w:type="dxa"/>
          </w:tcPr>
          <w:p w14:paraId="68261FCB" w14:textId="07B442E1" w:rsidR="425945E1" w:rsidRPr="00443A61" w:rsidRDefault="425945E1" w:rsidP="31D30A5B">
            <w:r w:rsidRPr="00443A61">
              <w:t>Luanda, Angola</w:t>
            </w:r>
          </w:p>
        </w:tc>
        <w:tc>
          <w:tcPr>
            <w:tcW w:w="5610" w:type="dxa"/>
          </w:tcPr>
          <w:p w14:paraId="629BC969" w14:textId="76BDB757" w:rsidR="31D30A5B" w:rsidRPr="00443A61" w:rsidRDefault="31D30A5B" w:rsidP="31D30A5B"/>
        </w:tc>
      </w:tr>
    </w:tbl>
    <w:p w14:paraId="3D6DE5FC" w14:textId="5CB69DB1" w:rsidR="31D30A5B" w:rsidRPr="00443A61" w:rsidRDefault="31D30A5B" w:rsidP="31D30A5B">
      <w:pPr>
        <w:jc w:val="both"/>
      </w:pPr>
    </w:p>
    <w:p w14:paraId="4BB045A0" w14:textId="77777777" w:rsidR="006B5151" w:rsidRPr="00443A61" w:rsidRDefault="006B5151" w:rsidP="31D30A5B">
      <w:pPr>
        <w:jc w:val="both"/>
      </w:pPr>
    </w:p>
    <w:p w14:paraId="0566C24F" w14:textId="266BFE7E" w:rsidR="00F24783" w:rsidRPr="00443A61" w:rsidRDefault="003A2B73" w:rsidP="00BA45C5">
      <w:pPr>
        <w:jc w:val="both"/>
        <w:rPr>
          <w:rFonts w:eastAsia="SimSun"/>
        </w:rPr>
      </w:pPr>
      <w:r w:rsidRPr="00443A61">
        <w:rPr>
          <w:rFonts w:eastAsia="SimSun"/>
          <w:noProof/>
        </w:rPr>
        <w:lastRenderedPageBreak/>
        <w:drawing>
          <wp:inline distT="0" distB="0" distL="0" distR="0" wp14:anchorId="3B07A643" wp14:editId="750C7659">
            <wp:extent cx="5731510" cy="7423150"/>
            <wp:effectExtent l="0" t="0" r="2540" b="6350"/>
            <wp:docPr id="1806437263" name="Picture 2"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437263" name="Picture 2" descr="A close-up of a graph&#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7423150"/>
                    </a:xfrm>
                    <a:prstGeom prst="rect">
                      <a:avLst/>
                    </a:prstGeom>
                    <a:noFill/>
                    <a:ln>
                      <a:noFill/>
                    </a:ln>
                  </pic:spPr>
                </pic:pic>
              </a:graphicData>
            </a:graphic>
          </wp:inline>
        </w:drawing>
      </w:r>
    </w:p>
    <w:p w14:paraId="5239133C" w14:textId="069A7509" w:rsidR="00F24783" w:rsidRPr="00443A61" w:rsidRDefault="00F24783" w:rsidP="00266663">
      <w:pPr>
        <w:pStyle w:val="Heading1"/>
        <w:rPr>
          <w:b/>
          <w:bCs/>
          <w:color w:val="auto"/>
          <w:sz w:val="24"/>
          <w:szCs w:val="24"/>
        </w:rPr>
      </w:pPr>
      <w:bookmarkStart w:id="16" w:name="OLE_LINK12"/>
      <w:bookmarkStart w:id="17" w:name="_Toc221538880"/>
      <w:r w:rsidRPr="00443A61">
        <w:rPr>
          <w:b/>
          <w:bCs/>
          <w:color w:val="auto"/>
          <w:sz w:val="24"/>
          <w:szCs w:val="24"/>
        </w:rPr>
        <w:t xml:space="preserve">Supplementary </w:t>
      </w:r>
      <w:r w:rsidR="00D420BA" w:rsidRPr="00443A61">
        <w:rPr>
          <w:rFonts w:hint="eastAsia"/>
          <w:b/>
          <w:bCs/>
          <w:color w:val="auto"/>
          <w:sz w:val="24"/>
          <w:szCs w:val="24"/>
        </w:rPr>
        <w:t>F</w:t>
      </w:r>
      <w:r w:rsidRPr="00443A61">
        <w:rPr>
          <w:b/>
          <w:bCs/>
          <w:color w:val="auto"/>
          <w:sz w:val="24"/>
          <w:szCs w:val="24"/>
        </w:rPr>
        <w:t>igure 1</w:t>
      </w:r>
      <w:bookmarkEnd w:id="16"/>
      <w:r w:rsidRPr="00443A61">
        <w:rPr>
          <w:b/>
          <w:bCs/>
          <w:color w:val="auto"/>
          <w:sz w:val="24"/>
          <w:szCs w:val="24"/>
        </w:rPr>
        <w:t>. Dietary pattern and diet-related GHGE of representative cities across world regions</w:t>
      </w:r>
      <w:bookmarkEnd w:id="17"/>
    </w:p>
    <w:p w14:paraId="72A3CA06" w14:textId="77777777" w:rsidR="00F24783" w:rsidRPr="00443A61" w:rsidRDefault="00F24783" w:rsidP="00F24783">
      <w:pPr>
        <w:spacing w:before="240" w:after="240"/>
        <w:jc w:val="both"/>
        <w:rPr>
          <w:rFonts w:ascii="Aptos" w:eastAsia="SimSun" w:hAnsi="Aptos" w:cs="Aptos"/>
          <w:i/>
          <w:iCs/>
          <w:sz w:val="22"/>
          <w:szCs w:val="22"/>
        </w:rPr>
      </w:pPr>
      <w:r w:rsidRPr="00443A61">
        <w:rPr>
          <w:rFonts w:ascii="Aptos" w:eastAsia="Aptos" w:hAnsi="Aptos" w:cs="Aptos"/>
          <w:i/>
          <w:iCs/>
        </w:rPr>
        <w:t xml:space="preserve">Panel (A) shows total diet-related GHGE of the five highest-impact cities by GHGE in each world region, decomposed by 16 food groups. Panel </w:t>
      </w:r>
      <w:r w:rsidRPr="00443A61">
        <w:rPr>
          <w:rFonts w:ascii="Aptos" w:eastAsia="SimSun" w:hAnsi="Aptos" w:cs="Aptos"/>
          <w:i/>
          <w:iCs/>
        </w:rPr>
        <w:t>(</w:t>
      </w:r>
      <w:r w:rsidRPr="00443A61">
        <w:rPr>
          <w:rFonts w:ascii="Aptos" w:eastAsia="Aptos" w:hAnsi="Aptos" w:cs="Aptos"/>
          <w:i/>
          <w:iCs/>
        </w:rPr>
        <w:t>B</w:t>
      </w:r>
      <w:r w:rsidRPr="00443A61">
        <w:rPr>
          <w:rFonts w:ascii="Aptos" w:eastAsia="SimSun" w:hAnsi="Aptos" w:cs="Aptos"/>
          <w:i/>
          <w:iCs/>
        </w:rPr>
        <w:t>)</w:t>
      </w:r>
      <w:r w:rsidRPr="00443A61">
        <w:rPr>
          <w:rFonts w:ascii="Aptos" w:eastAsia="Aptos" w:hAnsi="Aptos" w:cs="Aptos"/>
          <w:i/>
          <w:iCs/>
        </w:rPr>
        <w:t xml:space="preserve"> presents the per-capita food </w:t>
      </w:r>
      <w:r w:rsidRPr="00443A61">
        <w:rPr>
          <w:rFonts w:ascii="Aptos" w:eastAsia="Aptos" w:hAnsi="Aptos" w:cs="Aptos"/>
          <w:i/>
          <w:iCs/>
        </w:rPr>
        <w:lastRenderedPageBreak/>
        <w:t xml:space="preserve">consumption profiles of the same representative cities, based on 16 harmonised food groups. Per-capita values are reported in grams per person per day. </w:t>
      </w:r>
      <w:r w:rsidRPr="00443A61">
        <w:rPr>
          <w:rFonts w:ascii="Aptos" w:eastAsia="Aptos" w:hAnsi="Aptos" w:cs="Aptos"/>
          <w:i/>
          <w:iCs/>
          <w:sz w:val="22"/>
          <w:szCs w:val="22"/>
        </w:rPr>
        <w:t>Data for city-level dietary water use and land use can be found in Supplementary Data S3.</w:t>
      </w:r>
    </w:p>
    <w:p w14:paraId="7924D5F2" w14:textId="77777777" w:rsidR="006B5151" w:rsidRPr="00443A61" w:rsidRDefault="006B5151" w:rsidP="31D30A5B">
      <w:pPr>
        <w:jc w:val="both"/>
      </w:pPr>
    </w:p>
    <w:p w14:paraId="4B15B410" w14:textId="2F075079" w:rsidR="00715C97" w:rsidRPr="00443A61" w:rsidRDefault="00715C97" w:rsidP="00715C97">
      <w:pPr>
        <w:jc w:val="both"/>
      </w:pPr>
      <w:r w:rsidRPr="00443A61">
        <w:rPr>
          <w:noProof/>
        </w:rPr>
        <w:drawing>
          <wp:inline distT="0" distB="0" distL="0" distR="0" wp14:anchorId="3A54322D" wp14:editId="6D777946">
            <wp:extent cx="5731510" cy="6287770"/>
            <wp:effectExtent l="0" t="0" r="2540" b="0"/>
            <wp:docPr id="1568809609" name="Picture 2"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809609" name="Picture 2" descr="A graph of different colored bars&#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6287770"/>
                    </a:xfrm>
                    <a:prstGeom prst="rect">
                      <a:avLst/>
                    </a:prstGeom>
                    <a:noFill/>
                    <a:ln>
                      <a:noFill/>
                    </a:ln>
                  </pic:spPr>
                </pic:pic>
              </a:graphicData>
            </a:graphic>
          </wp:inline>
        </w:drawing>
      </w:r>
    </w:p>
    <w:p w14:paraId="2C4BA1F4" w14:textId="1E458B7C" w:rsidR="00DF4670" w:rsidRPr="00443A61" w:rsidRDefault="00DF4670" w:rsidP="00266663">
      <w:pPr>
        <w:pStyle w:val="Heading1"/>
        <w:rPr>
          <w:b/>
          <w:bCs/>
          <w:color w:val="auto"/>
          <w:sz w:val="24"/>
          <w:szCs w:val="24"/>
        </w:rPr>
      </w:pPr>
      <w:bookmarkStart w:id="18" w:name="_Toc221538881"/>
      <w:r w:rsidRPr="00443A61">
        <w:rPr>
          <w:b/>
          <w:bCs/>
          <w:color w:val="auto"/>
          <w:sz w:val="24"/>
          <w:szCs w:val="24"/>
        </w:rPr>
        <w:t>S</w:t>
      </w:r>
      <w:r w:rsidRPr="00443A61">
        <w:rPr>
          <w:rFonts w:hint="eastAsia"/>
          <w:b/>
          <w:bCs/>
          <w:color w:val="auto"/>
          <w:sz w:val="24"/>
          <w:szCs w:val="24"/>
        </w:rPr>
        <w:t xml:space="preserve">upplementary </w:t>
      </w:r>
      <w:r w:rsidRPr="00443A61">
        <w:rPr>
          <w:b/>
          <w:bCs/>
          <w:color w:val="auto"/>
          <w:sz w:val="24"/>
          <w:szCs w:val="24"/>
        </w:rPr>
        <w:t xml:space="preserve">Figure </w:t>
      </w:r>
      <w:r w:rsidR="0074446E" w:rsidRPr="00443A61">
        <w:rPr>
          <w:rFonts w:hint="eastAsia"/>
          <w:b/>
          <w:bCs/>
          <w:color w:val="auto"/>
          <w:sz w:val="24"/>
          <w:szCs w:val="24"/>
        </w:rPr>
        <w:t>2</w:t>
      </w:r>
      <w:r w:rsidRPr="00443A61">
        <w:rPr>
          <w:b/>
          <w:bCs/>
          <w:color w:val="auto"/>
          <w:sz w:val="24"/>
          <w:szCs w:val="24"/>
        </w:rPr>
        <w:t xml:space="preserve">. Total diet-related </w:t>
      </w:r>
      <w:r w:rsidRPr="00443A61">
        <w:rPr>
          <w:rFonts w:hint="eastAsia"/>
          <w:b/>
          <w:bCs/>
          <w:color w:val="auto"/>
          <w:sz w:val="24"/>
          <w:szCs w:val="24"/>
        </w:rPr>
        <w:t>GHGE</w:t>
      </w:r>
      <w:r w:rsidRPr="00443A61">
        <w:rPr>
          <w:b/>
          <w:bCs/>
          <w:color w:val="auto"/>
          <w:sz w:val="24"/>
          <w:szCs w:val="24"/>
        </w:rPr>
        <w:t xml:space="preserve">, </w:t>
      </w:r>
      <w:r w:rsidRPr="00443A61">
        <w:rPr>
          <w:rFonts w:hint="eastAsia"/>
          <w:b/>
          <w:bCs/>
          <w:color w:val="auto"/>
          <w:sz w:val="24"/>
          <w:szCs w:val="24"/>
        </w:rPr>
        <w:t>W</w:t>
      </w:r>
      <w:r w:rsidRPr="00443A61">
        <w:rPr>
          <w:b/>
          <w:bCs/>
          <w:color w:val="auto"/>
          <w:sz w:val="24"/>
          <w:szCs w:val="24"/>
        </w:rPr>
        <w:t xml:space="preserve">ater </w:t>
      </w:r>
      <w:r w:rsidRPr="00443A61">
        <w:rPr>
          <w:rFonts w:hint="eastAsia"/>
          <w:b/>
          <w:bCs/>
          <w:color w:val="auto"/>
          <w:sz w:val="24"/>
          <w:szCs w:val="24"/>
        </w:rPr>
        <w:t>U</w:t>
      </w:r>
      <w:r w:rsidRPr="00443A61">
        <w:rPr>
          <w:b/>
          <w:bCs/>
          <w:color w:val="auto"/>
          <w:sz w:val="24"/>
          <w:szCs w:val="24"/>
        </w:rPr>
        <w:t xml:space="preserve">se, and </w:t>
      </w:r>
      <w:r w:rsidRPr="00443A61">
        <w:rPr>
          <w:rFonts w:hint="eastAsia"/>
          <w:b/>
          <w:bCs/>
          <w:color w:val="auto"/>
          <w:sz w:val="24"/>
          <w:szCs w:val="24"/>
        </w:rPr>
        <w:t>L</w:t>
      </w:r>
      <w:r w:rsidRPr="00443A61">
        <w:rPr>
          <w:b/>
          <w:bCs/>
          <w:color w:val="auto"/>
          <w:sz w:val="24"/>
          <w:szCs w:val="24"/>
        </w:rPr>
        <w:t xml:space="preserve">and </w:t>
      </w:r>
      <w:r w:rsidRPr="00443A61">
        <w:rPr>
          <w:rFonts w:hint="eastAsia"/>
          <w:b/>
          <w:bCs/>
          <w:color w:val="auto"/>
          <w:sz w:val="24"/>
          <w:szCs w:val="24"/>
        </w:rPr>
        <w:t>U</w:t>
      </w:r>
      <w:r w:rsidRPr="00443A61">
        <w:rPr>
          <w:b/>
          <w:bCs/>
          <w:color w:val="auto"/>
          <w:sz w:val="24"/>
          <w:szCs w:val="24"/>
        </w:rPr>
        <w:t>se across dietary scenarios (stacked by food group)</w:t>
      </w:r>
      <w:r w:rsidR="00BB4C0A" w:rsidRPr="00443A61">
        <w:rPr>
          <w:rFonts w:hint="eastAsia"/>
          <w:b/>
          <w:bCs/>
          <w:color w:val="auto"/>
          <w:sz w:val="24"/>
          <w:szCs w:val="24"/>
        </w:rPr>
        <w:t>.</w:t>
      </w:r>
      <w:bookmarkEnd w:id="18"/>
    </w:p>
    <w:p w14:paraId="7632986B" w14:textId="148EA3AE" w:rsidR="00FD0854" w:rsidRPr="00443A61" w:rsidRDefault="00FD0854" w:rsidP="3584809C">
      <w:pPr>
        <w:jc w:val="both"/>
        <w:rPr>
          <w:i/>
          <w:iCs/>
        </w:rPr>
      </w:pPr>
      <w:r w:rsidRPr="00443A61">
        <w:rPr>
          <w:i/>
          <w:iCs/>
        </w:rPr>
        <w:t xml:space="preserve">Total diet-related GHGE (Panel A), Water Use (Panel B), and </w:t>
      </w:r>
      <w:r w:rsidR="00AD49A8" w:rsidRPr="00443A61">
        <w:rPr>
          <w:i/>
          <w:iCs/>
        </w:rPr>
        <w:t>L</w:t>
      </w:r>
      <w:r w:rsidRPr="00443A61">
        <w:rPr>
          <w:i/>
          <w:iCs/>
        </w:rPr>
        <w:t xml:space="preserve">and </w:t>
      </w:r>
      <w:r w:rsidR="00AD49A8" w:rsidRPr="00443A61">
        <w:rPr>
          <w:i/>
          <w:iCs/>
        </w:rPr>
        <w:t>U</w:t>
      </w:r>
      <w:r w:rsidRPr="00443A61">
        <w:rPr>
          <w:i/>
          <w:iCs/>
        </w:rPr>
        <w:t>se (Panel C) across six dietary scenarios—Baseline, EAT-Lancet 2.0, EAT-Lancet 1.0, C40, E</w:t>
      </w:r>
      <w:r w:rsidR="00AD49A8" w:rsidRPr="00443A61">
        <w:rPr>
          <w:i/>
          <w:iCs/>
        </w:rPr>
        <w:t>uro</w:t>
      </w:r>
      <w:r w:rsidRPr="00443A61">
        <w:rPr>
          <w:i/>
          <w:iCs/>
        </w:rPr>
        <w:t>cities, and MUFPP—summed over all 12,6</w:t>
      </w:r>
      <w:r w:rsidR="003122B5" w:rsidRPr="00443A61">
        <w:rPr>
          <w:rFonts w:hint="eastAsia"/>
          <w:i/>
          <w:iCs/>
        </w:rPr>
        <w:t>8</w:t>
      </w:r>
      <w:r w:rsidRPr="00443A61">
        <w:rPr>
          <w:i/>
          <w:iCs/>
        </w:rPr>
        <w:t xml:space="preserve">3 cities in the MATILDA-City framework. Bars represent </w:t>
      </w:r>
      <w:r w:rsidRPr="00443A61">
        <w:rPr>
          <w:i/>
          <w:iCs/>
        </w:rPr>
        <w:lastRenderedPageBreak/>
        <w:t xml:space="preserve">the total environmental footprint for each scenario, stacked by food groups. Food group quantities reflect the proportional shift from baseline intake toward the EAT-Lancet recommended composition, applied either globally (EAT-Lancet scenarios) or within city networks (C40, EU cities, MUFPP). Numeric labels above each bar indicate the total footprint under each scenario. </w:t>
      </w:r>
    </w:p>
    <w:p w14:paraId="42782960" w14:textId="54E3D718" w:rsidR="0074446E" w:rsidRPr="00443A61" w:rsidRDefault="0074446E" w:rsidP="0074446E">
      <w:pPr>
        <w:jc w:val="both"/>
        <w:rPr>
          <w:i/>
        </w:rPr>
      </w:pPr>
      <w:r w:rsidRPr="00443A61">
        <w:rPr>
          <w:i/>
          <w:noProof/>
        </w:rPr>
        <w:drawing>
          <wp:inline distT="0" distB="0" distL="0" distR="0" wp14:anchorId="05A5BE0A" wp14:editId="0FC35D6D">
            <wp:extent cx="5731510" cy="4776470"/>
            <wp:effectExtent l="0" t="0" r="2540" b="5080"/>
            <wp:docPr id="120390324" name="Picture 4"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graph of different colored bars&#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16D81401" w14:textId="77777777" w:rsidR="0074446E" w:rsidRPr="00443A61" w:rsidRDefault="0074446E" w:rsidP="00266663">
      <w:pPr>
        <w:pStyle w:val="Heading1"/>
        <w:rPr>
          <w:b/>
          <w:bCs/>
          <w:color w:val="auto"/>
          <w:sz w:val="24"/>
          <w:szCs w:val="24"/>
        </w:rPr>
      </w:pPr>
      <w:bookmarkStart w:id="19" w:name="_Toc221538882"/>
      <w:r w:rsidRPr="00443A61">
        <w:rPr>
          <w:b/>
          <w:bCs/>
          <w:color w:val="auto"/>
          <w:sz w:val="24"/>
          <w:szCs w:val="24"/>
        </w:rPr>
        <w:t>Supplementary Figure 3. Changes in global and city-network dietary environmental footprints when shifting from current diets to the EAT–Lancet 2.0 diet.</w:t>
      </w:r>
      <w:bookmarkEnd w:id="19"/>
      <w:r w:rsidRPr="00443A61">
        <w:rPr>
          <w:b/>
          <w:bCs/>
          <w:color w:val="auto"/>
          <w:sz w:val="24"/>
          <w:szCs w:val="24"/>
        </w:rPr>
        <w:t xml:space="preserve"> </w:t>
      </w:r>
    </w:p>
    <w:p w14:paraId="7A8432D1" w14:textId="4B2C6122" w:rsidR="0074446E" w:rsidRPr="00443A61" w:rsidRDefault="0074446E">
      <w:pPr>
        <w:jc w:val="both"/>
        <w:rPr>
          <w:i/>
          <w:iCs/>
        </w:rPr>
      </w:pPr>
      <w:bookmarkStart w:id="20" w:name="OLE_LINK11"/>
      <w:r w:rsidRPr="00443A61">
        <w:rPr>
          <w:i/>
          <w:iCs/>
        </w:rPr>
        <w:t>Panel (A) shows stacked waterfall plots illustrating changes in diet-related water use (km³), and land use (Mha) when shifting from current dietary patterns (Baseline) to full adoption of the EAT–Lancet 2.0 diet across all 12,6</w:t>
      </w:r>
      <w:r w:rsidR="003122B5" w:rsidRPr="00443A61">
        <w:rPr>
          <w:rFonts w:hint="eastAsia"/>
          <w:i/>
          <w:iCs/>
        </w:rPr>
        <w:t>8</w:t>
      </w:r>
      <w:r w:rsidRPr="00443A61">
        <w:rPr>
          <w:i/>
          <w:iCs/>
        </w:rPr>
        <w:t xml:space="preserve">3 cities. For each indicator, the Baseline and EAT–Lancet 2.0 columns show total footprints stacked by 16 food group, while the “Increase” and “Decrease” columns decompose positive and negative changes in footprints by food group </w:t>
      </w:r>
      <w:r w:rsidR="1EF484C1" w:rsidRPr="00443A61">
        <w:rPr>
          <w:i/>
          <w:iCs/>
        </w:rPr>
        <w:t xml:space="preserve">resulting from </w:t>
      </w:r>
      <w:r w:rsidRPr="00443A61">
        <w:rPr>
          <w:i/>
          <w:iCs/>
        </w:rPr>
        <w:t>compliance with the EAT-Lancet diet. Percent labels indicate the proportional change in</w:t>
      </w:r>
      <w:r w:rsidR="757CD5C4" w:rsidRPr="00443A61">
        <w:rPr>
          <w:i/>
          <w:iCs/>
        </w:rPr>
        <w:t xml:space="preserve"> </w:t>
      </w:r>
      <w:r w:rsidRPr="00443A61">
        <w:rPr>
          <w:i/>
          <w:iCs/>
        </w:rPr>
        <w:t>environmental footprints in relation to the baseline due to adoption of the EAT–Lancet 2.0 diet. Panel (B) shows stacked waterfall plots for diet-related GHGE restricted to three city networks: C40 cities, Eurocities member cities and signatory cities of the Milan Urban Food Policy Pact (MUFPP). EAT-</w:t>
      </w:r>
      <w:r w:rsidRPr="00443A61">
        <w:rPr>
          <w:i/>
          <w:iCs/>
        </w:rPr>
        <w:lastRenderedPageBreak/>
        <w:t>Lancet 2.0 refers to the updated EAT-Lancet diet proposed by EAT-Lancet Commission in 2025. C40 refers to the C40 Cities Climate Leadership Group Inc., a global network of mayors collaborating to address the climate crisis and drive urban sustainability</w:t>
      </w:r>
      <w:r w:rsidRPr="00443A61">
        <w:fldChar w:fldCharType="begin"/>
      </w:r>
      <w:r w:rsidRPr="00443A61">
        <w:rPr>
          <w:i/>
          <w:iCs/>
        </w:rPr>
        <w:instrText xml:space="preserve"> ADDIN ZOTERO_ITEM CSL_CITATION {"citationID":"HQwXuJqw","properties":{"formattedCitation":"(5)","plainCitation":"(5)","noteIndex":0},"citationItems":[{"id":599,"uris":["http://zotero.org/users/16665975/items/EU2RIKJH"],"itemData":{"id":599,"type":"webpage","abstract":"C40 Cities is a global network of mayors taking urgent action to confront the climate crisis and create a future where everyone can thrive.","container-title":"C40 Cities","language":"en-GB","title":"C40 Cities: Transforming urban systems for climate action","title-short":"C40 Cities","URL":"https://www.c40.org/"}}],"schema":"https://github.com/citation-style-language/schema/raw/master/csl-citation.json"} </w:instrText>
      </w:r>
      <w:r w:rsidRPr="00443A61">
        <w:fldChar w:fldCharType="separate"/>
      </w:r>
      <w:r w:rsidR="00A964FF" w:rsidRPr="00443A61">
        <w:rPr>
          <w:rFonts w:ascii="Aptos" w:hAnsi="Aptos"/>
        </w:rPr>
        <w:t>(5)</w:t>
      </w:r>
      <w:r w:rsidRPr="00443A61">
        <w:fldChar w:fldCharType="end"/>
      </w:r>
      <w:r w:rsidRPr="00443A61">
        <w:rPr>
          <w:i/>
          <w:iCs/>
        </w:rPr>
        <w:t>. Eurocities represent the Eurocities network, a coalition of over 200 major European cities across 38 countries that promotes urban cooperation and policy exchange on climate, environment, mobility, and social issues</w:t>
      </w:r>
      <w:r w:rsidRPr="00443A61">
        <w:fldChar w:fldCharType="begin"/>
      </w:r>
      <w:r w:rsidRPr="00443A61">
        <w:rPr>
          <w:i/>
          <w:iCs/>
        </w:rPr>
        <w:instrText xml:space="preserve"> ADDIN ZOTERO_ITEM CSL_CITATION {"citationID":"441MCPVD","properties":{"formattedCitation":"(6)","plainCitation":"(6)","noteIndex":0},"citationItems":[{"id":601,"uris":["http://zotero.org/users/16665975/items/H9VAJMGM"],"itemData":{"id":601,"type":"post-weblog","abstract":"We strive for a Europe where cities are genuine partners with the EU to create a better future for all.","language":"en-GB","title":"Eurocities - Home","URL":"https://eurocities.eu/"}}],"schema":"https://github.com/citation-style-language/schema/raw/master/csl-citation.json"} </w:instrText>
      </w:r>
      <w:r w:rsidRPr="00443A61">
        <w:fldChar w:fldCharType="separate"/>
      </w:r>
      <w:r w:rsidR="00A964FF" w:rsidRPr="00443A61">
        <w:rPr>
          <w:rFonts w:ascii="Aptos" w:hAnsi="Aptos"/>
        </w:rPr>
        <w:t>(6)</w:t>
      </w:r>
      <w:r w:rsidRPr="00443A61">
        <w:fldChar w:fldCharType="end"/>
      </w:r>
      <w:r w:rsidRPr="00443A61">
        <w:rPr>
          <w:i/>
          <w:iCs/>
        </w:rPr>
        <w:t>. MUFPP refers to the Milan Urban Food Policy Pact, an international agreement on urban food policies signed by more than 200 cities worldwide to promote sustainable, inclusive, and resilient food systems</w:t>
      </w:r>
      <w:r w:rsidRPr="00443A61">
        <w:fldChar w:fldCharType="begin"/>
      </w:r>
      <w:r w:rsidRPr="00443A61">
        <w:rPr>
          <w:i/>
          <w:iCs/>
        </w:rPr>
        <w:instrText xml:space="preserve"> ADDIN ZOTERO_ITEM CSL_CITATION {"citationID":"jTZCQ4gq","properties":{"formattedCitation":"(7)","plainCitation":"(7)","noteIndex":0},"citationItems":[{"id":603,"uris":["http://zotero.org/users/16665975/items/CJZJ8CYJ"],"itemData":{"id":603,"type":"webpage","abstract":"The Milan Urban Food Policy Pact is an international agreement on urban food policies signed by over 200 cities from all over the world.","container-title":"Milan Urban Food Policy Pact","language":"it-IT","title":"Milan Urban Food Policy Pact","URL":"https://www.milanurbanfoodpolicypact.org/"}}],"schema":"https://github.com/citation-style-language/schema/raw/master/csl-citation.json"} </w:instrText>
      </w:r>
      <w:r w:rsidRPr="00443A61">
        <w:fldChar w:fldCharType="separate"/>
      </w:r>
      <w:r w:rsidR="00A964FF" w:rsidRPr="00443A61">
        <w:rPr>
          <w:rFonts w:ascii="Aptos" w:hAnsi="Aptos"/>
        </w:rPr>
        <w:t>(7)</w:t>
      </w:r>
      <w:r w:rsidRPr="00443A61">
        <w:fldChar w:fldCharType="end"/>
      </w:r>
      <w:r w:rsidRPr="00443A61">
        <w:rPr>
          <w:i/>
          <w:iCs/>
        </w:rPr>
        <w:t xml:space="preserve">. </w:t>
      </w:r>
      <w:bookmarkEnd w:id="20"/>
    </w:p>
    <w:p w14:paraId="525D34D7" w14:textId="77777777" w:rsidR="0074446E" w:rsidRPr="00443A61" w:rsidRDefault="0074446E" w:rsidP="00FD0854">
      <w:pPr>
        <w:jc w:val="both"/>
      </w:pPr>
    </w:p>
    <w:p w14:paraId="02D448C3" w14:textId="5DD39F82" w:rsidR="006B5151" w:rsidRPr="00443A61" w:rsidRDefault="00E430E8" w:rsidP="31D30A5B">
      <w:pPr>
        <w:jc w:val="both"/>
      </w:pPr>
      <w:r w:rsidRPr="00443A61">
        <w:t>R</w:t>
      </w:r>
      <w:r w:rsidRPr="00443A61">
        <w:rPr>
          <w:rFonts w:hint="eastAsia"/>
        </w:rPr>
        <w:t>eference</w:t>
      </w:r>
    </w:p>
    <w:p w14:paraId="471EB787" w14:textId="77777777" w:rsidR="00DC7141" w:rsidRPr="00443A61" w:rsidRDefault="00E430E8" w:rsidP="00DC7141">
      <w:pPr>
        <w:pStyle w:val="Bibliography"/>
        <w:rPr>
          <w:rFonts w:ascii="Aptos" w:hAnsi="Aptos"/>
        </w:rPr>
      </w:pPr>
      <w:r w:rsidRPr="00443A61">
        <w:fldChar w:fldCharType="begin"/>
      </w:r>
      <w:r w:rsidRPr="00443A61">
        <w:instrText xml:space="preserve"> ADDIN ZOTERO_BIBL {"uncited":[],"omitted":[],"custom":[]} CSL_BIBLIOGRAPHY </w:instrText>
      </w:r>
      <w:r w:rsidRPr="00443A61">
        <w:fldChar w:fldCharType="separate"/>
      </w:r>
      <w:r w:rsidR="00DC7141" w:rsidRPr="00443A61">
        <w:rPr>
          <w:rFonts w:ascii="Aptos" w:hAnsi="Aptos"/>
        </w:rPr>
        <w:t xml:space="preserve">1. </w:t>
      </w:r>
      <w:r w:rsidR="00DC7141" w:rsidRPr="00443A61">
        <w:rPr>
          <w:rFonts w:ascii="Aptos" w:hAnsi="Aptos"/>
        </w:rPr>
        <w:tab/>
        <w:t xml:space="preserve">V. Miller, </w:t>
      </w:r>
      <w:r w:rsidR="00DC7141" w:rsidRPr="00443A61">
        <w:rPr>
          <w:rFonts w:ascii="Aptos" w:hAnsi="Aptos"/>
          <w:i/>
          <w:iCs/>
        </w:rPr>
        <w:t>et al.</w:t>
      </w:r>
      <w:r w:rsidR="00DC7141" w:rsidRPr="00443A61">
        <w:rPr>
          <w:rFonts w:ascii="Aptos" w:hAnsi="Aptos"/>
        </w:rPr>
        <w:t xml:space="preserve">, Global Dietary Database 2017: data availability and gaps on 54 major foods, beverages and nutrients among 5.6 million children and adults from 1220 surveys worldwide. </w:t>
      </w:r>
      <w:r w:rsidR="00DC7141" w:rsidRPr="00443A61">
        <w:rPr>
          <w:rFonts w:ascii="Aptos" w:hAnsi="Aptos"/>
          <w:i/>
          <w:iCs/>
        </w:rPr>
        <w:t>BMJ Glob Health</w:t>
      </w:r>
      <w:r w:rsidR="00DC7141" w:rsidRPr="00443A61">
        <w:rPr>
          <w:rFonts w:ascii="Aptos" w:hAnsi="Aptos"/>
        </w:rPr>
        <w:t xml:space="preserve"> </w:t>
      </w:r>
      <w:r w:rsidR="00DC7141" w:rsidRPr="00443A61">
        <w:rPr>
          <w:rFonts w:ascii="Aptos" w:hAnsi="Aptos"/>
          <w:b/>
          <w:bCs/>
        </w:rPr>
        <w:t>6</w:t>
      </w:r>
      <w:r w:rsidR="00DC7141" w:rsidRPr="00443A61">
        <w:rPr>
          <w:rFonts w:ascii="Aptos" w:hAnsi="Aptos"/>
        </w:rPr>
        <w:t xml:space="preserve"> (2021).</w:t>
      </w:r>
    </w:p>
    <w:p w14:paraId="00738852" w14:textId="77777777" w:rsidR="00DC7141" w:rsidRPr="00443A61" w:rsidRDefault="00DC7141" w:rsidP="00DC7141">
      <w:pPr>
        <w:pStyle w:val="Bibliography"/>
        <w:rPr>
          <w:rFonts w:ascii="Aptos" w:hAnsi="Aptos"/>
        </w:rPr>
      </w:pPr>
      <w:r w:rsidRPr="00443A61">
        <w:rPr>
          <w:rFonts w:ascii="Aptos" w:hAnsi="Aptos"/>
        </w:rPr>
        <w:t xml:space="preserve">2. </w:t>
      </w:r>
      <w:r w:rsidRPr="00443A61">
        <w:rPr>
          <w:rFonts w:ascii="Aptos" w:hAnsi="Aptos"/>
        </w:rPr>
        <w:tab/>
        <w:t xml:space="preserve">M. Bruckner, </w:t>
      </w:r>
      <w:r w:rsidRPr="00443A61">
        <w:rPr>
          <w:rFonts w:ascii="Aptos" w:hAnsi="Aptos"/>
          <w:i/>
          <w:iCs/>
        </w:rPr>
        <w:t>et al.</w:t>
      </w:r>
      <w:r w:rsidRPr="00443A61">
        <w:rPr>
          <w:rFonts w:ascii="Aptos" w:hAnsi="Aptos"/>
        </w:rPr>
        <w:t xml:space="preserve">, FABIO—The Construction of the Food and Agriculture Biomass Input–Output Model. </w:t>
      </w:r>
      <w:r w:rsidRPr="00443A61">
        <w:rPr>
          <w:rFonts w:ascii="Aptos" w:hAnsi="Aptos"/>
          <w:i/>
          <w:iCs/>
        </w:rPr>
        <w:t>Environ. Sci. Technol.</w:t>
      </w:r>
      <w:r w:rsidRPr="00443A61">
        <w:rPr>
          <w:rFonts w:ascii="Aptos" w:hAnsi="Aptos"/>
        </w:rPr>
        <w:t xml:space="preserve"> </w:t>
      </w:r>
      <w:r w:rsidRPr="00443A61">
        <w:rPr>
          <w:rFonts w:ascii="Aptos" w:hAnsi="Aptos"/>
          <w:b/>
          <w:bCs/>
        </w:rPr>
        <w:t>53</w:t>
      </w:r>
      <w:r w:rsidRPr="00443A61">
        <w:rPr>
          <w:rFonts w:ascii="Aptos" w:hAnsi="Aptos"/>
        </w:rPr>
        <w:t>, 11302–11312 (2019).</w:t>
      </w:r>
    </w:p>
    <w:p w14:paraId="6B414FD5" w14:textId="77777777" w:rsidR="00DC7141" w:rsidRPr="00443A61" w:rsidRDefault="00DC7141" w:rsidP="00DC7141">
      <w:pPr>
        <w:pStyle w:val="Bibliography"/>
        <w:rPr>
          <w:rFonts w:ascii="Aptos" w:hAnsi="Aptos"/>
        </w:rPr>
      </w:pPr>
      <w:r w:rsidRPr="00443A61">
        <w:rPr>
          <w:rFonts w:ascii="Aptos" w:hAnsi="Aptos"/>
        </w:rPr>
        <w:t xml:space="preserve">3. </w:t>
      </w:r>
      <w:r w:rsidRPr="00443A61">
        <w:rPr>
          <w:rFonts w:ascii="Aptos" w:hAnsi="Aptos"/>
        </w:rPr>
        <w:tab/>
        <w:t xml:space="preserve">W. Willett, </w:t>
      </w:r>
      <w:r w:rsidRPr="00443A61">
        <w:rPr>
          <w:rFonts w:ascii="Aptos" w:hAnsi="Aptos"/>
          <w:i/>
          <w:iCs/>
        </w:rPr>
        <w:t>et al.</w:t>
      </w:r>
      <w:r w:rsidRPr="00443A61">
        <w:rPr>
          <w:rFonts w:ascii="Aptos" w:hAnsi="Aptos"/>
        </w:rPr>
        <w:t xml:space="preserve">, Food in the Anthropocene: the EAT–Lancet Commission on healthy diets from sustainable food systems. </w:t>
      </w:r>
      <w:r w:rsidRPr="00443A61">
        <w:rPr>
          <w:rFonts w:ascii="Aptos" w:hAnsi="Aptos"/>
          <w:i/>
          <w:iCs/>
        </w:rPr>
        <w:t>The Lancet</w:t>
      </w:r>
      <w:r w:rsidRPr="00443A61">
        <w:rPr>
          <w:rFonts w:ascii="Aptos" w:hAnsi="Aptos"/>
        </w:rPr>
        <w:t xml:space="preserve"> </w:t>
      </w:r>
      <w:r w:rsidRPr="00443A61">
        <w:rPr>
          <w:rFonts w:ascii="Aptos" w:hAnsi="Aptos"/>
          <w:b/>
          <w:bCs/>
        </w:rPr>
        <w:t>393</w:t>
      </w:r>
      <w:r w:rsidRPr="00443A61">
        <w:rPr>
          <w:rFonts w:ascii="Aptos" w:hAnsi="Aptos"/>
        </w:rPr>
        <w:t>, 447–492 (2019).</w:t>
      </w:r>
    </w:p>
    <w:p w14:paraId="43A0985D" w14:textId="77777777" w:rsidR="00DC7141" w:rsidRPr="00443A61" w:rsidRDefault="00DC7141" w:rsidP="00DC7141">
      <w:pPr>
        <w:pStyle w:val="Bibliography"/>
        <w:rPr>
          <w:rFonts w:ascii="Aptos" w:hAnsi="Aptos"/>
        </w:rPr>
      </w:pPr>
      <w:r w:rsidRPr="00443A61">
        <w:rPr>
          <w:rFonts w:ascii="Aptos" w:hAnsi="Aptos"/>
        </w:rPr>
        <w:t xml:space="preserve">4. </w:t>
      </w:r>
      <w:r w:rsidRPr="00443A61">
        <w:rPr>
          <w:rFonts w:ascii="Aptos" w:hAnsi="Aptos"/>
        </w:rPr>
        <w:tab/>
        <w:t xml:space="preserve">J. Rockström, </w:t>
      </w:r>
      <w:r w:rsidRPr="00443A61">
        <w:rPr>
          <w:rFonts w:ascii="Aptos" w:hAnsi="Aptos"/>
          <w:i/>
          <w:iCs/>
        </w:rPr>
        <w:t>et al.</w:t>
      </w:r>
      <w:r w:rsidRPr="00443A61">
        <w:rPr>
          <w:rFonts w:ascii="Aptos" w:hAnsi="Aptos"/>
        </w:rPr>
        <w:t xml:space="preserve">, The EAT–Lancet Commission on healthy, sustainable, and just food systems. </w:t>
      </w:r>
      <w:r w:rsidRPr="00443A61">
        <w:rPr>
          <w:rFonts w:ascii="Aptos" w:hAnsi="Aptos"/>
          <w:i/>
          <w:iCs/>
        </w:rPr>
        <w:t>The Lancet</w:t>
      </w:r>
      <w:r w:rsidRPr="00443A61">
        <w:rPr>
          <w:rFonts w:ascii="Aptos" w:hAnsi="Aptos"/>
        </w:rPr>
        <w:t xml:space="preserve"> </w:t>
      </w:r>
      <w:r w:rsidRPr="00443A61">
        <w:rPr>
          <w:rFonts w:ascii="Aptos" w:hAnsi="Aptos"/>
          <w:b/>
          <w:bCs/>
        </w:rPr>
        <w:t>406</w:t>
      </w:r>
      <w:r w:rsidRPr="00443A61">
        <w:rPr>
          <w:rFonts w:ascii="Aptos" w:hAnsi="Aptos"/>
        </w:rPr>
        <w:t>, 1625–1700 (2025).</w:t>
      </w:r>
    </w:p>
    <w:p w14:paraId="03020214" w14:textId="77777777" w:rsidR="00DC7141" w:rsidRPr="00443A61" w:rsidRDefault="00DC7141" w:rsidP="00DC7141">
      <w:pPr>
        <w:pStyle w:val="Bibliography"/>
        <w:rPr>
          <w:rFonts w:ascii="Aptos" w:hAnsi="Aptos"/>
        </w:rPr>
      </w:pPr>
      <w:r w:rsidRPr="00443A61">
        <w:rPr>
          <w:rFonts w:ascii="Aptos" w:hAnsi="Aptos"/>
        </w:rPr>
        <w:t xml:space="preserve">5. </w:t>
      </w:r>
      <w:r w:rsidRPr="00443A61">
        <w:rPr>
          <w:rFonts w:ascii="Aptos" w:hAnsi="Aptos"/>
        </w:rPr>
        <w:tab/>
        <w:t xml:space="preserve">C40 Cities: Transforming urban systems for climate action. </w:t>
      </w:r>
      <w:r w:rsidRPr="00443A61">
        <w:rPr>
          <w:rFonts w:ascii="Aptos" w:hAnsi="Aptos"/>
          <w:i/>
          <w:iCs/>
        </w:rPr>
        <w:t>C40 Cities</w:t>
      </w:r>
      <w:r w:rsidRPr="00443A61">
        <w:rPr>
          <w:rFonts w:ascii="Aptos" w:hAnsi="Aptos"/>
        </w:rPr>
        <w:t>. Available at: https://www.c40.org/.</w:t>
      </w:r>
    </w:p>
    <w:p w14:paraId="7F166804" w14:textId="77777777" w:rsidR="00DC7141" w:rsidRPr="00443A61" w:rsidRDefault="00DC7141" w:rsidP="00DC7141">
      <w:pPr>
        <w:pStyle w:val="Bibliography"/>
        <w:rPr>
          <w:rFonts w:ascii="Aptos" w:hAnsi="Aptos"/>
        </w:rPr>
      </w:pPr>
      <w:r w:rsidRPr="00443A61">
        <w:rPr>
          <w:rFonts w:ascii="Aptos" w:hAnsi="Aptos"/>
        </w:rPr>
        <w:t xml:space="preserve">6. </w:t>
      </w:r>
      <w:r w:rsidRPr="00443A61">
        <w:rPr>
          <w:rFonts w:ascii="Aptos" w:hAnsi="Aptos"/>
        </w:rPr>
        <w:tab/>
        <w:t>Eurocities - Home. Available at: https://eurocities.eu/.</w:t>
      </w:r>
    </w:p>
    <w:p w14:paraId="19A16ED9" w14:textId="77777777" w:rsidR="00DC7141" w:rsidRPr="00443A61" w:rsidRDefault="00DC7141" w:rsidP="00DC7141">
      <w:pPr>
        <w:pStyle w:val="Bibliography"/>
        <w:rPr>
          <w:rFonts w:ascii="Aptos" w:hAnsi="Aptos"/>
        </w:rPr>
      </w:pPr>
      <w:r w:rsidRPr="00443A61">
        <w:rPr>
          <w:rFonts w:ascii="Aptos" w:hAnsi="Aptos"/>
        </w:rPr>
        <w:t xml:space="preserve">7. </w:t>
      </w:r>
      <w:r w:rsidRPr="00443A61">
        <w:rPr>
          <w:rFonts w:ascii="Aptos" w:hAnsi="Aptos"/>
        </w:rPr>
        <w:tab/>
        <w:t xml:space="preserve">Milan Urban Food Policy Pact. </w:t>
      </w:r>
      <w:r w:rsidRPr="00443A61">
        <w:rPr>
          <w:rFonts w:ascii="Aptos" w:hAnsi="Aptos"/>
          <w:i/>
          <w:iCs/>
        </w:rPr>
        <w:t>Milan Urban Food Policy Pact</w:t>
      </w:r>
      <w:r w:rsidRPr="00443A61">
        <w:rPr>
          <w:rFonts w:ascii="Aptos" w:hAnsi="Aptos"/>
        </w:rPr>
        <w:t>. Available at: https://www.milanurbanfoodpolicypact.org/.</w:t>
      </w:r>
    </w:p>
    <w:p w14:paraId="61263BF1" w14:textId="77777777" w:rsidR="00DC7141" w:rsidRPr="00443A61" w:rsidRDefault="00DC7141" w:rsidP="00DC7141">
      <w:pPr>
        <w:pStyle w:val="Bibliography"/>
        <w:rPr>
          <w:rFonts w:ascii="Aptos" w:hAnsi="Aptos"/>
        </w:rPr>
      </w:pPr>
      <w:r w:rsidRPr="00443A61">
        <w:rPr>
          <w:rFonts w:ascii="Aptos" w:hAnsi="Aptos"/>
        </w:rPr>
        <w:t xml:space="preserve">8. </w:t>
      </w:r>
      <w:r w:rsidRPr="00443A61">
        <w:rPr>
          <w:rFonts w:ascii="Aptos" w:hAnsi="Aptos"/>
        </w:rPr>
        <w:tab/>
        <w:t>WorldPop, Global 1km Population. University of Southampton. https://doi.org/10.5258/SOTON/WP00647. Deposited 2018.</w:t>
      </w:r>
    </w:p>
    <w:p w14:paraId="12D686D6" w14:textId="77777777" w:rsidR="00DC7141" w:rsidRPr="00443A61" w:rsidRDefault="00DC7141" w:rsidP="00DC7141">
      <w:pPr>
        <w:pStyle w:val="Bibliography"/>
        <w:rPr>
          <w:rFonts w:ascii="Aptos" w:hAnsi="Aptos"/>
        </w:rPr>
      </w:pPr>
      <w:r w:rsidRPr="00443A61">
        <w:rPr>
          <w:rFonts w:ascii="Aptos" w:hAnsi="Aptos"/>
        </w:rPr>
        <w:t xml:space="preserve">9. </w:t>
      </w:r>
      <w:r w:rsidRPr="00443A61">
        <w:rPr>
          <w:rFonts w:ascii="Aptos" w:hAnsi="Aptos"/>
        </w:rPr>
        <w:tab/>
        <w:t>Center For International Earth Science Information Network-CIESIN-Columbia University, Joint Research Centre-JRC-European Commission, Global Urban Polygons and Points Dataset (GUPPD), Version 1. Palisades, NY: NASA Socioeconomic Data and Applications Center (SEDAC). https://doi.org/10.7927/BRQ1-XC29. Deposited 2024.</w:t>
      </w:r>
    </w:p>
    <w:p w14:paraId="4AFF8400" w14:textId="77777777" w:rsidR="00DC7141" w:rsidRPr="00443A61" w:rsidRDefault="00DC7141" w:rsidP="00DC7141">
      <w:pPr>
        <w:pStyle w:val="Bibliography"/>
        <w:rPr>
          <w:rFonts w:ascii="Aptos" w:hAnsi="Aptos"/>
        </w:rPr>
      </w:pPr>
      <w:r w:rsidRPr="00443A61">
        <w:rPr>
          <w:rFonts w:ascii="Aptos" w:hAnsi="Aptos"/>
        </w:rPr>
        <w:t xml:space="preserve">10. </w:t>
      </w:r>
      <w:r w:rsidRPr="00443A61">
        <w:rPr>
          <w:rFonts w:ascii="Aptos" w:hAnsi="Aptos"/>
        </w:rPr>
        <w:tab/>
        <w:t>O. Taherzadeh, A. Schoorlemmer, P. Behrens, M. Bruckner, H. Cai, Mapping high-impact groups across dietary sustainability and nutrition. [Preprint] (2025). Available at: https://www.researchsquare.com/article/rs-7188924/v1.</w:t>
      </w:r>
    </w:p>
    <w:p w14:paraId="4777E00C" w14:textId="77777777" w:rsidR="00DC7141" w:rsidRPr="00443A61" w:rsidRDefault="00DC7141" w:rsidP="00DC7141">
      <w:pPr>
        <w:pStyle w:val="Bibliography"/>
        <w:rPr>
          <w:rFonts w:ascii="Aptos" w:hAnsi="Aptos"/>
        </w:rPr>
      </w:pPr>
      <w:r w:rsidRPr="00443A61">
        <w:rPr>
          <w:rFonts w:ascii="Aptos" w:hAnsi="Aptos"/>
        </w:rPr>
        <w:t xml:space="preserve">11. </w:t>
      </w:r>
      <w:r w:rsidRPr="00443A61">
        <w:rPr>
          <w:rFonts w:ascii="Aptos" w:hAnsi="Aptos"/>
        </w:rPr>
        <w:tab/>
        <w:t>FAOSTAT. Available at: https://www.fao.org/faostat/en/#home.</w:t>
      </w:r>
    </w:p>
    <w:p w14:paraId="5CDB035A" w14:textId="77777777" w:rsidR="00DC7141" w:rsidRPr="00443A61" w:rsidRDefault="00DC7141" w:rsidP="00DC7141">
      <w:pPr>
        <w:pStyle w:val="Bibliography"/>
        <w:rPr>
          <w:rFonts w:ascii="Aptos" w:hAnsi="Aptos"/>
        </w:rPr>
      </w:pPr>
      <w:r w:rsidRPr="00443A61">
        <w:rPr>
          <w:rFonts w:ascii="Aptos" w:hAnsi="Aptos"/>
        </w:rPr>
        <w:lastRenderedPageBreak/>
        <w:t xml:space="preserve">12. </w:t>
      </w:r>
      <w:r w:rsidRPr="00443A61">
        <w:rPr>
          <w:rFonts w:ascii="Aptos" w:hAnsi="Aptos"/>
        </w:rPr>
        <w:tab/>
        <w:t>World Development Indicators | DataBank. Available at: https://databank.worldbank.org/source/world-development-indicators.</w:t>
      </w:r>
    </w:p>
    <w:p w14:paraId="591C691D" w14:textId="77777777" w:rsidR="00DC7141" w:rsidRPr="00443A61" w:rsidRDefault="00DC7141" w:rsidP="00DC7141">
      <w:pPr>
        <w:pStyle w:val="Bibliography"/>
        <w:rPr>
          <w:rFonts w:ascii="Aptos" w:hAnsi="Aptos"/>
        </w:rPr>
      </w:pPr>
      <w:r w:rsidRPr="00443A61">
        <w:rPr>
          <w:rFonts w:ascii="Aptos" w:hAnsi="Aptos"/>
        </w:rPr>
        <w:t xml:space="preserve">13. </w:t>
      </w:r>
      <w:r w:rsidRPr="00443A61">
        <w:rPr>
          <w:rFonts w:ascii="Aptos" w:hAnsi="Aptos"/>
        </w:rPr>
        <w:tab/>
        <w:t xml:space="preserve">M. Kummu, M. Kosonen, S. Masoumzadeh Sayyar, Downscaled gridded global dataset for gross domestic product (GDP) per capita PPP over 1990–2022. </w:t>
      </w:r>
      <w:r w:rsidRPr="00443A61">
        <w:rPr>
          <w:rFonts w:ascii="Aptos" w:hAnsi="Aptos"/>
          <w:i/>
          <w:iCs/>
        </w:rPr>
        <w:t>Sci Data</w:t>
      </w:r>
      <w:r w:rsidRPr="00443A61">
        <w:rPr>
          <w:rFonts w:ascii="Aptos" w:hAnsi="Aptos"/>
        </w:rPr>
        <w:t xml:space="preserve"> </w:t>
      </w:r>
      <w:r w:rsidRPr="00443A61">
        <w:rPr>
          <w:rFonts w:ascii="Aptos" w:hAnsi="Aptos"/>
          <w:b/>
          <w:bCs/>
        </w:rPr>
        <w:t>12</w:t>
      </w:r>
      <w:r w:rsidRPr="00443A61">
        <w:rPr>
          <w:rFonts w:ascii="Aptos" w:hAnsi="Aptos"/>
        </w:rPr>
        <w:t>, 178 (2025).</w:t>
      </w:r>
    </w:p>
    <w:p w14:paraId="31F95A13" w14:textId="77777777" w:rsidR="00DC7141" w:rsidRPr="00443A61" w:rsidRDefault="00DC7141" w:rsidP="00DC7141">
      <w:pPr>
        <w:pStyle w:val="Bibliography"/>
        <w:rPr>
          <w:rFonts w:ascii="Aptos" w:hAnsi="Aptos"/>
        </w:rPr>
      </w:pPr>
      <w:r w:rsidRPr="00443A61">
        <w:rPr>
          <w:rFonts w:ascii="Aptos" w:hAnsi="Aptos"/>
        </w:rPr>
        <w:t xml:space="preserve">14. </w:t>
      </w:r>
      <w:r w:rsidRPr="00443A61">
        <w:rPr>
          <w:rFonts w:ascii="Aptos" w:hAnsi="Aptos"/>
        </w:rPr>
        <w:tab/>
        <w:t>Center For International Earth Science Information Network-CIESIN-Columbia University, Joint Research Centre-JRC-European Commission, Global Urban Polygons and Points Dataset (GUPPD), Version 1. Palisades, NY: NASA Socioeconomic Data and Applications Center (SEDAC). https://doi.org/10.7927/BRQ1-XC29. Deposited 2024.</w:t>
      </w:r>
    </w:p>
    <w:p w14:paraId="46014AE4" w14:textId="77777777" w:rsidR="00DC7141" w:rsidRPr="00443A61" w:rsidRDefault="00DC7141" w:rsidP="00DC7141">
      <w:pPr>
        <w:pStyle w:val="Bibliography"/>
        <w:rPr>
          <w:rFonts w:ascii="Aptos" w:hAnsi="Aptos"/>
        </w:rPr>
      </w:pPr>
      <w:r w:rsidRPr="00443A61">
        <w:rPr>
          <w:rFonts w:ascii="Aptos" w:hAnsi="Aptos"/>
        </w:rPr>
        <w:t xml:space="preserve">15. </w:t>
      </w:r>
      <w:r w:rsidRPr="00443A61">
        <w:rPr>
          <w:rFonts w:ascii="Aptos" w:hAnsi="Aptos"/>
        </w:rPr>
        <w:tab/>
        <w:t xml:space="preserve">M. Springmann, Estimates of energy intake, requirements and imbalances based on anthropometric measurements at global, regional and national levels and for sociodemographic groups: a modelling study. </w:t>
      </w:r>
      <w:r w:rsidRPr="00443A61">
        <w:rPr>
          <w:rFonts w:ascii="Aptos" w:hAnsi="Aptos"/>
          <w:i/>
          <w:iCs/>
        </w:rPr>
        <w:t>bmjph</w:t>
      </w:r>
      <w:r w:rsidRPr="00443A61">
        <w:rPr>
          <w:rFonts w:ascii="Aptos" w:hAnsi="Aptos"/>
        </w:rPr>
        <w:t xml:space="preserve"> </w:t>
      </w:r>
      <w:r w:rsidRPr="00443A61">
        <w:rPr>
          <w:rFonts w:ascii="Aptos" w:hAnsi="Aptos"/>
          <w:b/>
          <w:bCs/>
        </w:rPr>
        <w:t>3</w:t>
      </w:r>
      <w:r w:rsidRPr="00443A61">
        <w:rPr>
          <w:rFonts w:ascii="Aptos" w:hAnsi="Aptos"/>
        </w:rPr>
        <w:t xml:space="preserve"> (2025).</w:t>
      </w:r>
    </w:p>
    <w:p w14:paraId="7F3A9D95" w14:textId="172A37C7" w:rsidR="00E430E8" w:rsidRPr="00443A61" w:rsidRDefault="00E430E8" w:rsidP="31D30A5B">
      <w:pPr>
        <w:jc w:val="both"/>
      </w:pPr>
      <w:r w:rsidRPr="00443A61">
        <w:fldChar w:fldCharType="end"/>
      </w:r>
    </w:p>
    <w:sectPr w:rsidR="00E430E8" w:rsidRPr="00443A61" w:rsidSect="00FF0F74">
      <w:footerReference w:type="even" r:id="rId11"/>
      <w:footerReference w:type="default" r:id="rId12"/>
      <w:footerReference w:type="first" r:id="rId13"/>
      <w:pgSz w:w="11906" w:h="16838"/>
      <w:pgMar w:top="1440" w:right="1440" w:bottom="1440" w:left="144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5513B" w14:textId="77777777" w:rsidR="009C44CD" w:rsidRDefault="009C44CD" w:rsidP="00B14636">
      <w:pPr>
        <w:spacing w:after="0" w:line="240" w:lineRule="auto"/>
      </w:pPr>
      <w:r>
        <w:separator/>
      </w:r>
    </w:p>
  </w:endnote>
  <w:endnote w:type="continuationSeparator" w:id="0">
    <w:p w14:paraId="29F9DBE7" w14:textId="77777777" w:rsidR="009C44CD" w:rsidRDefault="009C44CD" w:rsidP="00B146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B6B27" w14:textId="410BFB3B" w:rsidR="00B14636" w:rsidRDefault="00B14636">
    <w:pPr>
      <w:pStyle w:val="Footer"/>
    </w:pPr>
    <w:r>
      <w:rPr>
        <w:noProof/>
      </w:rPr>
      <mc:AlternateContent>
        <mc:Choice Requires="wps">
          <w:drawing>
            <wp:anchor distT="0" distB="0" distL="0" distR="0" simplePos="0" relativeHeight="251658241" behindDoc="0" locked="0" layoutInCell="1" allowOverlap="1" wp14:anchorId="03B1EF1D" wp14:editId="3DC470A2">
              <wp:simplePos x="635" y="635"/>
              <wp:positionH relativeFrom="page">
                <wp:align>left</wp:align>
              </wp:positionH>
              <wp:positionV relativeFrom="page">
                <wp:align>bottom</wp:align>
              </wp:positionV>
              <wp:extent cx="1737360" cy="370205"/>
              <wp:effectExtent l="0" t="0" r="15240" b="0"/>
              <wp:wrapNone/>
              <wp:docPr id="1295107385" name="Text Box 2"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37360" cy="370205"/>
                      </a:xfrm>
                      <a:prstGeom prst="rect">
                        <a:avLst/>
                      </a:prstGeom>
                      <a:noFill/>
                      <a:ln>
                        <a:noFill/>
                      </a:ln>
                    </wps:spPr>
                    <wps:txbx>
                      <w:txbxContent>
                        <w:p w14:paraId="0E95551E" w14:textId="11EF24E9" w:rsidR="00B14636" w:rsidRPr="00B14636" w:rsidRDefault="00B14636" w:rsidP="00B14636">
                          <w:pPr>
                            <w:spacing w:after="0"/>
                            <w:rPr>
                              <w:rFonts w:ascii="Calibri" w:eastAsia="Calibri" w:hAnsi="Calibri" w:cs="Calibri"/>
                              <w:noProof/>
                              <w:color w:val="000000"/>
                              <w:sz w:val="20"/>
                              <w:szCs w:val="20"/>
                            </w:rPr>
                          </w:pPr>
                          <w:r w:rsidRPr="00B14636">
                            <w:rPr>
                              <w:rFonts w:ascii="Calibri" w:eastAsia="Calibri" w:hAnsi="Calibri" w:cs="Calibri"/>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3B1EF1D" id="_x0000_t202" coordsize="21600,21600" o:spt="202" path="m,l,21600r21600,l21600,xe">
              <v:stroke joinstyle="miter"/>
              <v:path gradientshapeok="t" o:connecttype="rect"/>
            </v:shapetype>
            <v:shape id="Text Box 2" o:spid="_x0000_s1026" type="#_x0000_t202" alt="Classified as Internal | Intern" style="position:absolute;margin-left:0;margin-top:0;width:136.8pt;height:29.1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" filled="f" stroked="f">
              <v:textbox style="mso-fit-shape-to-text:t" inset="20pt,0,0,15pt">
                <w:txbxContent>
                  <w:p w14:paraId="0E95551E" w14:textId="11EF24E9" w:rsidR="00B14636" w:rsidRPr="00B14636" w:rsidRDefault="00B14636" w:rsidP="00B14636">
                    <w:pPr>
                      <w:spacing w:after="0"/>
                      <w:rPr>
                        <w:rFonts w:ascii="Calibri" w:eastAsia="Calibri" w:hAnsi="Calibri" w:cs="Calibri"/>
                        <w:noProof/>
                        <w:color w:val="000000"/>
                        <w:sz w:val="20"/>
                        <w:szCs w:val="20"/>
                      </w:rPr>
                    </w:pPr>
                    <w:r w:rsidRPr="00B14636">
                      <w:rPr>
                        <w:rFonts w:ascii="Calibri" w:eastAsia="Calibri" w:hAnsi="Calibri" w:cs="Calibri"/>
                        <w:noProof/>
                        <w:color w:val="000000"/>
                        <w:sz w:val="20"/>
                        <w:szCs w:val="20"/>
                      </w:rPr>
                      <w:t>Classified as Internal | Intern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3441282"/>
      <w:docPartObj>
        <w:docPartGallery w:val="Page Numbers (Bottom of Page)"/>
        <w:docPartUnique/>
      </w:docPartObj>
    </w:sdtPr>
    <w:sdtEndPr>
      <w:rPr>
        <w:noProof/>
      </w:rPr>
    </w:sdtEndPr>
    <w:sdtContent>
      <w:p w14:paraId="5A933E3F" w14:textId="02537D9B" w:rsidR="00FF0F74" w:rsidRDefault="00FF0F74">
        <w:pPr>
          <w:pStyle w:val="Footer"/>
          <w:jc w:val="center"/>
        </w:pPr>
        <w:r>
          <w:rPr>
            <w:rFonts w:hint="eastAsia"/>
          </w:rPr>
          <w:t xml:space="preserve"> </w:t>
        </w:r>
      </w:p>
    </w:sdtContent>
  </w:sdt>
  <w:p w14:paraId="0692712A" w14:textId="46F0F141" w:rsidR="00B14636" w:rsidRDefault="00B146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CF49" w14:textId="6A46D795" w:rsidR="00B14636" w:rsidRDefault="00B14636">
    <w:pPr>
      <w:pStyle w:val="Footer"/>
    </w:pPr>
    <w:r>
      <w:rPr>
        <w:noProof/>
      </w:rPr>
      <mc:AlternateContent>
        <mc:Choice Requires="wps">
          <w:drawing>
            <wp:anchor distT="0" distB="0" distL="0" distR="0" simplePos="0" relativeHeight="251658240" behindDoc="0" locked="0" layoutInCell="1" allowOverlap="1" wp14:anchorId="3AC95B2D" wp14:editId="5A731D0C">
              <wp:simplePos x="635" y="635"/>
              <wp:positionH relativeFrom="page">
                <wp:align>left</wp:align>
              </wp:positionH>
              <wp:positionV relativeFrom="page">
                <wp:align>bottom</wp:align>
              </wp:positionV>
              <wp:extent cx="1737360" cy="370205"/>
              <wp:effectExtent l="0" t="0" r="15240" b="0"/>
              <wp:wrapNone/>
              <wp:docPr id="371884517" name="Text Box 1"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37360" cy="370205"/>
                      </a:xfrm>
                      <a:prstGeom prst="rect">
                        <a:avLst/>
                      </a:prstGeom>
                      <a:noFill/>
                      <a:ln>
                        <a:noFill/>
                      </a:ln>
                    </wps:spPr>
                    <wps:txbx>
                      <w:txbxContent>
                        <w:p w14:paraId="22F589B8" w14:textId="40B117D5" w:rsidR="00B14636" w:rsidRPr="00B14636" w:rsidRDefault="00B14636" w:rsidP="00B14636">
                          <w:pPr>
                            <w:spacing w:after="0"/>
                            <w:rPr>
                              <w:rFonts w:ascii="Calibri" w:eastAsia="Calibri" w:hAnsi="Calibri" w:cs="Calibri"/>
                              <w:noProof/>
                              <w:color w:val="000000"/>
                              <w:sz w:val="20"/>
                              <w:szCs w:val="20"/>
                            </w:rPr>
                          </w:pPr>
                          <w:r w:rsidRPr="00B14636">
                            <w:rPr>
                              <w:rFonts w:ascii="Calibri" w:eastAsia="Calibri" w:hAnsi="Calibri" w:cs="Calibri"/>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AC95B2D" id="_x0000_t202" coordsize="21600,21600" o:spt="202" path="m,l,21600r21600,l21600,xe">
              <v:stroke joinstyle="miter"/>
              <v:path gradientshapeok="t" o:connecttype="rect"/>
            </v:shapetype>
            <v:shape id="Text Box 1" o:spid="_x0000_s1027" type="#_x0000_t202" alt="Classified as Internal | Intern" style="position:absolute;margin-left:0;margin-top:0;width:136.8pt;height:29.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" filled="f" stroked="f">
              <v:textbox style="mso-fit-shape-to-text:t" inset="20pt,0,0,15pt">
                <w:txbxContent>
                  <w:p w14:paraId="22F589B8" w14:textId="40B117D5" w:rsidR="00B14636" w:rsidRPr="00B14636" w:rsidRDefault="00B14636" w:rsidP="00B14636">
                    <w:pPr>
                      <w:spacing w:after="0"/>
                      <w:rPr>
                        <w:rFonts w:ascii="Calibri" w:eastAsia="Calibri" w:hAnsi="Calibri" w:cs="Calibri"/>
                        <w:noProof/>
                        <w:color w:val="000000"/>
                        <w:sz w:val="20"/>
                        <w:szCs w:val="20"/>
                      </w:rPr>
                    </w:pPr>
                    <w:r w:rsidRPr="00B14636">
                      <w:rPr>
                        <w:rFonts w:ascii="Calibri" w:eastAsia="Calibri" w:hAnsi="Calibri" w:cs="Calibri"/>
                        <w:noProof/>
                        <w:color w:val="000000"/>
                        <w:sz w:val="20"/>
                        <w:szCs w:val="20"/>
                      </w:rPr>
                      <w:t>Classified as Internal | Intern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8B7D5" w14:textId="77777777" w:rsidR="009C44CD" w:rsidRDefault="009C44CD" w:rsidP="00B14636">
      <w:pPr>
        <w:spacing w:after="0" w:line="240" w:lineRule="auto"/>
      </w:pPr>
      <w:r>
        <w:separator/>
      </w:r>
    </w:p>
  </w:footnote>
  <w:footnote w:type="continuationSeparator" w:id="0">
    <w:p w14:paraId="1D0B930B" w14:textId="77777777" w:rsidR="009C44CD" w:rsidRDefault="009C44CD" w:rsidP="00B146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939D0"/>
    <w:multiLevelType w:val="hybridMultilevel"/>
    <w:tmpl w:val="585631D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A6750E2"/>
    <w:multiLevelType w:val="hybridMultilevel"/>
    <w:tmpl w:val="DFB6F0EE"/>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3C46935"/>
    <w:multiLevelType w:val="hybridMultilevel"/>
    <w:tmpl w:val="0FB8522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27EC307E"/>
    <w:multiLevelType w:val="hybridMultilevel"/>
    <w:tmpl w:val="797C1AE6"/>
    <w:lvl w:ilvl="0" w:tplc="A9A46C84">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2B534152"/>
    <w:multiLevelType w:val="hybridMultilevel"/>
    <w:tmpl w:val="585631D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1D6698B"/>
    <w:multiLevelType w:val="hybridMultilevel"/>
    <w:tmpl w:val="10B0A430"/>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4C231FFA"/>
    <w:multiLevelType w:val="hybridMultilevel"/>
    <w:tmpl w:val="7C868474"/>
    <w:lvl w:ilvl="0" w:tplc="FF82BEC0">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4C372832"/>
    <w:multiLevelType w:val="hybridMultilevel"/>
    <w:tmpl w:val="4E548134"/>
    <w:lvl w:ilvl="0" w:tplc="D658A1BC">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60D759BA"/>
    <w:multiLevelType w:val="multilevel"/>
    <w:tmpl w:val="1BD4D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E9580E"/>
    <w:multiLevelType w:val="hybridMultilevel"/>
    <w:tmpl w:val="98DEEBA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78744079"/>
    <w:multiLevelType w:val="hybridMultilevel"/>
    <w:tmpl w:val="AE7C4C04"/>
    <w:lvl w:ilvl="0" w:tplc="CC348F30">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819952490">
    <w:abstractNumId w:val="8"/>
  </w:num>
  <w:num w:numId="2" w16cid:durableId="684555655">
    <w:abstractNumId w:val="9"/>
  </w:num>
  <w:num w:numId="3" w16cid:durableId="1370688913">
    <w:abstractNumId w:val="0"/>
  </w:num>
  <w:num w:numId="4" w16cid:durableId="909196948">
    <w:abstractNumId w:val="4"/>
  </w:num>
  <w:num w:numId="5" w16cid:durableId="1090158136">
    <w:abstractNumId w:val="6"/>
  </w:num>
  <w:num w:numId="6" w16cid:durableId="471486525">
    <w:abstractNumId w:val="5"/>
  </w:num>
  <w:num w:numId="7" w16cid:durableId="362445837">
    <w:abstractNumId w:val="3"/>
  </w:num>
  <w:num w:numId="8" w16cid:durableId="1183934827">
    <w:abstractNumId w:val="1"/>
  </w:num>
  <w:num w:numId="9" w16cid:durableId="1271008696">
    <w:abstractNumId w:val="7"/>
  </w:num>
  <w:num w:numId="10" w16cid:durableId="1240754645">
    <w:abstractNumId w:val="10"/>
  </w:num>
  <w:num w:numId="11" w16cid:durableId="1323194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745"/>
    <w:rsid w:val="00003900"/>
    <w:rsid w:val="000326A9"/>
    <w:rsid w:val="00047C3B"/>
    <w:rsid w:val="000504B0"/>
    <w:rsid w:val="000670B3"/>
    <w:rsid w:val="00071479"/>
    <w:rsid w:val="00083998"/>
    <w:rsid w:val="00083D28"/>
    <w:rsid w:val="0009797A"/>
    <w:rsid w:val="000A0096"/>
    <w:rsid w:val="000A26ED"/>
    <w:rsid w:val="000C44B8"/>
    <w:rsid w:val="000C5818"/>
    <w:rsid w:val="000D3B13"/>
    <w:rsid w:val="000D5E62"/>
    <w:rsid w:val="000D6631"/>
    <w:rsid w:val="0010076E"/>
    <w:rsid w:val="00100CA7"/>
    <w:rsid w:val="001052B8"/>
    <w:rsid w:val="001073B4"/>
    <w:rsid w:val="0011588D"/>
    <w:rsid w:val="00124729"/>
    <w:rsid w:val="001473D0"/>
    <w:rsid w:val="00152DCD"/>
    <w:rsid w:val="0015704B"/>
    <w:rsid w:val="00193E69"/>
    <w:rsid w:val="001B45A3"/>
    <w:rsid w:val="001B4948"/>
    <w:rsid w:val="001C0BCD"/>
    <w:rsid w:val="001D026A"/>
    <w:rsid w:val="001D05AF"/>
    <w:rsid w:val="001E0441"/>
    <w:rsid w:val="001E9455"/>
    <w:rsid w:val="001F023E"/>
    <w:rsid w:val="00217DD9"/>
    <w:rsid w:val="00222D6E"/>
    <w:rsid w:val="00232588"/>
    <w:rsid w:val="00233892"/>
    <w:rsid w:val="00235AE8"/>
    <w:rsid w:val="00237589"/>
    <w:rsid w:val="00250B26"/>
    <w:rsid w:val="00251AB9"/>
    <w:rsid w:val="00266663"/>
    <w:rsid w:val="00270AE3"/>
    <w:rsid w:val="00275A10"/>
    <w:rsid w:val="00280E0A"/>
    <w:rsid w:val="00287731"/>
    <w:rsid w:val="002B0E95"/>
    <w:rsid w:val="002D0977"/>
    <w:rsid w:val="002D7002"/>
    <w:rsid w:val="002F5DB4"/>
    <w:rsid w:val="002F6233"/>
    <w:rsid w:val="003122B5"/>
    <w:rsid w:val="0031632C"/>
    <w:rsid w:val="0033541A"/>
    <w:rsid w:val="00342385"/>
    <w:rsid w:val="00362F52"/>
    <w:rsid w:val="00366E0D"/>
    <w:rsid w:val="00367698"/>
    <w:rsid w:val="00382A50"/>
    <w:rsid w:val="003A2B73"/>
    <w:rsid w:val="003A2E73"/>
    <w:rsid w:val="003AC4EF"/>
    <w:rsid w:val="003B338D"/>
    <w:rsid w:val="003B7CE0"/>
    <w:rsid w:val="003C66B0"/>
    <w:rsid w:val="003D4A21"/>
    <w:rsid w:val="003E1491"/>
    <w:rsid w:val="003E3FE6"/>
    <w:rsid w:val="004136C6"/>
    <w:rsid w:val="0042518A"/>
    <w:rsid w:val="00436A1C"/>
    <w:rsid w:val="0043778C"/>
    <w:rsid w:val="0043794B"/>
    <w:rsid w:val="00443A61"/>
    <w:rsid w:val="00453753"/>
    <w:rsid w:val="004557CE"/>
    <w:rsid w:val="00463DBC"/>
    <w:rsid w:val="00471E66"/>
    <w:rsid w:val="0047301F"/>
    <w:rsid w:val="00491007"/>
    <w:rsid w:val="00491CF6"/>
    <w:rsid w:val="00497B05"/>
    <w:rsid w:val="004B00B2"/>
    <w:rsid w:val="004C46A6"/>
    <w:rsid w:val="004E04C5"/>
    <w:rsid w:val="004E44D8"/>
    <w:rsid w:val="004F0CFD"/>
    <w:rsid w:val="004F17B2"/>
    <w:rsid w:val="00501AD9"/>
    <w:rsid w:val="00511C77"/>
    <w:rsid w:val="00530259"/>
    <w:rsid w:val="0053053C"/>
    <w:rsid w:val="0053233E"/>
    <w:rsid w:val="005403BB"/>
    <w:rsid w:val="005725D7"/>
    <w:rsid w:val="0057699A"/>
    <w:rsid w:val="005831C7"/>
    <w:rsid w:val="00593AB2"/>
    <w:rsid w:val="005C5500"/>
    <w:rsid w:val="005C5E69"/>
    <w:rsid w:val="005E1AF3"/>
    <w:rsid w:val="005E4F4C"/>
    <w:rsid w:val="005F205D"/>
    <w:rsid w:val="005F6826"/>
    <w:rsid w:val="00635C35"/>
    <w:rsid w:val="006464D4"/>
    <w:rsid w:val="006628AC"/>
    <w:rsid w:val="00663281"/>
    <w:rsid w:val="00671E41"/>
    <w:rsid w:val="006A249F"/>
    <w:rsid w:val="006A260E"/>
    <w:rsid w:val="006B5151"/>
    <w:rsid w:val="006B5CB8"/>
    <w:rsid w:val="006C72CC"/>
    <w:rsid w:val="006D5879"/>
    <w:rsid w:val="006D5CAD"/>
    <w:rsid w:val="006E0BAF"/>
    <w:rsid w:val="006E6A61"/>
    <w:rsid w:val="00715C97"/>
    <w:rsid w:val="0071681B"/>
    <w:rsid w:val="007222E8"/>
    <w:rsid w:val="0073727E"/>
    <w:rsid w:val="0074446E"/>
    <w:rsid w:val="007517F1"/>
    <w:rsid w:val="00751BA1"/>
    <w:rsid w:val="00751DD9"/>
    <w:rsid w:val="007548E1"/>
    <w:rsid w:val="007667AA"/>
    <w:rsid w:val="007A16C5"/>
    <w:rsid w:val="007D70CB"/>
    <w:rsid w:val="007F608F"/>
    <w:rsid w:val="00822B0D"/>
    <w:rsid w:val="008509A2"/>
    <w:rsid w:val="00855ECC"/>
    <w:rsid w:val="00887AB8"/>
    <w:rsid w:val="00891479"/>
    <w:rsid w:val="008B6DFB"/>
    <w:rsid w:val="008D1641"/>
    <w:rsid w:val="008E13CA"/>
    <w:rsid w:val="008E2745"/>
    <w:rsid w:val="008E62A9"/>
    <w:rsid w:val="008F15CC"/>
    <w:rsid w:val="008F4306"/>
    <w:rsid w:val="008F515E"/>
    <w:rsid w:val="00906029"/>
    <w:rsid w:val="00920E62"/>
    <w:rsid w:val="0093613C"/>
    <w:rsid w:val="00972C53"/>
    <w:rsid w:val="00980ED1"/>
    <w:rsid w:val="009811AD"/>
    <w:rsid w:val="00991DEE"/>
    <w:rsid w:val="0099320E"/>
    <w:rsid w:val="00993BA5"/>
    <w:rsid w:val="00996370"/>
    <w:rsid w:val="009B6077"/>
    <w:rsid w:val="009C075B"/>
    <w:rsid w:val="009C44CD"/>
    <w:rsid w:val="009D28B7"/>
    <w:rsid w:val="009D6853"/>
    <w:rsid w:val="009E72D1"/>
    <w:rsid w:val="009E775D"/>
    <w:rsid w:val="009F7D93"/>
    <w:rsid w:val="00A123B2"/>
    <w:rsid w:val="00A13AFC"/>
    <w:rsid w:val="00A17C24"/>
    <w:rsid w:val="00A242DF"/>
    <w:rsid w:val="00A31750"/>
    <w:rsid w:val="00A635FA"/>
    <w:rsid w:val="00A649DC"/>
    <w:rsid w:val="00A76146"/>
    <w:rsid w:val="00A81CE9"/>
    <w:rsid w:val="00A861AC"/>
    <w:rsid w:val="00A95139"/>
    <w:rsid w:val="00A964FF"/>
    <w:rsid w:val="00AC5F35"/>
    <w:rsid w:val="00AD3BAA"/>
    <w:rsid w:val="00AD461A"/>
    <w:rsid w:val="00AD49A8"/>
    <w:rsid w:val="00AE43FD"/>
    <w:rsid w:val="00AE6FEE"/>
    <w:rsid w:val="00B01BC7"/>
    <w:rsid w:val="00B14636"/>
    <w:rsid w:val="00B14D9A"/>
    <w:rsid w:val="00B25C04"/>
    <w:rsid w:val="00B31E2B"/>
    <w:rsid w:val="00B40109"/>
    <w:rsid w:val="00B4215A"/>
    <w:rsid w:val="00B629F1"/>
    <w:rsid w:val="00B70153"/>
    <w:rsid w:val="00B91241"/>
    <w:rsid w:val="00B95AF2"/>
    <w:rsid w:val="00B9739C"/>
    <w:rsid w:val="00BA45C5"/>
    <w:rsid w:val="00BB4C0A"/>
    <w:rsid w:val="00BBD4DB"/>
    <w:rsid w:val="00BC24C8"/>
    <w:rsid w:val="00BD525C"/>
    <w:rsid w:val="00BF3211"/>
    <w:rsid w:val="00BF423C"/>
    <w:rsid w:val="00C0066F"/>
    <w:rsid w:val="00C04985"/>
    <w:rsid w:val="00C226A2"/>
    <w:rsid w:val="00C25259"/>
    <w:rsid w:val="00C32930"/>
    <w:rsid w:val="00C34358"/>
    <w:rsid w:val="00C5003F"/>
    <w:rsid w:val="00C61742"/>
    <w:rsid w:val="00C97E93"/>
    <w:rsid w:val="00CB0771"/>
    <w:rsid w:val="00CC5CAE"/>
    <w:rsid w:val="00CD2D75"/>
    <w:rsid w:val="00CF1628"/>
    <w:rsid w:val="00D00DBC"/>
    <w:rsid w:val="00D11143"/>
    <w:rsid w:val="00D420BA"/>
    <w:rsid w:val="00D5111E"/>
    <w:rsid w:val="00D53B72"/>
    <w:rsid w:val="00D752E5"/>
    <w:rsid w:val="00D86EAD"/>
    <w:rsid w:val="00D9628A"/>
    <w:rsid w:val="00DA2DA7"/>
    <w:rsid w:val="00DC1231"/>
    <w:rsid w:val="00DC35EC"/>
    <w:rsid w:val="00DC7141"/>
    <w:rsid w:val="00DD6689"/>
    <w:rsid w:val="00DF4670"/>
    <w:rsid w:val="00E010FC"/>
    <w:rsid w:val="00E07CFA"/>
    <w:rsid w:val="00E07DDA"/>
    <w:rsid w:val="00E14BD2"/>
    <w:rsid w:val="00E430E8"/>
    <w:rsid w:val="00E60BFB"/>
    <w:rsid w:val="00E73A7C"/>
    <w:rsid w:val="00E8256A"/>
    <w:rsid w:val="00E86F76"/>
    <w:rsid w:val="00EA44E8"/>
    <w:rsid w:val="00EA5101"/>
    <w:rsid w:val="00EB115E"/>
    <w:rsid w:val="00EB5432"/>
    <w:rsid w:val="00ED39A9"/>
    <w:rsid w:val="00EE4242"/>
    <w:rsid w:val="00F01B12"/>
    <w:rsid w:val="00F1FB0E"/>
    <w:rsid w:val="00F24783"/>
    <w:rsid w:val="00F522FB"/>
    <w:rsid w:val="00F55C63"/>
    <w:rsid w:val="00F7612C"/>
    <w:rsid w:val="00F944E6"/>
    <w:rsid w:val="00FA38A5"/>
    <w:rsid w:val="00FC03BB"/>
    <w:rsid w:val="00FC328E"/>
    <w:rsid w:val="00FD0854"/>
    <w:rsid w:val="00FE092D"/>
    <w:rsid w:val="00FF0F74"/>
    <w:rsid w:val="010023CC"/>
    <w:rsid w:val="01077EDC"/>
    <w:rsid w:val="018B747B"/>
    <w:rsid w:val="019FEAD9"/>
    <w:rsid w:val="01AFE757"/>
    <w:rsid w:val="01B39F67"/>
    <w:rsid w:val="0203501A"/>
    <w:rsid w:val="02B4C3CC"/>
    <w:rsid w:val="02B5BA7D"/>
    <w:rsid w:val="0310B67C"/>
    <w:rsid w:val="0335A3BF"/>
    <w:rsid w:val="03950804"/>
    <w:rsid w:val="03FD5265"/>
    <w:rsid w:val="04454C50"/>
    <w:rsid w:val="04A6BDAC"/>
    <w:rsid w:val="04EAF8FB"/>
    <w:rsid w:val="0505BE2D"/>
    <w:rsid w:val="0569B29B"/>
    <w:rsid w:val="0606CDEB"/>
    <w:rsid w:val="06A21B7D"/>
    <w:rsid w:val="07030E12"/>
    <w:rsid w:val="0743F217"/>
    <w:rsid w:val="0900D8E6"/>
    <w:rsid w:val="09152B82"/>
    <w:rsid w:val="0932D3B6"/>
    <w:rsid w:val="0958E3D9"/>
    <w:rsid w:val="0A313003"/>
    <w:rsid w:val="0A9DCD1E"/>
    <w:rsid w:val="0AC50614"/>
    <w:rsid w:val="0AD521E0"/>
    <w:rsid w:val="0BCD2B24"/>
    <w:rsid w:val="0D9D67BE"/>
    <w:rsid w:val="0E272225"/>
    <w:rsid w:val="0F4E3C9C"/>
    <w:rsid w:val="104BE36F"/>
    <w:rsid w:val="10927817"/>
    <w:rsid w:val="10B59A5A"/>
    <w:rsid w:val="11BCE1BD"/>
    <w:rsid w:val="12175AFF"/>
    <w:rsid w:val="122AA519"/>
    <w:rsid w:val="123915CA"/>
    <w:rsid w:val="12813968"/>
    <w:rsid w:val="1296FAB9"/>
    <w:rsid w:val="12F395DB"/>
    <w:rsid w:val="131C0524"/>
    <w:rsid w:val="1330878F"/>
    <w:rsid w:val="1338CA70"/>
    <w:rsid w:val="136E00DC"/>
    <w:rsid w:val="13A862EB"/>
    <w:rsid w:val="1421FB0A"/>
    <w:rsid w:val="150788BE"/>
    <w:rsid w:val="159A5769"/>
    <w:rsid w:val="16261309"/>
    <w:rsid w:val="16A43737"/>
    <w:rsid w:val="16F61D7F"/>
    <w:rsid w:val="170E408B"/>
    <w:rsid w:val="17E4F47F"/>
    <w:rsid w:val="18EF8F06"/>
    <w:rsid w:val="191FEE44"/>
    <w:rsid w:val="198D1F9C"/>
    <w:rsid w:val="1A2C7F3B"/>
    <w:rsid w:val="1A35DD52"/>
    <w:rsid w:val="1B4E8055"/>
    <w:rsid w:val="1B5D1166"/>
    <w:rsid w:val="1C551E52"/>
    <w:rsid w:val="1C728DAB"/>
    <w:rsid w:val="1CAC3C95"/>
    <w:rsid w:val="1D443E86"/>
    <w:rsid w:val="1D703A3B"/>
    <w:rsid w:val="1EF484C1"/>
    <w:rsid w:val="1F350552"/>
    <w:rsid w:val="1F4B27A4"/>
    <w:rsid w:val="1F5C8AE7"/>
    <w:rsid w:val="1F6BF8D9"/>
    <w:rsid w:val="1FAD59B2"/>
    <w:rsid w:val="1FDB38EA"/>
    <w:rsid w:val="20819ADD"/>
    <w:rsid w:val="20B599EA"/>
    <w:rsid w:val="211441F9"/>
    <w:rsid w:val="22C6082A"/>
    <w:rsid w:val="22CE64A7"/>
    <w:rsid w:val="23E20684"/>
    <w:rsid w:val="24BAECEC"/>
    <w:rsid w:val="24FBF3FB"/>
    <w:rsid w:val="255B78DE"/>
    <w:rsid w:val="25EEF324"/>
    <w:rsid w:val="26815A66"/>
    <w:rsid w:val="28632BDD"/>
    <w:rsid w:val="28860716"/>
    <w:rsid w:val="288C4A03"/>
    <w:rsid w:val="297F7C57"/>
    <w:rsid w:val="2983A452"/>
    <w:rsid w:val="29F9F768"/>
    <w:rsid w:val="2B4E8955"/>
    <w:rsid w:val="2B8B2A43"/>
    <w:rsid w:val="2CDD9209"/>
    <w:rsid w:val="2D1FC743"/>
    <w:rsid w:val="2D748031"/>
    <w:rsid w:val="2DBBE776"/>
    <w:rsid w:val="2DD3A826"/>
    <w:rsid w:val="2ED8B34E"/>
    <w:rsid w:val="2ED9FB1F"/>
    <w:rsid w:val="2F060D0E"/>
    <w:rsid w:val="2FAC3945"/>
    <w:rsid w:val="3048B913"/>
    <w:rsid w:val="3057EA36"/>
    <w:rsid w:val="30CBF342"/>
    <w:rsid w:val="30E835E1"/>
    <w:rsid w:val="3149B487"/>
    <w:rsid w:val="3185CFE2"/>
    <w:rsid w:val="318D92A8"/>
    <w:rsid w:val="31D30A5B"/>
    <w:rsid w:val="323AE43C"/>
    <w:rsid w:val="32DE4D65"/>
    <w:rsid w:val="3300B8AE"/>
    <w:rsid w:val="331FD338"/>
    <w:rsid w:val="3327803E"/>
    <w:rsid w:val="33D20B33"/>
    <w:rsid w:val="346EC4B8"/>
    <w:rsid w:val="348E5B26"/>
    <w:rsid w:val="34C43205"/>
    <w:rsid w:val="3584809C"/>
    <w:rsid w:val="3591A71B"/>
    <w:rsid w:val="3593B055"/>
    <w:rsid w:val="35965541"/>
    <w:rsid w:val="36C575D1"/>
    <w:rsid w:val="38DCB5ED"/>
    <w:rsid w:val="3921FBA3"/>
    <w:rsid w:val="397C0421"/>
    <w:rsid w:val="3A6FBCE7"/>
    <w:rsid w:val="3B2478F2"/>
    <w:rsid w:val="3BA05581"/>
    <w:rsid w:val="3BB0760A"/>
    <w:rsid w:val="3BBEA134"/>
    <w:rsid w:val="3C23E7BA"/>
    <w:rsid w:val="3D0FCF41"/>
    <w:rsid w:val="3D4A128C"/>
    <w:rsid w:val="3DF1C2EE"/>
    <w:rsid w:val="3E62332A"/>
    <w:rsid w:val="3E7F19C5"/>
    <w:rsid w:val="3EB871F7"/>
    <w:rsid w:val="3ED2B48C"/>
    <w:rsid w:val="3EF3D06A"/>
    <w:rsid w:val="3F07C2C4"/>
    <w:rsid w:val="3F700BC0"/>
    <w:rsid w:val="3F890C78"/>
    <w:rsid w:val="40116EC3"/>
    <w:rsid w:val="4019AE97"/>
    <w:rsid w:val="409BF55B"/>
    <w:rsid w:val="40E0A39D"/>
    <w:rsid w:val="4106523C"/>
    <w:rsid w:val="413FC3A9"/>
    <w:rsid w:val="415CE76B"/>
    <w:rsid w:val="4160C2C3"/>
    <w:rsid w:val="41972E4B"/>
    <w:rsid w:val="41D2659C"/>
    <w:rsid w:val="425945E1"/>
    <w:rsid w:val="427EA65A"/>
    <w:rsid w:val="4297A014"/>
    <w:rsid w:val="42C06673"/>
    <w:rsid w:val="441C2F69"/>
    <w:rsid w:val="443B0FA2"/>
    <w:rsid w:val="443FC01A"/>
    <w:rsid w:val="44649E3D"/>
    <w:rsid w:val="44756771"/>
    <w:rsid w:val="4550A016"/>
    <w:rsid w:val="455226B1"/>
    <w:rsid w:val="4593EA4B"/>
    <w:rsid w:val="45970834"/>
    <w:rsid w:val="46D3F8A7"/>
    <w:rsid w:val="4864CF7F"/>
    <w:rsid w:val="48719C14"/>
    <w:rsid w:val="48B66D82"/>
    <w:rsid w:val="48FCFEAF"/>
    <w:rsid w:val="48FE6FA3"/>
    <w:rsid w:val="496B10F5"/>
    <w:rsid w:val="4A0195E6"/>
    <w:rsid w:val="4A1DDE1C"/>
    <w:rsid w:val="4A4CAA29"/>
    <w:rsid w:val="4AD0E24C"/>
    <w:rsid w:val="4B0B0881"/>
    <w:rsid w:val="4B759E89"/>
    <w:rsid w:val="4B9FD470"/>
    <w:rsid w:val="4BB9C248"/>
    <w:rsid w:val="4C391AD6"/>
    <w:rsid w:val="4C4C3F67"/>
    <w:rsid w:val="4D6B897A"/>
    <w:rsid w:val="4E0CD45E"/>
    <w:rsid w:val="4ED6E5AA"/>
    <w:rsid w:val="4FF84FCF"/>
    <w:rsid w:val="50E5A099"/>
    <w:rsid w:val="510DD8C4"/>
    <w:rsid w:val="52084ACB"/>
    <w:rsid w:val="524BA8AB"/>
    <w:rsid w:val="5267B4ED"/>
    <w:rsid w:val="52898550"/>
    <w:rsid w:val="52B25EFB"/>
    <w:rsid w:val="535B04C1"/>
    <w:rsid w:val="536DA431"/>
    <w:rsid w:val="53729400"/>
    <w:rsid w:val="53B9C6F5"/>
    <w:rsid w:val="5464F2F5"/>
    <w:rsid w:val="5548553D"/>
    <w:rsid w:val="55F224CE"/>
    <w:rsid w:val="56CB2317"/>
    <w:rsid w:val="57A73601"/>
    <w:rsid w:val="57C7682D"/>
    <w:rsid w:val="57EAFF2F"/>
    <w:rsid w:val="580D9B66"/>
    <w:rsid w:val="58F05795"/>
    <w:rsid w:val="5A097263"/>
    <w:rsid w:val="5AED3EF6"/>
    <w:rsid w:val="5BAF7568"/>
    <w:rsid w:val="5C470942"/>
    <w:rsid w:val="5C99213C"/>
    <w:rsid w:val="5E460DD3"/>
    <w:rsid w:val="5EDC6111"/>
    <w:rsid w:val="5EDD20D1"/>
    <w:rsid w:val="5F003D12"/>
    <w:rsid w:val="5F1AD5B4"/>
    <w:rsid w:val="5F9B1A97"/>
    <w:rsid w:val="5FA98CAC"/>
    <w:rsid w:val="5FFAA734"/>
    <w:rsid w:val="60769E36"/>
    <w:rsid w:val="623EA524"/>
    <w:rsid w:val="625186B6"/>
    <w:rsid w:val="62D950F4"/>
    <w:rsid w:val="6301F1C9"/>
    <w:rsid w:val="6347A4C4"/>
    <w:rsid w:val="65E14C0E"/>
    <w:rsid w:val="662A2D30"/>
    <w:rsid w:val="66553F85"/>
    <w:rsid w:val="6668B30E"/>
    <w:rsid w:val="674804E3"/>
    <w:rsid w:val="678289E4"/>
    <w:rsid w:val="67DD28BA"/>
    <w:rsid w:val="68EA909C"/>
    <w:rsid w:val="6A570E3A"/>
    <w:rsid w:val="6B0A8D68"/>
    <w:rsid w:val="6B1629B7"/>
    <w:rsid w:val="6DCCB086"/>
    <w:rsid w:val="7002AAAA"/>
    <w:rsid w:val="703F3482"/>
    <w:rsid w:val="73BCBCEA"/>
    <w:rsid w:val="74134643"/>
    <w:rsid w:val="7475AD14"/>
    <w:rsid w:val="74F8F883"/>
    <w:rsid w:val="750227E2"/>
    <w:rsid w:val="752E639A"/>
    <w:rsid w:val="7542178D"/>
    <w:rsid w:val="757CD5C4"/>
    <w:rsid w:val="763661D8"/>
    <w:rsid w:val="7655BBCA"/>
    <w:rsid w:val="76FB8143"/>
    <w:rsid w:val="77212184"/>
    <w:rsid w:val="77708852"/>
    <w:rsid w:val="77CF28AB"/>
    <w:rsid w:val="780C00FD"/>
    <w:rsid w:val="784DD79F"/>
    <w:rsid w:val="78FCDB81"/>
    <w:rsid w:val="797438FA"/>
    <w:rsid w:val="798DF87A"/>
    <w:rsid w:val="7AAFEC00"/>
    <w:rsid w:val="7B24325B"/>
    <w:rsid w:val="7BE18CDF"/>
    <w:rsid w:val="7C96DAB9"/>
    <w:rsid w:val="7C9C8A22"/>
    <w:rsid w:val="7CAD237C"/>
    <w:rsid w:val="7CD66575"/>
    <w:rsid w:val="7CDAAD9B"/>
    <w:rsid w:val="7DBFD598"/>
    <w:rsid w:val="7E861C6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CF628"/>
  <w15:chartTrackingRefBased/>
  <w15:docId w15:val="{07C0B9EB-CE45-43FA-B718-3880091BF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7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27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27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7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27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7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7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7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7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E2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7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745"/>
    <w:rPr>
      <w:rFonts w:eastAsiaTheme="majorEastAsia" w:cstheme="majorBidi"/>
      <w:color w:val="272727" w:themeColor="text1" w:themeTint="D8"/>
    </w:rPr>
  </w:style>
  <w:style w:type="paragraph" w:styleId="Title">
    <w:name w:val="Title"/>
    <w:basedOn w:val="Normal"/>
    <w:next w:val="Normal"/>
    <w:link w:val="TitleChar"/>
    <w:uiPriority w:val="10"/>
    <w:qFormat/>
    <w:rsid w:val="008E27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7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745"/>
    <w:pPr>
      <w:spacing w:before="160"/>
      <w:jc w:val="center"/>
    </w:pPr>
    <w:rPr>
      <w:i/>
      <w:iCs/>
      <w:color w:val="404040" w:themeColor="text1" w:themeTint="BF"/>
    </w:rPr>
  </w:style>
  <w:style w:type="character" w:customStyle="1" w:styleId="QuoteChar">
    <w:name w:val="Quote Char"/>
    <w:basedOn w:val="DefaultParagraphFont"/>
    <w:link w:val="Quote"/>
    <w:uiPriority w:val="29"/>
    <w:rsid w:val="008E2745"/>
    <w:rPr>
      <w:i/>
      <w:iCs/>
      <w:color w:val="404040" w:themeColor="text1" w:themeTint="BF"/>
    </w:rPr>
  </w:style>
  <w:style w:type="paragraph" w:styleId="ListParagraph">
    <w:name w:val="List Paragraph"/>
    <w:basedOn w:val="Normal"/>
    <w:uiPriority w:val="34"/>
    <w:qFormat/>
    <w:rsid w:val="008E2745"/>
    <w:pPr>
      <w:ind w:left="720"/>
      <w:contextualSpacing/>
    </w:pPr>
  </w:style>
  <w:style w:type="character" w:styleId="IntenseEmphasis">
    <w:name w:val="Intense Emphasis"/>
    <w:basedOn w:val="DefaultParagraphFont"/>
    <w:uiPriority w:val="21"/>
    <w:qFormat/>
    <w:rsid w:val="008E2745"/>
    <w:rPr>
      <w:i/>
      <w:iCs/>
      <w:color w:val="0F4761" w:themeColor="accent1" w:themeShade="BF"/>
    </w:rPr>
  </w:style>
  <w:style w:type="paragraph" w:styleId="IntenseQuote">
    <w:name w:val="Intense Quote"/>
    <w:basedOn w:val="Normal"/>
    <w:next w:val="Normal"/>
    <w:link w:val="IntenseQuoteChar"/>
    <w:uiPriority w:val="30"/>
    <w:qFormat/>
    <w:rsid w:val="008E27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745"/>
    <w:rPr>
      <w:i/>
      <w:iCs/>
      <w:color w:val="0F4761" w:themeColor="accent1" w:themeShade="BF"/>
    </w:rPr>
  </w:style>
  <w:style w:type="character" w:styleId="IntenseReference">
    <w:name w:val="Intense Reference"/>
    <w:basedOn w:val="DefaultParagraphFont"/>
    <w:uiPriority w:val="32"/>
    <w:qFormat/>
    <w:rsid w:val="008E2745"/>
    <w:rPr>
      <w:b/>
      <w:bCs/>
      <w:smallCaps/>
      <w:color w:val="0F4761" w:themeColor="accent1" w:themeShade="BF"/>
      <w:spacing w:val="5"/>
    </w:rPr>
  </w:style>
  <w:style w:type="paragraph" w:styleId="Footer">
    <w:name w:val="footer"/>
    <w:basedOn w:val="Normal"/>
    <w:link w:val="FooterChar"/>
    <w:uiPriority w:val="99"/>
    <w:unhideWhenUsed/>
    <w:rsid w:val="00B146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4636"/>
  </w:style>
  <w:style w:type="paragraph" w:styleId="NormalWeb">
    <w:name w:val="Normal (Web)"/>
    <w:basedOn w:val="Normal"/>
    <w:uiPriority w:val="99"/>
    <w:semiHidden/>
    <w:unhideWhenUsed/>
    <w:rsid w:val="00B31E2B"/>
    <w:rPr>
      <w:rFonts w:ascii="Times New Roman" w:hAnsi="Times New Roman" w:cs="Times New Roman"/>
    </w:rPr>
  </w:style>
  <w:style w:type="paragraph" w:styleId="Header">
    <w:name w:val="header"/>
    <w:basedOn w:val="Normal"/>
    <w:link w:val="HeaderChar"/>
    <w:uiPriority w:val="99"/>
    <w:unhideWhenUsed/>
    <w:rsid w:val="008F43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306"/>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8E62A9"/>
    <w:rPr>
      <w:b/>
      <w:bCs/>
    </w:rPr>
  </w:style>
  <w:style w:type="character" w:customStyle="1" w:styleId="CommentSubjectChar">
    <w:name w:val="Comment Subject Char"/>
    <w:basedOn w:val="CommentTextChar"/>
    <w:link w:val="CommentSubject"/>
    <w:uiPriority w:val="99"/>
    <w:semiHidden/>
    <w:rsid w:val="008E62A9"/>
    <w:rPr>
      <w:b/>
      <w:bCs/>
      <w:sz w:val="20"/>
      <w:szCs w:val="20"/>
    </w:rPr>
  </w:style>
  <w:style w:type="table" w:styleId="TableGrid">
    <w:name w:val="Table Grid"/>
    <w:basedOn w:val="TableNormal"/>
    <w:uiPriority w:val="59"/>
    <w:rsid w:val="00FB4123"/>
    <w:pPr>
      <w:spacing w:after="0" w:line="240" w:lineRule="auto"/>
    </w:pPr>
    <w:tblPr/>
  </w:style>
  <w:style w:type="character" w:styleId="LineNumber">
    <w:name w:val="line number"/>
    <w:basedOn w:val="DefaultParagraphFont"/>
    <w:uiPriority w:val="99"/>
    <w:semiHidden/>
    <w:unhideWhenUsed/>
    <w:rsid w:val="00250B26"/>
  </w:style>
  <w:style w:type="paragraph" w:styleId="EndnoteText">
    <w:name w:val="endnote text"/>
    <w:basedOn w:val="Normal"/>
    <w:link w:val="EndnoteTextChar"/>
    <w:uiPriority w:val="99"/>
    <w:semiHidden/>
    <w:unhideWhenUsed/>
    <w:rsid w:val="00C6174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61742"/>
    <w:rPr>
      <w:sz w:val="20"/>
      <w:szCs w:val="20"/>
    </w:rPr>
  </w:style>
  <w:style w:type="character" w:styleId="EndnoteReference">
    <w:name w:val="endnote reference"/>
    <w:basedOn w:val="DefaultParagraphFont"/>
    <w:uiPriority w:val="99"/>
    <w:semiHidden/>
    <w:unhideWhenUsed/>
    <w:rsid w:val="00C61742"/>
    <w:rPr>
      <w:vertAlign w:val="superscript"/>
    </w:rPr>
  </w:style>
  <w:style w:type="paragraph" w:styleId="TOCHeading">
    <w:name w:val="TOC Heading"/>
    <w:basedOn w:val="Heading1"/>
    <w:next w:val="Normal"/>
    <w:uiPriority w:val="39"/>
    <w:unhideWhenUsed/>
    <w:qFormat/>
    <w:rsid w:val="00C61742"/>
    <w:pPr>
      <w:spacing w:before="240" w:after="0" w:line="259" w:lineRule="auto"/>
      <w:outlineLvl w:val="9"/>
    </w:pPr>
    <w:rPr>
      <w:kern w:val="0"/>
      <w:sz w:val="32"/>
      <w:szCs w:val="32"/>
      <w:lang w:eastAsia="en-US"/>
      <w14:ligatures w14:val="none"/>
    </w:rPr>
  </w:style>
  <w:style w:type="paragraph" w:styleId="TOC1">
    <w:name w:val="toc 1"/>
    <w:basedOn w:val="Normal"/>
    <w:next w:val="Normal"/>
    <w:autoRedefine/>
    <w:uiPriority w:val="39"/>
    <w:unhideWhenUsed/>
    <w:rsid w:val="00C61742"/>
    <w:pPr>
      <w:spacing w:after="100"/>
    </w:pPr>
  </w:style>
  <w:style w:type="paragraph" w:styleId="TOC2">
    <w:name w:val="toc 2"/>
    <w:basedOn w:val="Normal"/>
    <w:next w:val="Normal"/>
    <w:autoRedefine/>
    <w:uiPriority w:val="39"/>
    <w:unhideWhenUsed/>
    <w:rsid w:val="00C61742"/>
    <w:pPr>
      <w:spacing w:after="100"/>
      <w:ind w:left="240"/>
    </w:pPr>
  </w:style>
  <w:style w:type="character" w:styleId="Hyperlink">
    <w:name w:val="Hyperlink"/>
    <w:basedOn w:val="DefaultParagraphFont"/>
    <w:uiPriority w:val="99"/>
    <w:unhideWhenUsed/>
    <w:rsid w:val="00C61742"/>
    <w:rPr>
      <w:color w:val="467886" w:themeColor="hyperlink"/>
      <w:u w:val="single"/>
    </w:rPr>
  </w:style>
  <w:style w:type="paragraph" w:styleId="FootnoteText">
    <w:name w:val="footnote text"/>
    <w:basedOn w:val="Normal"/>
    <w:link w:val="FootnoteTextChar"/>
    <w:uiPriority w:val="99"/>
    <w:semiHidden/>
    <w:unhideWhenUsed/>
    <w:rsid w:val="00FE09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092D"/>
    <w:rPr>
      <w:sz w:val="20"/>
      <w:szCs w:val="20"/>
    </w:rPr>
  </w:style>
  <w:style w:type="character" w:styleId="FootnoteReference">
    <w:name w:val="footnote reference"/>
    <w:basedOn w:val="DefaultParagraphFont"/>
    <w:uiPriority w:val="99"/>
    <w:semiHidden/>
    <w:unhideWhenUsed/>
    <w:rsid w:val="00FE092D"/>
    <w:rPr>
      <w:vertAlign w:val="superscript"/>
    </w:rPr>
  </w:style>
  <w:style w:type="paragraph" w:styleId="Bibliography">
    <w:name w:val="Bibliography"/>
    <w:basedOn w:val="Normal"/>
    <w:next w:val="Normal"/>
    <w:uiPriority w:val="37"/>
    <w:unhideWhenUsed/>
    <w:rsid w:val="00E430E8"/>
    <w:pPr>
      <w:tabs>
        <w:tab w:val="left" w:pos="504"/>
      </w:tabs>
      <w:spacing w:after="240" w:line="240" w:lineRule="auto"/>
      <w:ind w:left="504" w:hanging="504"/>
    </w:pPr>
  </w:style>
  <w:style w:type="character" w:styleId="Mention">
    <w:name w:val="Mention"/>
    <w:basedOn w:val="DefaultParagraphFont"/>
    <w:uiPriority w:val="99"/>
    <w:unhideWhenUsed/>
    <w:rsid w:val="0074446E"/>
    <w:rPr>
      <w:color w:val="2B579A"/>
      <w:shd w:val="clear" w:color="auto" w:fill="E1DFDD"/>
    </w:rPr>
  </w:style>
  <w:style w:type="paragraph" w:styleId="Revision">
    <w:name w:val="Revision"/>
    <w:hidden/>
    <w:uiPriority w:val="99"/>
    <w:semiHidden/>
    <w:rsid w:val="003B7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681008">
      <w:bodyDiv w:val="1"/>
      <w:marLeft w:val="0"/>
      <w:marRight w:val="0"/>
      <w:marTop w:val="0"/>
      <w:marBottom w:val="0"/>
      <w:divBdr>
        <w:top w:val="none" w:sz="0" w:space="0" w:color="auto"/>
        <w:left w:val="none" w:sz="0" w:space="0" w:color="auto"/>
        <w:bottom w:val="none" w:sz="0" w:space="0" w:color="auto"/>
        <w:right w:val="none" w:sz="0" w:space="0" w:color="auto"/>
      </w:divBdr>
      <w:divsChild>
        <w:div w:id="4321714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6586822">
      <w:bodyDiv w:val="1"/>
      <w:marLeft w:val="0"/>
      <w:marRight w:val="0"/>
      <w:marTop w:val="0"/>
      <w:marBottom w:val="0"/>
      <w:divBdr>
        <w:top w:val="none" w:sz="0" w:space="0" w:color="auto"/>
        <w:left w:val="none" w:sz="0" w:space="0" w:color="auto"/>
        <w:bottom w:val="none" w:sz="0" w:space="0" w:color="auto"/>
        <w:right w:val="none" w:sz="0" w:space="0" w:color="auto"/>
      </w:divBdr>
    </w:div>
    <w:div w:id="396588954">
      <w:bodyDiv w:val="1"/>
      <w:marLeft w:val="0"/>
      <w:marRight w:val="0"/>
      <w:marTop w:val="0"/>
      <w:marBottom w:val="0"/>
      <w:divBdr>
        <w:top w:val="none" w:sz="0" w:space="0" w:color="auto"/>
        <w:left w:val="none" w:sz="0" w:space="0" w:color="auto"/>
        <w:bottom w:val="none" w:sz="0" w:space="0" w:color="auto"/>
        <w:right w:val="none" w:sz="0" w:space="0" w:color="auto"/>
      </w:divBdr>
    </w:div>
    <w:div w:id="676924704">
      <w:bodyDiv w:val="1"/>
      <w:marLeft w:val="0"/>
      <w:marRight w:val="0"/>
      <w:marTop w:val="0"/>
      <w:marBottom w:val="0"/>
      <w:divBdr>
        <w:top w:val="none" w:sz="0" w:space="0" w:color="auto"/>
        <w:left w:val="none" w:sz="0" w:space="0" w:color="auto"/>
        <w:bottom w:val="none" w:sz="0" w:space="0" w:color="auto"/>
        <w:right w:val="none" w:sz="0" w:space="0" w:color="auto"/>
      </w:divBdr>
      <w:divsChild>
        <w:div w:id="610862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3263120">
      <w:bodyDiv w:val="1"/>
      <w:marLeft w:val="0"/>
      <w:marRight w:val="0"/>
      <w:marTop w:val="0"/>
      <w:marBottom w:val="0"/>
      <w:divBdr>
        <w:top w:val="none" w:sz="0" w:space="0" w:color="auto"/>
        <w:left w:val="none" w:sz="0" w:space="0" w:color="auto"/>
        <w:bottom w:val="none" w:sz="0" w:space="0" w:color="auto"/>
        <w:right w:val="none" w:sz="0" w:space="0" w:color="auto"/>
      </w:divBdr>
    </w:div>
    <w:div w:id="1038747021">
      <w:bodyDiv w:val="1"/>
      <w:marLeft w:val="0"/>
      <w:marRight w:val="0"/>
      <w:marTop w:val="0"/>
      <w:marBottom w:val="0"/>
      <w:divBdr>
        <w:top w:val="none" w:sz="0" w:space="0" w:color="auto"/>
        <w:left w:val="none" w:sz="0" w:space="0" w:color="auto"/>
        <w:bottom w:val="none" w:sz="0" w:space="0" w:color="auto"/>
        <w:right w:val="none" w:sz="0" w:space="0" w:color="auto"/>
      </w:divBdr>
    </w:div>
    <w:div w:id="1362171978">
      <w:bodyDiv w:val="1"/>
      <w:marLeft w:val="0"/>
      <w:marRight w:val="0"/>
      <w:marTop w:val="0"/>
      <w:marBottom w:val="0"/>
      <w:divBdr>
        <w:top w:val="none" w:sz="0" w:space="0" w:color="auto"/>
        <w:left w:val="none" w:sz="0" w:space="0" w:color="auto"/>
        <w:bottom w:val="none" w:sz="0" w:space="0" w:color="auto"/>
        <w:right w:val="none" w:sz="0" w:space="0" w:color="auto"/>
      </w:divBdr>
    </w:div>
    <w:div w:id="1796556146">
      <w:bodyDiv w:val="1"/>
      <w:marLeft w:val="0"/>
      <w:marRight w:val="0"/>
      <w:marTop w:val="0"/>
      <w:marBottom w:val="0"/>
      <w:divBdr>
        <w:top w:val="none" w:sz="0" w:space="0" w:color="auto"/>
        <w:left w:val="none" w:sz="0" w:space="0" w:color="auto"/>
        <w:bottom w:val="none" w:sz="0" w:space="0" w:color="auto"/>
        <w:right w:val="none" w:sz="0" w:space="0" w:color="auto"/>
      </w:divBdr>
    </w:div>
    <w:div w:id="1845046211">
      <w:bodyDiv w:val="1"/>
      <w:marLeft w:val="0"/>
      <w:marRight w:val="0"/>
      <w:marTop w:val="0"/>
      <w:marBottom w:val="0"/>
      <w:divBdr>
        <w:top w:val="none" w:sz="0" w:space="0" w:color="auto"/>
        <w:left w:val="none" w:sz="0" w:space="0" w:color="auto"/>
        <w:bottom w:val="none" w:sz="0" w:space="0" w:color="auto"/>
        <w:right w:val="none" w:sz="0" w:space="0" w:color="auto"/>
      </w:divBdr>
    </w:div>
    <w:div w:id="206590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1CED08-4CE0-4C81-9A86-9A00E878D56D}">
  <ds:schemaRefs>
    <ds:schemaRef ds:uri="http://schemas.openxmlformats.org/officeDocument/2006/bibliography"/>
  </ds:schemaRefs>
</ds:datastoreItem>
</file>

<file path=docMetadata/LabelInfo.xml><?xml version="1.0" encoding="utf-8"?>
<clbl:labelList xmlns:clbl="http://schemas.microsoft.com/office/2020/mipLabelMetadata">
  <clbl:label id="{d465f887-04a9-4c17-8b62-103eddccf68b}" enabled="1" method="Standard" siteId="{ca2a7f76-dbd7-4ec0-9108-6b3d524fb7c8}" removed="0"/>
</clbl:labelList>
</file>

<file path=docProps/app.xml><?xml version="1.0" encoding="utf-8"?>
<Properties xmlns="http://schemas.openxmlformats.org/officeDocument/2006/extended-properties" xmlns:vt="http://schemas.openxmlformats.org/officeDocument/2006/docPropsVTypes">
  <Template>Normal</Template>
  <TotalTime>0</TotalTime>
  <Pages>12</Pages>
  <Words>7471</Words>
  <Characters>42585</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Hongyi Cai</dc:creator>
  <cp:keywords/>
  <dc:description/>
  <cp:lastModifiedBy>Hongyi Cai</cp:lastModifiedBy>
  <cp:revision>4</cp:revision>
  <dcterms:created xsi:type="dcterms:W3CDTF">2026-02-09T13:13:00Z</dcterms:created>
  <dcterms:modified xsi:type="dcterms:W3CDTF">2026-02-09T13:18:00Z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162a81e5,4d31c539,25eedb45</vt:lpwstr>
  </property>
  <property fmtid="{D5CDD505-2E9C-101B-9397-08002B2CF9AE}" pid="3" name="ClassificationContentMarkingFooterFontProps">
    <vt:lpwstr>#000000,10,Calibri</vt:lpwstr>
  </property>
  <property fmtid="{D5CDD505-2E9C-101B-9397-08002B2CF9AE}" pid="4" name="ClassificationContentMarkingFooterText">
    <vt:lpwstr>Classified as Internal | Intern</vt:lpwstr>
  </property>
  <property fmtid="{D5CDD505-2E9C-101B-9397-08002B2CF9AE}" pid="5" name="MSIP_Label_d465f887-04a9-4c17-8b62-103eddccf68b_Enabled">
    <vt:lpwstr>true</vt:lpwstr>
  </property>
  <property fmtid="{D5CDD505-2E9C-101B-9397-08002B2CF9AE}" pid="6" name="MSIP_Label_d465f887-04a9-4c17-8b62-103eddccf68b_SetDate">
    <vt:lpwstr>2025-11-03T12:36:42Z</vt:lpwstr>
  </property>
  <property fmtid="{D5CDD505-2E9C-101B-9397-08002B2CF9AE}" pid="7" name="MSIP_Label_d465f887-04a9-4c17-8b62-103eddccf68b_Method">
    <vt:lpwstr>Standard</vt:lpwstr>
  </property>
  <property fmtid="{D5CDD505-2E9C-101B-9397-08002B2CF9AE}" pid="8" name="MSIP_Label_d465f887-04a9-4c17-8b62-103eddccf68b_Name">
    <vt:lpwstr>Internal - Intern</vt:lpwstr>
  </property>
  <property fmtid="{D5CDD505-2E9C-101B-9397-08002B2CF9AE}" pid="9" name="MSIP_Label_d465f887-04a9-4c17-8b62-103eddccf68b_SiteId">
    <vt:lpwstr>ca2a7f76-dbd7-4ec0-9108-6b3d524fb7c8</vt:lpwstr>
  </property>
  <property fmtid="{D5CDD505-2E9C-101B-9397-08002B2CF9AE}" pid="10" name="MSIP_Label_d465f887-04a9-4c17-8b62-103eddccf68b_ActionId">
    <vt:lpwstr>bb8879b7-6e44-4a3c-a159-0c731010ced8</vt:lpwstr>
  </property>
  <property fmtid="{D5CDD505-2E9C-101B-9397-08002B2CF9AE}" pid="11" name="MSIP_Label_d465f887-04a9-4c17-8b62-103eddccf68b_ContentBits">
    <vt:lpwstr>2</vt:lpwstr>
  </property>
  <property fmtid="{D5CDD505-2E9C-101B-9397-08002B2CF9AE}" pid="12" name="MSIP_Label_d465f887-04a9-4c17-8b62-103eddccf68b_Tag">
    <vt:lpwstr>10, 3, 0, 1</vt:lpwstr>
  </property>
  <property fmtid="{D5CDD505-2E9C-101B-9397-08002B2CF9AE}" pid="13" name="ZOTERO_PREF_1">
    <vt:lpwstr>&lt;data data-version="3" zotero-version="7.0.32"&gt;&lt;session id="nnJuiZe2"/&gt;&lt;style id="http://www.zotero.org/styles/pnas" hasBibliography="1" bibliographyStyleHasBeenSet="1"/&gt;&lt;prefs&gt;&lt;pref name="fieldType" value="Field"/&gt;&lt;/prefs&gt;&lt;/data&gt;</vt:lpwstr>
  </property>
</Properties>
</file>