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D1BBC" w14:textId="77777777" w:rsidR="00856BC8" w:rsidRDefault="00856BC8" w:rsidP="00856BC8">
      <w:pPr>
        <w:spacing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It’s Not What You Do, it’s What I Expect: The Role of Perceivers’ Predictions in Shaping Social Perception.</w:t>
      </w:r>
    </w:p>
    <w:p w14:paraId="2638F921" w14:textId="77777777" w:rsidR="00CD5456" w:rsidRDefault="00CD5456" w:rsidP="00CD5456">
      <w:pPr>
        <w:spacing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"/>
        </w:rPr>
        <w:t>Authors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ES"/>
        </w:rPr>
        <w:t>:</w:t>
      </w:r>
    </w:p>
    <w:p w14:paraId="72BA301E" w14:textId="77777777" w:rsidR="00CD5456" w:rsidRDefault="00CD5456" w:rsidP="00CD545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Carlos Ventura-Bort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s-ES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, Pilar Segarra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s-ES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, Pablo Ribes-Guardiola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s-ES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Anita Deak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s-ES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Mathias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 xml:space="preserve"> Weymar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s-ES"/>
        </w:rPr>
        <w:t>1,5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s-ES"/>
        </w:rPr>
        <w:t>, &amp; Rosario Poy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s-ES"/>
        </w:rPr>
        <w:t>2</w:t>
      </w:r>
    </w:p>
    <w:p w14:paraId="6BD4D386" w14:textId="77777777" w:rsidR="00CD5456" w:rsidRDefault="00CD5456" w:rsidP="00CD5456">
      <w:pPr>
        <w:pStyle w:val="Standard1"/>
        <w:spacing w:line="48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/>
          <w:sz w:val="24"/>
          <w:szCs w:val="24"/>
          <w:lang w:val="en-GB"/>
        </w:rPr>
        <w:t>Department of Biological Psychology and Affective Science, Faculty of Human Sciences, University of Potsdam, 14476 Potsdam, Germany</w:t>
      </w:r>
    </w:p>
    <w:p w14:paraId="5EC3B9C8" w14:textId="77777777" w:rsidR="00CD5456" w:rsidRDefault="00CD5456" w:rsidP="00CD5456">
      <w:pPr>
        <w:pStyle w:val="Standard1"/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Affective Neuroscience Lab, Department of Basic and Clinical Psychology, and Psychobiology,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Universitat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Jaume I,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Castelló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Spain</w:t>
      </w:r>
    </w:p>
    <w:p w14:paraId="15BB2279" w14:textId="77777777" w:rsidR="00CD5456" w:rsidRDefault="00CD5456" w:rsidP="00CD5456">
      <w:pPr>
        <w:pStyle w:val="Standard1"/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University of Valencia, Valencia, Spain</w:t>
      </w:r>
    </w:p>
    <w:p w14:paraId="47263640" w14:textId="77777777" w:rsidR="00CD5456" w:rsidRDefault="00CD5456" w:rsidP="00CD5456">
      <w:pPr>
        <w:pStyle w:val="Standard1"/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Faculty of Humanities and Social Sciences, Institute of Psychology, University of Pecs, Hungary</w:t>
      </w:r>
    </w:p>
    <w:p w14:paraId="1FFC1B3B" w14:textId="77777777" w:rsidR="00CD5456" w:rsidRDefault="00CD5456" w:rsidP="00CD5456">
      <w:pPr>
        <w:pStyle w:val="BodyTex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Faculty of Health Sciences Brandenburg, University of Potsdam, Potsdam, Germany</w:t>
      </w:r>
    </w:p>
    <w:p w14:paraId="25AD6214" w14:textId="77777777" w:rsidR="00CD5456" w:rsidRDefault="00CD545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07986339" w14:textId="77777777" w:rsidR="00CD5456" w:rsidRDefault="00CD5456" w:rsidP="00CD5456">
      <w:pPr>
        <w:pStyle w:val="BodyText"/>
        <w:rPr>
          <w:rFonts w:ascii="Times New Roman" w:hAnsi="Times New Roman" w:cs="Times New Roman"/>
          <w:sz w:val="24"/>
          <w:szCs w:val="24"/>
          <w:lang w:val="en-US"/>
        </w:rPr>
      </w:pPr>
    </w:p>
    <w:p w14:paraId="67246E67" w14:textId="77777777" w:rsidR="00FB48D1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13" w:lineRule="atLeast"/>
        <w:ind w:firstLine="709"/>
        <w:jc w:val="center"/>
        <w:rPr>
          <w:rFonts w:ascii="Calibri" w:eastAsia="Calibri" w:hAnsi="Calibri" w:cs="Calibri"/>
        </w:rPr>
      </w:pPr>
      <w:r w:rsidRPr="00A908C0">
        <w:rPr>
          <w:rFonts w:ascii="Times New Roman" w:eastAsia="Times New Roman" w:hAnsi="Times New Roman" w:cs="Times New Roman"/>
          <w:b/>
          <w:color w:val="000000"/>
          <w:sz w:val="24"/>
          <w:u w:val="single"/>
          <w:lang w:val="en-US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Supplementary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 xml:space="preserve"> material</w:t>
      </w:r>
    </w:p>
    <w:p w14:paraId="7BAC5F9F" w14:textId="77777777" w:rsidR="00FB48D1" w:rsidRPr="00A908C0" w:rsidRDefault="00FB48D1" w:rsidP="00FB48D1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480" w:lineRule="auto"/>
        <w:jc w:val="both"/>
        <w:rPr>
          <w:rFonts w:ascii="Calibri" w:eastAsia="Calibri" w:hAnsi="Calibri" w:cs="Calibri"/>
          <w:lang w:val="en-US"/>
        </w:rPr>
      </w:pPr>
      <w:r w:rsidRPr="00A908C0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>Prediction Strength varies as a function of emotion and facial expression in the replication sample</w:t>
      </w:r>
      <w:r w:rsidRPr="00A908C0">
        <w:rPr>
          <w:rFonts w:ascii="Calibri" w:eastAsia="Calibri" w:hAnsi="Calibri" w:cs="Calibri"/>
          <w:lang w:val="en-US"/>
        </w:rPr>
        <w:t>.</w:t>
      </w:r>
    </w:p>
    <w:p w14:paraId="1EDD60C8" w14:textId="77777777" w:rsidR="00FB48D1" w:rsidRPr="00A908C0" w:rsidRDefault="00FB48D1" w:rsidP="00FB48D1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480" w:lineRule="auto"/>
        <w:jc w:val="both"/>
        <w:rPr>
          <w:rFonts w:ascii="Calibri" w:eastAsia="Calibri" w:hAnsi="Calibri" w:cs="Calibri"/>
          <w:lang w:val="en-US"/>
        </w:rPr>
      </w:pPr>
      <w:r w:rsidRPr="00A908C0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 xml:space="preserve">Predictability ratings and social judgments are modulated by emotional context and condition (matched vs nonmatched) in the replication sample. </w:t>
      </w:r>
    </w:p>
    <w:p w14:paraId="2DD6A29D" w14:textId="77777777" w:rsidR="00FB48D1" w:rsidRPr="00A908C0" w:rsidRDefault="00FB48D1" w:rsidP="00FB48D1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480" w:lineRule="auto"/>
        <w:jc w:val="both"/>
        <w:rPr>
          <w:rFonts w:ascii="Calibri" w:eastAsia="Calibri" w:hAnsi="Calibri" w:cs="Calibri"/>
          <w:lang w:val="en-US"/>
        </w:rPr>
      </w:pPr>
      <w:r w:rsidRPr="00A908C0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>Predictability, trustworthiness, and likeability ratings are influenced by emotional context, facial expression, gender, and prediction strength in the replication sample.</w:t>
      </w:r>
    </w:p>
    <w:p w14:paraId="1E291F3A" w14:textId="77777777" w:rsidR="00FB48D1" w:rsidRPr="00A908C0" w:rsidRDefault="00FB48D1" w:rsidP="00FB48D1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jc w:val="both"/>
        <w:rPr>
          <w:rFonts w:ascii="Calibri" w:eastAsia="Calibri" w:hAnsi="Calibri" w:cs="Calibri"/>
          <w:lang w:val="en-US"/>
        </w:rPr>
      </w:pPr>
      <w:r w:rsidRPr="00A908C0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>The representational structure of predictability ratings and social judgments are specially associated with the Prediction Model in the replication sample</w:t>
      </w:r>
      <w:r w:rsidRPr="00A908C0">
        <w:rPr>
          <w:rFonts w:ascii="Calibri" w:eastAsia="Calibri" w:hAnsi="Calibri" w:cs="Calibri"/>
          <w:lang w:val="en-US"/>
        </w:rPr>
        <w:t>.</w:t>
      </w:r>
    </w:p>
    <w:p w14:paraId="2A9FC4C5" w14:textId="77777777" w:rsidR="00FB48D1" w:rsidRPr="00A908C0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rPr>
          <w:rFonts w:ascii="Calibri" w:eastAsia="Calibri" w:hAnsi="Calibri" w:cs="Calibri"/>
          <w:lang w:val="en-US"/>
        </w:rPr>
      </w:pPr>
      <w:r w:rsidRPr="00A908C0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> </w:t>
      </w:r>
    </w:p>
    <w:p w14:paraId="4E4C8518" w14:textId="77777777" w:rsidR="00FB48D1" w:rsidRPr="00A908C0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eastAsia="Times New Roman" w:hAnsi="Times New Roman" w:cs="Times New Roman"/>
          <w:lang w:val="en-US"/>
        </w:rPr>
      </w:pPr>
      <w:r w:rsidRPr="00A908C0">
        <w:rPr>
          <w:lang w:val="en-US"/>
        </w:rPr>
        <w:br w:type="page"/>
      </w:r>
    </w:p>
    <w:p w14:paraId="689AC727" w14:textId="77777777" w:rsidR="00FB48D1" w:rsidRPr="00A908C0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eastAsia="Times New Roman" w:hAnsi="Times New Roman" w:cs="Times New Roman"/>
          <w:lang w:val="en-US"/>
        </w:rPr>
      </w:pPr>
      <w:r w:rsidRPr="00A908C0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lastRenderedPageBreak/>
        <w:t xml:space="preserve"> </w:t>
      </w:r>
    </w:p>
    <w:p w14:paraId="14D7106B" w14:textId="77777777" w:rsidR="00FB48D1" w:rsidRPr="00A908C0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rPr>
          <w:rFonts w:ascii="Calibri" w:eastAsia="Calibri" w:hAnsi="Calibri" w:cs="Calibri"/>
          <w:lang w:val="en-US"/>
        </w:rPr>
      </w:pPr>
      <w:r w:rsidRPr="00A908C0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> </w:t>
      </w:r>
    </w:p>
    <w:p w14:paraId="199D85E8" w14:textId="77777777" w:rsidR="00FB48D1" w:rsidRPr="00A908C0" w:rsidRDefault="00FB48D1" w:rsidP="00FB48D1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480" w:lineRule="auto"/>
        <w:jc w:val="both"/>
        <w:rPr>
          <w:rFonts w:ascii="Calibri" w:eastAsia="Calibri" w:hAnsi="Calibri" w:cs="Calibri"/>
          <w:lang w:val="en-US"/>
        </w:rPr>
      </w:pPr>
      <w:r w:rsidRPr="00A908C0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>Prediction Strength varies as a function of emotion and facial expression in the replication sample</w:t>
      </w:r>
      <w:r w:rsidRPr="00A908C0">
        <w:rPr>
          <w:rFonts w:ascii="Calibri" w:eastAsia="Calibri" w:hAnsi="Calibri" w:cs="Calibri"/>
          <w:lang w:val="en-US"/>
        </w:rPr>
        <w:t>.</w:t>
      </w:r>
    </w:p>
    <w:p w14:paraId="4B26CF20" w14:textId="77777777" w:rsidR="00FB48D1" w:rsidRPr="00A908C0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480" w:lineRule="auto"/>
        <w:ind w:left="720" w:firstLine="696"/>
        <w:jc w:val="both"/>
        <w:rPr>
          <w:rFonts w:ascii="Calibri" w:eastAsia="Calibri" w:hAnsi="Calibri" w:cs="Calibri"/>
          <w:lang w:val="en-US"/>
        </w:rPr>
      </w:pPr>
      <w:r w:rsidRPr="00A908C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Substantial evidence was found for a modulation of the factor </w:t>
      </w:r>
      <w:r w:rsidRPr="00A908C0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Emotion </w:t>
      </w:r>
      <w:r w:rsidRPr="00A908C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(happiness: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=-1.93, 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t(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333) = -30,13, p &lt; .001; sadness: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-1.81, 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t(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333) = -28.37, p &lt; 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= 18.22). Bayesian model comparison also yielded decisive evidence for effects of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Facial Expression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(happiness: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-1.87, 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t(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333) = -28.22, p &lt; .001; sadness:</w:t>
      </w:r>
      <w:r w:rsidRPr="00C6058B">
        <w:rPr>
          <w:rFonts w:ascii="Calibri" w:eastAsia="Calibri" w:hAnsi="Calibri" w:cs="Calibri"/>
          <w:color w:val="000000"/>
          <w:lang w:val="en-US"/>
        </w:rPr>
        <w:t xml:space="preserve">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A908C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-1.88, </w:t>
      </w:r>
      <w:proofErr w:type="gramStart"/>
      <w:r w:rsidRPr="00A908C0">
        <w:rPr>
          <w:rFonts w:ascii="Times New Roman" w:eastAsia="Times New Roman" w:hAnsi="Times New Roman" w:cs="Times New Roman"/>
          <w:color w:val="000000"/>
          <w:sz w:val="24"/>
          <w:lang w:val="en-US"/>
        </w:rPr>
        <w:t>t(</w:t>
      </w:r>
      <w:proofErr w:type="gramEnd"/>
      <w:r w:rsidRPr="00A908C0">
        <w:rPr>
          <w:rFonts w:ascii="Times New Roman" w:eastAsia="Times New Roman" w:hAnsi="Times New Roman" w:cs="Times New Roman"/>
          <w:color w:val="000000"/>
          <w:sz w:val="24"/>
          <w:lang w:val="en-US"/>
        </w:rPr>
        <w:t>333) = -29.45, p &lt; .001, BF</w:t>
      </w:r>
      <w:r w:rsidRPr="00A908C0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A908C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&gt; 100). Additionally, decisive evidence was found for </w:t>
      </w:r>
      <w:r w:rsidRPr="00A908C0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Emotion</w:t>
      </w:r>
      <w:r w:rsidRPr="00A908C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r w:rsidRPr="00A908C0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x Facial Expression </w:t>
      </w:r>
      <w:r w:rsidRPr="00A908C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interaction effects (standardized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A908C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s &gt; 1.80, </w:t>
      </w:r>
      <w:proofErr w:type="spellStart"/>
      <w:r w:rsidRPr="00A908C0">
        <w:rPr>
          <w:rFonts w:ascii="Times New Roman" w:eastAsia="Times New Roman" w:hAnsi="Times New Roman" w:cs="Times New Roman"/>
          <w:color w:val="000000"/>
          <w:sz w:val="24"/>
          <w:lang w:val="en-US"/>
        </w:rPr>
        <w:t>ts</w:t>
      </w:r>
      <w:proofErr w:type="spellEnd"/>
      <w:r w:rsidRPr="00A908C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(333) &gt; 19.85, p&lt; .001, BF</w:t>
      </w:r>
      <w:r w:rsidRPr="00A908C0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A908C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&gt; 100; Figure S1), indicating higher differences across stereotypical expressions for happiness and sadness compared to fear. </w:t>
      </w:r>
    </w:p>
    <w:p w14:paraId="2AE4E128" w14:textId="77777777" w:rsidR="00FB48D1" w:rsidRPr="00A908C0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113" w:lineRule="atLeast"/>
        <w:ind w:left="720"/>
        <w:jc w:val="both"/>
        <w:rPr>
          <w:rFonts w:ascii="Calibri" w:eastAsia="Calibri" w:hAnsi="Calibri" w:cs="Calibri"/>
          <w:lang w:val="en-US"/>
        </w:rPr>
      </w:pPr>
      <w:r w:rsidRPr="00A908C0">
        <w:rPr>
          <w:rFonts w:ascii="Times New Roman" w:eastAsia="Times New Roman" w:hAnsi="Times New Roman" w:cs="Times New Roman"/>
          <w:color w:val="000000"/>
          <w:sz w:val="24"/>
          <w:lang w:val="en-US"/>
        </w:rPr>
        <w:t> 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"/>
        <w:gridCol w:w="7665"/>
      </w:tblGrid>
      <w:tr w:rsidR="00FB48D1" w:rsidRPr="00856BC8" w14:paraId="430358A0" w14:textId="77777777" w:rsidTr="003951E3">
        <w:trPr>
          <w:gridAfter w:val="1"/>
          <w:wAfter w:w="7665" w:type="dxa"/>
        </w:trPr>
        <w:tc>
          <w:tcPr>
            <w:tcW w:w="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E8FE7" w14:textId="77777777" w:rsidR="00FB48D1" w:rsidRPr="00A908C0" w:rsidRDefault="00FB48D1" w:rsidP="003951E3">
            <w:pPr>
              <w:spacing w:line="57" w:lineRule="atLeast"/>
              <w:rPr>
                <w:lang w:val="en-US"/>
              </w:rPr>
            </w:pPr>
          </w:p>
        </w:tc>
      </w:tr>
      <w:tr w:rsidR="00FB48D1" w:rsidRPr="00856BC8" w14:paraId="48681065" w14:textId="77777777" w:rsidTr="003951E3">
        <w:tc>
          <w:tcPr>
            <w:tcW w:w="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BC571" w14:textId="77777777" w:rsidR="00FB48D1" w:rsidRPr="00A908C0" w:rsidRDefault="00FB48D1" w:rsidP="003951E3">
            <w:pPr>
              <w:spacing w:line="57" w:lineRule="atLeast"/>
              <w:rPr>
                <w:lang w:val="en-US"/>
              </w:rPr>
            </w:pPr>
          </w:p>
        </w:tc>
        <w:tc>
          <w:tcPr>
            <w:tcW w:w="76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27FA8" w14:textId="77777777" w:rsidR="00FB48D1" w:rsidRPr="00FB48D1" w:rsidRDefault="00FB48D1" w:rsidP="003951E3">
            <w:pPr>
              <w:spacing w:line="57" w:lineRule="atLeast"/>
              <w:jc w:val="center"/>
              <w:rPr>
                <w:lang w:val="en-US"/>
              </w:rPr>
            </w:pPr>
          </w:p>
        </w:tc>
      </w:tr>
    </w:tbl>
    <w:p w14:paraId="5B49CDA7" w14:textId="77777777" w:rsidR="00FB48D1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720" w:firstLine="696"/>
        <w:jc w:val="both"/>
        <w:rPr>
          <w:rFonts w:ascii="Calibri" w:eastAsia="Calibri" w:hAnsi="Calibri" w:cs="Calibri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58784A9" wp14:editId="3AF90B94">
            <wp:simplePos x="0" y="0"/>
            <wp:positionH relativeFrom="column">
              <wp:posOffset>833864</wp:posOffset>
            </wp:positionH>
            <wp:positionV relativeFrom="paragraph">
              <wp:posOffset>377</wp:posOffset>
            </wp:positionV>
            <wp:extent cx="4642485" cy="4770120"/>
            <wp:effectExtent l="0" t="0" r="5715" b="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261005" name="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4642485" cy="477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08C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Figure S1. </w:t>
      </w:r>
      <w:r w:rsidRPr="00A908C0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 </w:t>
      </w:r>
      <w:r w:rsidRPr="00A908C0">
        <w:rPr>
          <w:rFonts w:ascii="Times New Roman" w:eastAsia="Times New Roman" w:hAnsi="Times New Roman" w:cs="Times New Roman"/>
          <w:color w:val="000000"/>
          <w:sz w:val="24"/>
          <w:lang w:val="en-US"/>
        </w:rPr>
        <w:t>Prediction Strength derived from the Bayesian probability of P</w:t>
      </w:r>
      <w:r w:rsidRPr="00A908C0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(</w:t>
      </w:r>
      <w:proofErr w:type="spellStart"/>
      <w:r w:rsidRPr="00A908C0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Expression|Emotion</w:t>
      </w:r>
      <w:proofErr w:type="spellEnd"/>
      <w:r w:rsidRPr="00A908C0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)</w:t>
      </w:r>
      <w:r w:rsidRPr="00A908C0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across emotion and stereotypical expressions of fear, happiness, and sadness from the replication sample. Bar plots and dark dots represent the average scores across participants.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Black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lines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represent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standard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errors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Dots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represent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single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participants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39636D24" w14:textId="77777777" w:rsidR="00FB48D1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13" w:lineRule="atLeast"/>
        <w:ind w:left="72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14:paraId="365EC004" w14:textId="77777777" w:rsidR="00FB48D1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eastAsia="Times New Roman" w:hAnsi="Times New Roman" w:cs="Times New Roman"/>
        </w:rPr>
      </w:pPr>
      <w:r>
        <w:br w:type="page"/>
      </w:r>
    </w:p>
    <w:p w14:paraId="6BF92D4C" w14:textId="77777777" w:rsidR="00FB48D1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lastRenderedPageBreak/>
        <w:t xml:space="preserve"> </w:t>
      </w:r>
    </w:p>
    <w:p w14:paraId="514BA043" w14:textId="77777777" w:rsidR="00FB48D1" w:rsidRPr="00C6058B" w:rsidRDefault="00FB48D1" w:rsidP="00FB48D1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 xml:space="preserve">Predictability ratings and social judgments are modulated by emotional context and condition (matched vs nonmatched) in the replication sample. </w:t>
      </w:r>
    </w:p>
    <w:p w14:paraId="5D501AA8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left="720" w:firstLine="697"/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In the replication sample, evidence for a lack of main effect of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Emotional Context was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found (happiness: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0.60, 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t(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2199) = 14.21, p &lt; .001; sadness: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0.17, 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t(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2199) = 3.99, p &lt; 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= 0.03). However, decisive evidence for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Condition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(standardized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-0.85, t(92) = -11.54, p &lt; 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&gt; 100) and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Emotional Context x Condition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interaction effects was observed (happiness: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-1.18, t(2199) = -15.37, p &lt; .001; sadness: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-0.46, t(2199) = -5.96, p &lt; 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&gt; 100); Figure S2A). </w:t>
      </w:r>
    </w:p>
    <w:p w14:paraId="651B8395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left="720" w:firstLine="697"/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For trustworthiness ratings, strong evidence for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Emotional Context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was obtained (happiness: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0.73, 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t(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2200) = 15.90, p &lt; .001; sadness: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0.22, 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t(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2220) = 4.87, p &lt; 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= 23.62). Decisive evidence for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Condition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(standardized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-0.58, t(62) = -5.81, p &lt; 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&gt; 100), and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Emotional Context x Condition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effects was also observed (happiness: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-1.09, t(2220) = -13.03, p &lt; .001; sadness: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-0.48, t(2220) = -5.71, p &lt; 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&gt; 100; Figure S2B).</w:t>
      </w:r>
    </w:p>
    <w:p w14:paraId="6B93E230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left="720" w:firstLine="697"/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For likeability ratings, anecdotal evidence was observed for a lack of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Emotional Context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effects (happiness: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0.69, t(2220) = 14.76, p &lt; .001; sadness: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0.19, t(2220) = 4.12, p &lt; 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= 0.77), but decisive evidence for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Condition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(standardized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-0.47, t(60) = -4.14, p &lt; 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&gt; 100) and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Emotional Context x Condition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effects (happiness: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-1.14, t(2220) = -13.40, p &lt; .001; sadness: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-0.42, t(2237) = -4.9, p &lt; 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&gt; 100; Figure S2C).</w:t>
      </w:r>
    </w:p>
    <w:p w14:paraId="23593D55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5" w:lineRule="atLeast"/>
        <w:rPr>
          <w:rFonts w:ascii="Times New Roman" w:eastAsia="Times New Roman" w:hAnsi="Times New Roman" w:cs="Times New Roman"/>
          <w:lang w:val="en-US"/>
        </w:rPr>
      </w:pPr>
      <w:r w:rsidRPr="00C6058B">
        <w:rPr>
          <w:lang w:val="en-US"/>
        </w:rPr>
        <w:br w:type="page"/>
      </w:r>
    </w:p>
    <w:p w14:paraId="31929CF4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5" w:lineRule="atLeast"/>
        <w:rPr>
          <w:rFonts w:ascii="Times New Roman" w:eastAsia="Times New Roman" w:hAnsi="Times New Roman" w:cs="Times New Roman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lastRenderedPageBreak/>
        <w:t xml:space="preserve"> </w:t>
      </w:r>
    </w:p>
    <w:p w14:paraId="609C0385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 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"/>
        <w:gridCol w:w="9066"/>
      </w:tblGrid>
      <w:tr w:rsidR="00FB48D1" w:rsidRPr="00856BC8" w14:paraId="1E295C1D" w14:textId="77777777" w:rsidTr="003951E3">
        <w:trPr>
          <w:gridAfter w:val="1"/>
          <w:wAfter w:w="9075" w:type="dxa"/>
        </w:trPr>
        <w:tc>
          <w:tcPr>
            <w:tcW w:w="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FFF13" w14:textId="77777777" w:rsidR="00FB48D1" w:rsidRPr="00C6058B" w:rsidRDefault="00FB48D1" w:rsidP="003951E3">
            <w:pPr>
              <w:spacing w:line="57" w:lineRule="atLeast"/>
              <w:rPr>
                <w:lang w:val="en-US"/>
              </w:rPr>
            </w:pPr>
          </w:p>
        </w:tc>
      </w:tr>
      <w:tr w:rsidR="00FB48D1" w14:paraId="63E8F98B" w14:textId="77777777" w:rsidTr="003951E3">
        <w:tc>
          <w:tcPr>
            <w:tcW w:w="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F80B4" w14:textId="77777777" w:rsidR="00FB48D1" w:rsidRPr="00C6058B" w:rsidRDefault="00FB48D1" w:rsidP="003951E3">
            <w:pPr>
              <w:spacing w:line="57" w:lineRule="atLeast"/>
              <w:rPr>
                <w:lang w:val="en-US"/>
              </w:rPr>
            </w:pPr>
          </w:p>
        </w:tc>
        <w:tc>
          <w:tcPr>
            <w:tcW w:w="90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94DC2" w14:textId="77777777" w:rsidR="00FB48D1" w:rsidRDefault="00FB48D1" w:rsidP="003951E3">
            <w:pPr>
              <w:spacing w:line="57" w:lineRule="atLeast"/>
            </w:pPr>
            <w:r>
              <w:rPr>
                <w:noProof/>
              </w:rPr>
              <w:drawing>
                <wp:inline distT="0" distB="0" distL="0" distR="0" wp14:anchorId="7F3E11D7" wp14:editId="0B3F6696">
                  <wp:extent cx="5930323" cy="2466261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81629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5930322" cy="2466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BA432D" w14:textId="77777777" w:rsidR="00FB48D1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Calibri" w:eastAsia="Calibri" w:hAnsi="Calibri" w:cs="Calibri"/>
        </w:rPr>
      </w:pPr>
      <w:r w:rsidRPr="00566746">
        <w:rPr>
          <w:lang w:val="en-US"/>
        </w:rPr>
        <w:br/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Figure S2. Predictability (A), trustworthiness (B), and likeability (C) ratings from the replication sample across emotional context and condition. Bar plots and dark dots represent the average scores across participants.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Black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lines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represent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standard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errors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Dots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represent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single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participants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33B014F4" w14:textId="77777777" w:rsidR="00FB48D1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13" w:lineRule="atLeast"/>
        <w:ind w:left="360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14:paraId="05209502" w14:textId="77777777" w:rsidR="00FB48D1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13" w:lineRule="atLeast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 </w:t>
      </w:r>
    </w:p>
    <w:p w14:paraId="4E012253" w14:textId="77777777" w:rsidR="00FB48D1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5" w:lineRule="atLeast"/>
        <w:rPr>
          <w:rFonts w:ascii="Times New Roman" w:eastAsia="Times New Roman" w:hAnsi="Times New Roman" w:cs="Times New Roman"/>
        </w:rPr>
      </w:pPr>
      <w:r>
        <w:br w:type="page"/>
      </w:r>
    </w:p>
    <w:p w14:paraId="1C8EB7A0" w14:textId="77777777" w:rsidR="00FB48D1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5" w:lineRule="atLeas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 </w:t>
      </w:r>
    </w:p>
    <w:p w14:paraId="2A273710" w14:textId="77777777" w:rsidR="00FB48D1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D7834A8" w14:textId="77777777" w:rsidR="00FB48D1" w:rsidRPr="00C6058B" w:rsidRDefault="00FB48D1" w:rsidP="00FB48D1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>Predictability, trustworthiness, and likeability ratings are influenced by emotional context, facial expression, gender, and prediction strength in the replication sample.</w:t>
      </w:r>
    </w:p>
    <w:p w14:paraId="4788F4B0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left="720" w:firstLine="697"/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For predictability ratings, we found moderate evidence for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Emotional Context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effects (happiness: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0.15, t(56.45) =0.45, p &lt; .001; sadness: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0.002,  t(67.41) = -2.86, p = .005,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 = 7.26), and decisive evidence for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Facial Expression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effects (happiness: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=0.10,  t(2164) = 3.26, p = .001; sadness: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0.08, t(2162) = 5.03, p &lt;.001,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= 0.56). We further found a lack of evidence for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Gender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effects (standardized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=-0.12, 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t(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2186) = -0.53, p = .59,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= 0.06), and decisive evidence for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Prediction Strength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effects (standardized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0.40, 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t(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42) = 28.89, p &lt; 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&gt; 100; Figure S3 A-D; Figure S4A). Wald tests revealed that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Prediction Strength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was the best predictor, </w:t>
      </w:r>
      <w:r>
        <w:rPr>
          <w:rFonts w:ascii="Times New Roman" w:eastAsia="Times New Roman" w:hAnsi="Times New Roman" w:cs="Times New Roman"/>
          <w:color w:val="000000"/>
          <w:sz w:val="24"/>
        </w:rPr>
        <w:t>χ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²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s(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1) &gt; 386, </w:t>
      </w:r>
      <w:proofErr w:type="spell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ps</w:t>
      </w:r>
      <w:proofErr w:type="spell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&lt; .001.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Emotional Context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and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 Facial Expression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did not differ from each other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</w:rPr>
        <w:t>χ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²(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1) = 1.79, p= .18, but were significantly different from the factor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Gender: Emotional Context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vs.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Gender, </w:t>
      </w:r>
      <w:r>
        <w:rPr>
          <w:rFonts w:ascii="Times New Roman" w:eastAsia="Times New Roman" w:hAnsi="Times New Roman" w:cs="Times New Roman"/>
          <w:color w:val="000000"/>
          <w:sz w:val="24"/>
        </w:rPr>
        <w:t>χ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²(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1) = 4.03, p= .04, and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Facial Expression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vs.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Gender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χ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²(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1) = 9.17, p=0 .002.</w:t>
      </w:r>
    </w:p>
    <w:p w14:paraId="6C1FCDBD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left="720" w:firstLine="697"/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For trustworthiness ratings, we observed decisive evidence for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Emotional Context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effects (happiness: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=0.19 , t(2159) = 3.98, p &lt; .001; sadness: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=0.03 , t(2179) =- .08, p = .11,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&gt; 100), and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Facial Expression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effects (happiness: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=0.21 , t(2160) = 4.50, p &lt; .001; sadness: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0.22, t(2160) = 4.52, p &lt; 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&gt; 100).  We found evidence for a lack of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Gender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effects (standardized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=-0.07, 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t(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40) = -1.79, p = .079,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= 0.31), but we observed decisive evidence for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Prediction Strength 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effects(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0.53, 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t(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35) = 14.18, p &lt;.001,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&gt; 100; Figure S3 E-H; Figure S4B). Wald tests were conducted to compare coefficients across fixed levels. Results showed that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Prediction Strength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was the best predicting factor, </w:t>
      </w:r>
      <w:r>
        <w:rPr>
          <w:rFonts w:ascii="Times New Roman" w:eastAsia="Times New Roman" w:hAnsi="Times New Roman" w:cs="Times New Roman"/>
          <w:color w:val="000000"/>
          <w:sz w:val="24"/>
        </w:rPr>
        <w:t>χ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²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s(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1) &gt; 116, </w:t>
      </w:r>
      <w:proofErr w:type="spell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ps</w:t>
      </w:r>
      <w:proofErr w:type="spell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&lt; .001. No differences were observed between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lastRenderedPageBreak/>
        <w:t xml:space="preserve">Emotional Context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and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 Facial Expression, </w:t>
      </w:r>
      <w:r>
        <w:rPr>
          <w:rFonts w:ascii="Times New Roman" w:eastAsia="Times New Roman" w:hAnsi="Times New Roman" w:cs="Times New Roman"/>
          <w:color w:val="000000"/>
          <w:sz w:val="24"/>
        </w:rPr>
        <w:t>χ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²(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1) = .08, p= .77. However, factors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Emotional Context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and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Gender, </w:t>
      </w:r>
      <w:r>
        <w:rPr>
          <w:rFonts w:ascii="Times New Roman" w:eastAsia="Times New Roman" w:hAnsi="Times New Roman" w:cs="Times New Roman"/>
          <w:color w:val="000000"/>
          <w:sz w:val="24"/>
        </w:rPr>
        <w:t>χ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²(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1) = 16.84, p&lt; .001, and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Facial Expression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and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Gender, </w:t>
      </w:r>
      <w:r>
        <w:rPr>
          <w:rFonts w:ascii="Times New Roman" w:eastAsia="Times New Roman" w:hAnsi="Times New Roman" w:cs="Times New Roman"/>
          <w:color w:val="000000"/>
          <w:sz w:val="24"/>
        </w:rPr>
        <w:t>χ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²(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1) = 22.37, </w:t>
      </w:r>
      <w:proofErr w:type="spell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ps</w:t>
      </w:r>
      <w:proofErr w:type="spell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&lt; .001, differed significantly from each other.</w:t>
      </w:r>
    </w:p>
    <w:p w14:paraId="1B24C8A5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left="720" w:firstLine="697"/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For likeability ratings, we found anecdotal evidence for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Emotional Context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effects (happiness: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0.11, t(2113) = 2.34, p = .02; sadness: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-0.05,  t(2126) = -1.10, p = .26,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 = 1.14), and decisive evidence for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Facial Expression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effects (happiness: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0.27, t(87.03) = 3.28, p = .001; sadness: 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0.17, t(87.03) = -2.34, p = .02,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&gt; 100).  We further found a lack of evidence for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Gender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effects (standardized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-0.09, 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t(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82) = -2.34, p = .024,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= 0.95), and decisive evidence for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Prediction Strength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effects (standardized </w:t>
      </w:r>
      <w:r>
        <w:rPr>
          <w:rFonts w:ascii="Times New Roman" w:eastAsia="Times New Roman" w:hAnsi="Times New Roman" w:cs="Times New Roman"/>
          <w:color w:val="000000"/>
          <w:sz w:val="24"/>
        </w:rPr>
        <w:t>β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0.48, 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t(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36) = 13.27, p &lt; 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&gt; 100; Figure S3 I-L; Figure S4).  Wald tests comparing standardized coefficients across fixed levels indicated that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Prediction Strength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was a better predictor than any of the other fixed factors, </w:t>
      </w:r>
      <w:r>
        <w:rPr>
          <w:rFonts w:ascii="Times New Roman" w:eastAsia="Times New Roman" w:hAnsi="Times New Roman" w:cs="Times New Roman"/>
          <w:color w:val="000000"/>
          <w:sz w:val="24"/>
        </w:rPr>
        <w:t>χ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²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s(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1) &gt; 64.4, </w:t>
      </w:r>
      <w:proofErr w:type="spell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ps</w:t>
      </w:r>
      <w:proofErr w:type="spell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&lt; .001. Whereas no differences were found between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Emotional Context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and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 Facial Expression, </w:t>
      </w:r>
      <w:r>
        <w:rPr>
          <w:rFonts w:ascii="Times New Roman" w:eastAsia="Times New Roman" w:hAnsi="Times New Roman" w:cs="Times New Roman"/>
          <w:color w:val="000000"/>
          <w:sz w:val="24"/>
        </w:rPr>
        <w:t>χ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²(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1) = 0.34, p = .559, significant differences emerged between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Emotional Context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and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Gender,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χ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²(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1) = 10.14, p = .001, and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Facial Expression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and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Gender, </w:t>
      </w:r>
      <w:r>
        <w:rPr>
          <w:rFonts w:ascii="Times New Roman" w:eastAsia="Times New Roman" w:hAnsi="Times New Roman" w:cs="Times New Roman"/>
          <w:color w:val="000000"/>
          <w:sz w:val="24"/>
        </w:rPr>
        <w:t>χ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²(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1) = 17.66, p &lt; .001 (Figure 6C).</w:t>
      </w:r>
    </w:p>
    <w:p w14:paraId="6D321484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firstLine="708"/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 </w:t>
      </w:r>
    </w:p>
    <w:p w14:paraId="3549FD19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13" w:lineRule="atLeast"/>
        <w:ind w:firstLine="708"/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 </w:t>
      </w:r>
    </w:p>
    <w:p w14:paraId="727F6658" w14:textId="77777777" w:rsidR="00FB48D1" w:rsidRPr="00566746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Calibri" w:eastAsia="Calibri" w:hAnsi="Calibri" w:cs="Calibri"/>
          <w:lang w:val="en-US"/>
        </w:rPr>
      </w:pPr>
      <w:r>
        <w:rPr>
          <w:noProof/>
        </w:rPr>
        <w:lastRenderedPageBreak/>
        <w:drawing>
          <wp:inline distT="0" distB="0" distL="0" distR="0" wp14:anchorId="1A4F372D" wp14:editId="6C04730A">
            <wp:extent cx="5591175" cy="7620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53246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5591174" cy="761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6746">
        <w:rPr>
          <w:rFonts w:ascii="Calibri" w:eastAsia="Calibri" w:hAnsi="Calibri" w:cs="Calibri"/>
          <w:color w:val="000000"/>
          <w:lang w:val="en-US"/>
        </w:rPr>
        <w:t> </w:t>
      </w:r>
    </w:p>
    <w:p w14:paraId="1C863C00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Figure S3. Model estimates of the effects of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Emotional Context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(fear, happiness, sadness),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Facial Expression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(stereotypical expression of fear, happiness, sadness),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Gender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, and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 Prediction Strength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on predictability (A-D), trustworthiness (E-H), and likeability ratings (I-L) from the replication sample. Shaded areas and error bars depict the confidence intervals.</w:t>
      </w:r>
    </w:p>
    <w:p w14:paraId="64B8938E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13" w:lineRule="atLeast"/>
        <w:ind w:firstLine="708"/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 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"/>
        <w:gridCol w:w="6080"/>
      </w:tblGrid>
      <w:tr w:rsidR="00FB48D1" w:rsidRPr="00C6058B" w14:paraId="108A905D" w14:textId="77777777" w:rsidTr="003951E3">
        <w:trPr>
          <w:gridAfter w:val="1"/>
          <w:wAfter w:w="5325" w:type="dxa"/>
        </w:trPr>
        <w:tc>
          <w:tcPr>
            <w:tcW w:w="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19A56" w14:textId="77777777" w:rsidR="00FB48D1" w:rsidRPr="00C6058B" w:rsidRDefault="00FB48D1" w:rsidP="003951E3">
            <w:pPr>
              <w:spacing w:line="57" w:lineRule="atLeast"/>
              <w:rPr>
                <w:lang w:val="en-US"/>
              </w:rPr>
            </w:pPr>
          </w:p>
        </w:tc>
      </w:tr>
      <w:tr w:rsidR="00FB48D1" w14:paraId="03C19BE1" w14:textId="77777777" w:rsidTr="003951E3">
        <w:tc>
          <w:tcPr>
            <w:tcW w:w="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0FF53" w14:textId="77777777" w:rsidR="00FB48D1" w:rsidRPr="00C6058B" w:rsidRDefault="00FB48D1" w:rsidP="003951E3">
            <w:pPr>
              <w:spacing w:line="57" w:lineRule="atLeast"/>
              <w:rPr>
                <w:lang w:val="en-US"/>
              </w:rPr>
            </w:pPr>
          </w:p>
        </w:tc>
        <w:tc>
          <w:tcPr>
            <w:tcW w:w="53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FEE31" w14:textId="77777777" w:rsidR="00FB48D1" w:rsidRDefault="00FB48D1" w:rsidP="003951E3">
            <w:pPr>
              <w:spacing w:line="57" w:lineRule="atLeast"/>
            </w:pPr>
            <w:r>
              <w:rPr>
                <w:noProof/>
              </w:rPr>
              <w:drawing>
                <wp:inline distT="0" distB="0" distL="0" distR="0" wp14:anchorId="01BE4198" wp14:editId="7AE71A8A">
                  <wp:extent cx="3861405" cy="7827172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6353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3861403" cy="7827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85C48E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  <w:jc w:val="both"/>
        <w:rPr>
          <w:rFonts w:ascii="Calibri" w:eastAsia="Calibri" w:hAnsi="Calibri" w:cs="Calibri"/>
          <w:lang w:val="en-US"/>
        </w:rPr>
      </w:pPr>
      <w:r w:rsidRPr="00566746">
        <w:rPr>
          <w:lang w:val="en-US"/>
        </w:rPr>
        <w:br/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Figure S4. Standardized beta estimates of the effects of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>Prediction Strength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,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Emotional Context, Facial Expression,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and </w:t>
      </w:r>
      <w:r w:rsidRPr="00C6058B">
        <w:rPr>
          <w:rFonts w:ascii="Times New Roman" w:eastAsia="Times New Roman" w:hAnsi="Times New Roman" w:cs="Times New Roman"/>
          <w:i/>
          <w:color w:val="000000"/>
          <w:sz w:val="24"/>
          <w:lang w:val="en-US"/>
        </w:rPr>
        <w:t xml:space="preserve">Gender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on predictability (A), trustworthiness (B), and likeability ratings (C) from the replication sample. Error bars depict confidence intervals.</w:t>
      </w:r>
      <w:r w:rsidRPr="00C6058B">
        <w:rPr>
          <w:lang w:val="en-US"/>
        </w:rPr>
        <w:br w:type="page"/>
      </w:r>
    </w:p>
    <w:p w14:paraId="67D24FCE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65" w:lineRule="atLeast"/>
        <w:rPr>
          <w:rFonts w:ascii="Times New Roman" w:eastAsia="Times New Roman" w:hAnsi="Times New Roman" w:cs="Times New Roman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lastRenderedPageBreak/>
        <w:t xml:space="preserve"> </w:t>
      </w:r>
    </w:p>
    <w:p w14:paraId="0A4C71F9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 </w:t>
      </w:r>
    </w:p>
    <w:p w14:paraId="31BD12A8" w14:textId="77777777" w:rsidR="00FB48D1" w:rsidRPr="00C6058B" w:rsidRDefault="00FB48D1" w:rsidP="00FB48D1">
      <w:pPr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u w:val="single"/>
          <w:lang w:val="en-US"/>
        </w:rPr>
        <w:t>The representational structure of predictability ratings and social judgments are specially associated with the Prediction Model in the replication sample</w:t>
      </w:r>
      <w:r w:rsidRPr="00C6058B">
        <w:rPr>
          <w:rFonts w:ascii="Calibri" w:eastAsia="Calibri" w:hAnsi="Calibri" w:cs="Calibri"/>
          <w:lang w:val="en-US"/>
        </w:rPr>
        <w:t>.</w:t>
      </w:r>
    </w:p>
    <w:p w14:paraId="3D818F86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left="720" w:firstLine="697"/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Results from the one-sample t-tests are described in Table S1. </w:t>
      </w:r>
    </w:p>
    <w:p w14:paraId="2E6BCF03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left="720" w:firstLine="697"/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As for the discovery sample, in the replication sample decisive evidence for a positive association between models and predictability ratings was observed, except for the gender-based models which showed a negative relationship (Table S1). Directly comparing the similarities across models revealed decisive evidence for a larger similarity between predictability ratings and the prediction strength model than with the other models (Gender Model: [0.38-0.48], p &lt;.001,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&gt; 100; Emotional Context Model: [0.37-0.47], p &lt;.001,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= 36.37; Facial Expression Model: [0.36-0.47], p &lt;.001,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&gt; 100; Gender vs Emotional Context: [-0.06-0.03], p = .85,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&gt;100 ; Gender vs Facial Expression: [-0.07-0.03], p = .61,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&gt;100 ; Emotional Context vs Facial Expression: [-0.04-0.06], p = .97,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= 10.34; Figure S5A). </w:t>
      </w:r>
    </w:p>
    <w:p w14:paraId="78F17CEE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left="720" w:firstLine="697"/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For trustworthiness ratings, evidence for a positive association with all models was observed (Table S1), with clearly stronger similarities with the prediction model (Gender Model: [0.22-0.34], p &lt;.001,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&gt; 100; Emotional Context Model: [0.21-0.32], p &lt;.001,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&gt; 100; Facial Expression Model: [0.20-0.31], p &lt;.001,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&gt;100; Gender vs Emotional Context: [-0.8-0.04], p = .82,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=0.49; Gender vs Expression: [-0.08-0.03], p = .70,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1.04; Emotional Context vs Facial Expression: [-0.05-0.06], p = .99,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0.24; Figure S5B). </w:t>
      </w:r>
    </w:p>
    <w:p w14:paraId="6352A44E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480" w:lineRule="auto"/>
        <w:ind w:left="720" w:firstLine="697"/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A similar pattern of results was found for likeability ratings (Gender Model: [0.20-0.32], p &lt;.001,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&gt; 100; Emotional Context Model: [0.17-0.29], p &lt;.001,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&gt; 100; Facial Expression Model:  [0.17-0.29], p &lt;.001,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=0.13; Gender vs Emotional 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lastRenderedPageBreak/>
        <w:t>Context: [-0.09-0.03], p = .66,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0.63; Gender vs Facial Expression: [-0.09-0.03], p = .56,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1.0; Emotional Context vs Facial Expression: [-0.06-0.07], p = .99, BF</w:t>
      </w:r>
      <w:r w:rsidRPr="00C6058B">
        <w:rPr>
          <w:rFonts w:ascii="Times New Roman" w:eastAsia="Times New Roman" w:hAnsi="Times New Roman" w:cs="Times New Roman"/>
          <w:color w:val="000000"/>
          <w:sz w:val="20"/>
          <w:vertAlign w:val="subscript"/>
          <w:lang w:val="en-US"/>
        </w:rPr>
        <w:t>10</w:t>
      </w: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= 0.18; Figure S5C). </w:t>
      </w:r>
    </w:p>
    <w:tbl>
      <w:tblPr>
        <w:tblStyle w:val="TableGrid"/>
        <w:tblpPr w:leftFromText="180" w:rightFromText="180" w:vertAnchor="text" w:horzAnchor="margin" w:tblpY="922"/>
        <w:tblW w:w="925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692"/>
        <w:gridCol w:w="1305"/>
        <w:gridCol w:w="1526"/>
        <w:gridCol w:w="1532"/>
        <w:gridCol w:w="1560"/>
        <w:gridCol w:w="1636"/>
      </w:tblGrid>
      <w:tr w:rsidR="00FB48D1" w14:paraId="2522BC50" w14:textId="77777777" w:rsidTr="00FB48D1">
        <w:trPr>
          <w:trHeight w:val="993"/>
        </w:trPr>
        <w:tc>
          <w:tcPr>
            <w:tcW w:w="1692" w:type="dxa"/>
            <w:tcBorders>
              <w:top w:val="single" w:sz="8" w:space="0" w:color="00000A"/>
              <w:left w:val="none" w:sz="4" w:space="0" w:color="000000"/>
              <w:bottom w:val="single" w:sz="8" w:space="0" w:color="00000A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374B4E3E" w14:textId="77777777" w:rsidR="00FB48D1" w:rsidRPr="00C6058B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  <w:lang w:val="en-US"/>
              </w:rPr>
            </w:pPr>
            <w:r w:rsidRPr="00C6058B"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  <w:lang w:val="en-US"/>
              </w:rPr>
              <w:t> </w:t>
            </w:r>
          </w:p>
        </w:tc>
        <w:tc>
          <w:tcPr>
            <w:tcW w:w="1305" w:type="dxa"/>
            <w:tcBorders>
              <w:top w:val="single" w:sz="8" w:space="0" w:color="00000A"/>
              <w:left w:val="none" w:sz="4" w:space="0" w:color="000000"/>
              <w:bottom w:val="single" w:sz="8" w:space="0" w:color="00000A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5F0565FB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Sample</w:t>
            </w:r>
          </w:p>
        </w:tc>
        <w:tc>
          <w:tcPr>
            <w:tcW w:w="1526" w:type="dxa"/>
            <w:tcBorders>
              <w:top w:val="single" w:sz="8" w:space="0" w:color="00000A"/>
              <w:left w:val="none" w:sz="4" w:space="0" w:color="000000"/>
              <w:bottom w:val="single" w:sz="8" w:space="0" w:color="00000A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6D2636A2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Gender</w:t>
            </w:r>
          </w:p>
        </w:tc>
        <w:tc>
          <w:tcPr>
            <w:tcW w:w="1532" w:type="dxa"/>
            <w:tcBorders>
              <w:top w:val="single" w:sz="8" w:space="0" w:color="00000A"/>
              <w:left w:val="none" w:sz="4" w:space="0" w:color="000000"/>
              <w:bottom w:val="single" w:sz="8" w:space="0" w:color="00000A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6E0AC6A1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 xml:space="preserve">Emotional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Context</w:t>
            </w:r>
            <w:proofErr w:type="spellEnd"/>
          </w:p>
        </w:tc>
        <w:tc>
          <w:tcPr>
            <w:tcW w:w="1560" w:type="dxa"/>
            <w:tcBorders>
              <w:top w:val="single" w:sz="8" w:space="0" w:color="00000A"/>
              <w:left w:val="none" w:sz="4" w:space="0" w:color="000000"/>
              <w:bottom w:val="single" w:sz="8" w:space="0" w:color="00000A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2E731057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Facial Expression</w:t>
            </w:r>
          </w:p>
        </w:tc>
        <w:tc>
          <w:tcPr>
            <w:tcW w:w="1636" w:type="dxa"/>
            <w:tcBorders>
              <w:top w:val="single" w:sz="8" w:space="0" w:color="00000A"/>
              <w:left w:val="none" w:sz="4" w:space="0" w:color="000000"/>
              <w:bottom w:val="single" w:sz="8" w:space="0" w:color="00000A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0F46AB35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Prediction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 xml:space="preserve"> Strength</w:t>
            </w:r>
          </w:p>
        </w:tc>
      </w:tr>
      <w:tr w:rsidR="00FB48D1" w14:paraId="69A1115B" w14:textId="77777777" w:rsidTr="00FB48D1">
        <w:trPr>
          <w:trHeight w:val="218"/>
        </w:trPr>
        <w:tc>
          <w:tcPr>
            <w:tcW w:w="169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409F1B69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Predictability</w:t>
            </w:r>
            <w:proofErr w:type="spellEnd"/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32EB5686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Mean(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SD)</w:t>
            </w:r>
          </w:p>
        </w:tc>
        <w:tc>
          <w:tcPr>
            <w:tcW w:w="15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0963222F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-0.01 (0.01)</w:t>
            </w:r>
          </w:p>
        </w:tc>
        <w:tc>
          <w:tcPr>
            <w:tcW w:w="15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3B230DD6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0.01 (0.02)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4AD69D63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0.02 (0.02)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2660C638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0.43 (0.16)</w:t>
            </w:r>
          </w:p>
        </w:tc>
      </w:tr>
      <w:tr w:rsidR="00FB48D1" w14:paraId="6DFDDBEF" w14:textId="77777777" w:rsidTr="00FB48D1">
        <w:trPr>
          <w:trHeight w:val="339"/>
        </w:trPr>
        <w:tc>
          <w:tcPr>
            <w:tcW w:w="0" w:type="auto"/>
            <w:vMerge/>
          </w:tcPr>
          <w:p w14:paraId="6323C70B" w14:textId="77777777" w:rsidR="00FB48D1" w:rsidRDefault="00FB48D1" w:rsidP="00FB48D1"/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6E97DBEB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t-test</w:t>
            </w:r>
          </w:p>
        </w:tc>
        <w:tc>
          <w:tcPr>
            <w:tcW w:w="15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52DCA7ED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A"/>
                <w:sz w:val="13"/>
                <w:vertAlign w:val="subscrip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 xml:space="preserve"> = -3.44, p=.001</w:t>
            </w:r>
          </w:p>
        </w:tc>
        <w:tc>
          <w:tcPr>
            <w:tcW w:w="15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76231C1E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A"/>
                <w:sz w:val="13"/>
                <w:vertAlign w:val="subscrip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 xml:space="preserve"> = 2.13, p=.04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3BFA8FC1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A"/>
                <w:sz w:val="13"/>
                <w:vertAlign w:val="subscrip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 xml:space="preserve"> =4.02, p&lt;.001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1669A579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A"/>
                <w:sz w:val="13"/>
                <w:vertAlign w:val="subscrip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 xml:space="preserve"> = 16.32, p&lt;.001</w:t>
            </w:r>
          </w:p>
        </w:tc>
      </w:tr>
      <w:tr w:rsidR="00FB48D1" w14:paraId="1D76D55A" w14:textId="77777777" w:rsidTr="00FB48D1">
        <w:trPr>
          <w:trHeight w:val="339"/>
        </w:trPr>
        <w:tc>
          <w:tcPr>
            <w:tcW w:w="0" w:type="auto"/>
            <w:vMerge/>
          </w:tcPr>
          <w:p w14:paraId="3EEB5CE1" w14:textId="77777777" w:rsidR="00FB48D1" w:rsidRDefault="00FB48D1" w:rsidP="00FB48D1"/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665703B8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BF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3"/>
                <w:vertAlign w:val="subscript"/>
              </w:rPr>
              <w:t>10</w:t>
            </w:r>
          </w:p>
        </w:tc>
        <w:tc>
          <w:tcPr>
            <w:tcW w:w="15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33369DD5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22</w:t>
            </w:r>
          </w:p>
        </w:tc>
        <w:tc>
          <w:tcPr>
            <w:tcW w:w="15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5151D51C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1.32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4B69801E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97.5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2964DCC9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&gt;100</w:t>
            </w:r>
          </w:p>
        </w:tc>
      </w:tr>
      <w:tr w:rsidR="00FB48D1" w14:paraId="7AE5B31B" w14:textId="77777777" w:rsidTr="00FB48D1">
        <w:trPr>
          <w:trHeight w:val="246"/>
        </w:trPr>
        <w:tc>
          <w:tcPr>
            <w:tcW w:w="169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72E3985D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Trustworthiness</w:t>
            </w:r>
            <w:proofErr w:type="spellEnd"/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20590A3E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Mean(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SD)</w:t>
            </w:r>
          </w:p>
        </w:tc>
        <w:tc>
          <w:tcPr>
            <w:tcW w:w="15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12EABA14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0.01 (0.01)</w:t>
            </w:r>
          </w:p>
        </w:tc>
        <w:tc>
          <w:tcPr>
            <w:tcW w:w="15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51F144AA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0.03 (0.05)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2FE41ED3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0.03 (0.04)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5D7F6229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0.29 (0.17)</w:t>
            </w:r>
          </w:p>
        </w:tc>
      </w:tr>
      <w:tr w:rsidR="00FB48D1" w14:paraId="09420394" w14:textId="77777777" w:rsidTr="00FB48D1">
        <w:trPr>
          <w:trHeight w:val="246"/>
        </w:trPr>
        <w:tc>
          <w:tcPr>
            <w:tcW w:w="0" w:type="auto"/>
            <w:vMerge/>
          </w:tcPr>
          <w:p w14:paraId="59150872" w14:textId="77777777" w:rsidR="00FB48D1" w:rsidRDefault="00FB48D1" w:rsidP="00FB48D1"/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16F1DE26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t-test</w:t>
            </w:r>
          </w:p>
        </w:tc>
        <w:tc>
          <w:tcPr>
            <w:tcW w:w="15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57E41E63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A"/>
                <w:sz w:val="13"/>
                <w:vertAlign w:val="subscrip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 xml:space="preserve"> 1.0, p=.32</w:t>
            </w:r>
          </w:p>
        </w:tc>
        <w:tc>
          <w:tcPr>
            <w:tcW w:w="15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656E99D9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A"/>
                <w:sz w:val="13"/>
                <w:vertAlign w:val="subscrip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 xml:space="preserve"> = 3.81, p&lt;.001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5F110A86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A"/>
                <w:sz w:val="13"/>
                <w:vertAlign w:val="subscrip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 xml:space="preserve"> = 4.79, p&lt;.001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2BCD97B7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A"/>
                <w:sz w:val="13"/>
                <w:vertAlign w:val="subscrip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 xml:space="preserve"> = 10.41, p&lt;.001</w:t>
            </w:r>
          </w:p>
        </w:tc>
      </w:tr>
      <w:tr w:rsidR="00FB48D1" w14:paraId="68560CA9" w14:textId="77777777" w:rsidTr="00FB48D1">
        <w:trPr>
          <w:trHeight w:val="246"/>
        </w:trPr>
        <w:tc>
          <w:tcPr>
            <w:tcW w:w="0" w:type="auto"/>
            <w:vMerge/>
          </w:tcPr>
          <w:p w14:paraId="448FEBCE" w14:textId="77777777" w:rsidR="00FB48D1" w:rsidRDefault="00FB48D1" w:rsidP="00FB48D1"/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605609A9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BF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3"/>
                <w:vertAlign w:val="subscript"/>
              </w:rPr>
              <w:t>10</w:t>
            </w:r>
          </w:p>
        </w:tc>
        <w:tc>
          <w:tcPr>
            <w:tcW w:w="15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5FBD91B4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0.27</w:t>
            </w:r>
          </w:p>
        </w:tc>
        <w:tc>
          <w:tcPr>
            <w:tcW w:w="15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068B8328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57.82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31334410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&gt;100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16C6EBF0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&gt;100</w:t>
            </w:r>
          </w:p>
        </w:tc>
      </w:tr>
      <w:tr w:rsidR="00FB48D1" w14:paraId="3F733304" w14:textId="77777777" w:rsidTr="00FB48D1">
        <w:trPr>
          <w:trHeight w:val="246"/>
        </w:trPr>
        <w:tc>
          <w:tcPr>
            <w:tcW w:w="169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48308B42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Likeability</w:t>
            </w:r>
            <w:proofErr w:type="spellEnd"/>
          </w:p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095B30FB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Mean(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SD)</w:t>
            </w:r>
          </w:p>
        </w:tc>
        <w:tc>
          <w:tcPr>
            <w:tcW w:w="15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0A72C409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0.01 (0.06)</w:t>
            </w:r>
          </w:p>
        </w:tc>
        <w:tc>
          <w:tcPr>
            <w:tcW w:w="15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6FD73F3E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0.04 (0.07)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2FA233A5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0.04 (0.06)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7CA4202C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0.27 (0.17)</w:t>
            </w:r>
          </w:p>
        </w:tc>
      </w:tr>
      <w:tr w:rsidR="00FB48D1" w14:paraId="1FAA7DF6" w14:textId="77777777" w:rsidTr="00FB48D1">
        <w:trPr>
          <w:trHeight w:val="246"/>
        </w:trPr>
        <w:tc>
          <w:tcPr>
            <w:tcW w:w="0" w:type="auto"/>
            <w:vMerge/>
          </w:tcPr>
          <w:p w14:paraId="4179042F" w14:textId="77777777" w:rsidR="00FB48D1" w:rsidRDefault="00FB48D1" w:rsidP="00FB48D1"/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5AA24FD8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t-test</w:t>
            </w:r>
          </w:p>
        </w:tc>
        <w:tc>
          <w:tcPr>
            <w:tcW w:w="15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1FDE0A55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A"/>
                <w:sz w:val="13"/>
                <w:vertAlign w:val="subscrip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 xml:space="preserve"> =1.21, p=.23</w:t>
            </w:r>
          </w:p>
        </w:tc>
        <w:tc>
          <w:tcPr>
            <w:tcW w:w="15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243F11D5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A"/>
                <w:sz w:val="13"/>
                <w:vertAlign w:val="subscrip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 xml:space="preserve"> = 3.52, p=.001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229BDFA3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A"/>
                <w:sz w:val="13"/>
                <w:vertAlign w:val="subscrip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 xml:space="preserve"> = 4.09, p&lt;.001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50DF4016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A"/>
                <w:sz w:val="13"/>
                <w:vertAlign w:val="subscript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 xml:space="preserve"> = 9.57, p&lt;.001</w:t>
            </w:r>
          </w:p>
        </w:tc>
      </w:tr>
      <w:tr w:rsidR="00FB48D1" w14:paraId="798EC41D" w14:textId="77777777" w:rsidTr="00FB48D1">
        <w:trPr>
          <w:trHeight w:val="246"/>
        </w:trPr>
        <w:tc>
          <w:tcPr>
            <w:tcW w:w="0" w:type="auto"/>
            <w:vMerge/>
          </w:tcPr>
          <w:p w14:paraId="6AAF0468" w14:textId="77777777" w:rsidR="00FB48D1" w:rsidRDefault="00FB48D1" w:rsidP="00FB48D1"/>
        </w:tc>
        <w:tc>
          <w:tcPr>
            <w:tcW w:w="13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5748F2E8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6"/>
              </w:rPr>
              <w:t>BF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A"/>
                <w:sz w:val="13"/>
                <w:vertAlign w:val="subscript"/>
              </w:rPr>
              <w:t>10</w:t>
            </w:r>
          </w:p>
        </w:tc>
        <w:tc>
          <w:tcPr>
            <w:tcW w:w="15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249B820E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0.34</w:t>
            </w:r>
          </w:p>
        </w:tc>
        <w:tc>
          <w:tcPr>
            <w:tcW w:w="15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7CD90968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27.17</w:t>
            </w:r>
          </w:p>
        </w:tc>
        <w:tc>
          <w:tcPr>
            <w:tcW w:w="156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2D4ACF12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&gt;100</w:t>
            </w:r>
          </w:p>
        </w:tc>
        <w:tc>
          <w:tcPr>
            <w:tcW w:w="16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0" w:type="dxa"/>
              <w:left w:w="158" w:type="dxa"/>
              <w:bottom w:w="0" w:type="dxa"/>
              <w:right w:w="108" w:type="dxa"/>
            </w:tcMar>
          </w:tcPr>
          <w:p w14:paraId="29F6BBC8" w14:textId="77777777" w:rsidR="00FB48D1" w:rsidRDefault="00FB48D1" w:rsidP="00FB48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113" w:lineRule="atLeas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16"/>
              </w:rPr>
              <w:t>&gt;100</w:t>
            </w:r>
          </w:p>
        </w:tc>
      </w:tr>
    </w:tbl>
    <w:p w14:paraId="6F1E049D" w14:textId="77777777" w:rsidR="00FB48D1" w:rsidRPr="00C6058B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Calibri" w:eastAsia="Calibri" w:hAnsi="Calibri" w:cs="Calibri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0"/>
          <w:lang w:val="en-US"/>
        </w:rPr>
        <w:t>Table S1. One-sample t-tests, and BF</w:t>
      </w:r>
      <w:r w:rsidRPr="00C6058B">
        <w:rPr>
          <w:rFonts w:ascii="Times New Roman" w:eastAsia="Times New Roman" w:hAnsi="Times New Roman" w:cs="Times New Roman"/>
          <w:color w:val="000000"/>
          <w:sz w:val="17"/>
          <w:vertAlign w:val="subscript"/>
          <w:lang w:val="en-US"/>
        </w:rPr>
        <w:t xml:space="preserve">10 </w:t>
      </w:r>
      <w:r w:rsidRPr="00C6058B">
        <w:rPr>
          <w:rFonts w:ascii="Times New Roman" w:eastAsia="Times New Roman" w:hAnsi="Times New Roman" w:cs="Times New Roman"/>
          <w:color w:val="000000"/>
          <w:sz w:val="20"/>
          <w:lang w:val="en-US"/>
        </w:rPr>
        <w:t>indices of the similarity between the RSMs of models of gender, emotional context, facial expression, and prediction strength models and the RSMs of predictability, trustworthiness, and likeability ratings.</w:t>
      </w:r>
    </w:p>
    <w:p w14:paraId="6DA3E1FC" w14:textId="77777777" w:rsidR="00FB48D1" w:rsidRPr="00FB48D1" w:rsidRDefault="00FB48D1" w:rsidP="00FB48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113" w:lineRule="atLeast"/>
        <w:jc w:val="both"/>
        <w:rPr>
          <w:rFonts w:ascii="Calibri" w:eastAsia="Calibri" w:hAnsi="Calibri" w:cs="Calibri"/>
          <w:lang w:val="en-US"/>
        </w:rPr>
      </w:pPr>
      <w:r w:rsidRPr="00FB48D1">
        <w:rPr>
          <w:rFonts w:ascii="Times New Roman" w:eastAsia="Times New Roman" w:hAnsi="Times New Roman" w:cs="Times New Roman"/>
          <w:color w:val="000000"/>
          <w:sz w:val="24"/>
          <w:lang w:val="en-US"/>
        </w:rPr>
        <w:t> 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"/>
        <w:gridCol w:w="9066"/>
      </w:tblGrid>
      <w:tr w:rsidR="00FB48D1" w:rsidRPr="00856BC8" w14:paraId="74E8336E" w14:textId="77777777" w:rsidTr="003951E3">
        <w:trPr>
          <w:gridAfter w:val="1"/>
          <w:wAfter w:w="9354" w:type="dxa"/>
        </w:trPr>
        <w:tc>
          <w:tcPr>
            <w:tcW w:w="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17091" w14:textId="77777777" w:rsidR="00FB48D1" w:rsidRPr="00FB48D1" w:rsidRDefault="00FB48D1" w:rsidP="003951E3">
            <w:pPr>
              <w:spacing w:line="57" w:lineRule="atLeast"/>
              <w:rPr>
                <w:lang w:val="en-US"/>
              </w:rPr>
            </w:pPr>
          </w:p>
        </w:tc>
      </w:tr>
      <w:tr w:rsidR="00FB48D1" w14:paraId="4D1803B0" w14:textId="77777777" w:rsidTr="003951E3">
        <w:tc>
          <w:tcPr>
            <w:tcW w:w="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9EB1D" w14:textId="77777777" w:rsidR="00FB48D1" w:rsidRPr="00FB48D1" w:rsidRDefault="00FB48D1" w:rsidP="003951E3">
            <w:pPr>
              <w:spacing w:line="57" w:lineRule="atLeast"/>
              <w:rPr>
                <w:lang w:val="en-US"/>
              </w:rPr>
            </w:pPr>
          </w:p>
        </w:tc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D7D99" w14:textId="77777777" w:rsidR="00FB48D1" w:rsidRDefault="00FB48D1" w:rsidP="003951E3">
            <w:pPr>
              <w:spacing w:line="57" w:lineRule="atLeast"/>
            </w:pPr>
            <w:r>
              <w:rPr>
                <w:noProof/>
              </w:rPr>
              <w:drawing>
                <wp:inline distT="0" distB="0" distL="0" distR="0" wp14:anchorId="0EF2146D" wp14:editId="7806608D">
                  <wp:extent cx="5367988" cy="1902301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75075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367987" cy="190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525E1D" w14:textId="77777777" w:rsidR="00FB48D1" w:rsidRPr="00C6058B" w:rsidRDefault="00FB48D1" w:rsidP="00FB48D1">
      <w:pPr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Figure S5. Averaged similarities between gender-, emotional context-, facial expression-, and prediction-based models and predictability (A), trustworthiness (B) and likeability (C) ratings. Bar plots and dark dots represent the average scores across participants. Black lines represent standard errors. Dots represent </w:t>
      </w:r>
      <w:proofErr w:type="gramStart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>the similarities</w:t>
      </w:r>
      <w:proofErr w:type="gramEnd"/>
      <w:r w:rsidRPr="00C6058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for single participants (Emotion: Emotional Context; Expression: Facial Expression).</w:t>
      </w:r>
    </w:p>
    <w:p w14:paraId="4BF15CF2" w14:textId="75069247" w:rsidR="00FB48D1" w:rsidRPr="00C6058B" w:rsidRDefault="00FB48D1" w:rsidP="00FB48D1">
      <w:pPr>
        <w:rPr>
          <w:rFonts w:ascii="Calibri" w:eastAsia="Calibri" w:hAnsi="Calibri" w:cs="Calibri"/>
          <w:lang w:val="en-US"/>
        </w:rPr>
      </w:pPr>
    </w:p>
    <w:sectPr w:rsidR="00FB48D1" w:rsidRPr="00C6058B"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C748C" w14:textId="77777777" w:rsidR="00D8251B" w:rsidRDefault="00D8251B">
      <w:pPr>
        <w:spacing w:after="0" w:line="240" w:lineRule="auto"/>
      </w:pPr>
      <w:r>
        <w:separator/>
      </w:r>
    </w:p>
  </w:endnote>
  <w:endnote w:type="continuationSeparator" w:id="0">
    <w:p w14:paraId="21611E3D" w14:textId="77777777" w:rsidR="00D8251B" w:rsidRDefault="00D82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9208151"/>
      <w:docPartObj>
        <w:docPartGallery w:val="Page Numbers (Bottom of Page)"/>
        <w:docPartUnique/>
      </w:docPartObj>
    </w:sdtPr>
    <w:sdtContent>
      <w:p w14:paraId="2366F83E" w14:textId="77777777" w:rsidR="006A062F" w:rsidRDefault="00D97F8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4E1E64" w14:textId="77777777" w:rsidR="006A062F" w:rsidRDefault="006A06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63B77" w14:textId="77777777" w:rsidR="00D8251B" w:rsidRDefault="00D8251B">
      <w:pPr>
        <w:spacing w:after="0" w:line="240" w:lineRule="auto"/>
      </w:pPr>
      <w:r>
        <w:separator/>
      </w:r>
    </w:p>
  </w:footnote>
  <w:footnote w:type="continuationSeparator" w:id="0">
    <w:p w14:paraId="18319CF7" w14:textId="77777777" w:rsidR="00D8251B" w:rsidRDefault="00D82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C5709"/>
    <w:multiLevelType w:val="hybridMultilevel"/>
    <w:tmpl w:val="8ACC40F2"/>
    <w:lvl w:ilvl="0" w:tplc="E89E90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single"/>
      </w:rPr>
    </w:lvl>
    <w:lvl w:ilvl="1" w:tplc="C220FDB4">
      <w:start w:val="1"/>
      <w:numFmt w:val="lowerLetter"/>
      <w:lvlText w:val="%2."/>
      <w:lvlJc w:val="left"/>
      <w:pPr>
        <w:ind w:left="1440" w:hanging="360"/>
      </w:pPr>
    </w:lvl>
    <w:lvl w:ilvl="2" w:tplc="89E23D28">
      <w:start w:val="1"/>
      <w:numFmt w:val="lowerRoman"/>
      <w:lvlText w:val="%3."/>
      <w:lvlJc w:val="right"/>
      <w:pPr>
        <w:ind w:left="2160" w:hanging="180"/>
      </w:pPr>
    </w:lvl>
    <w:lvl w:ilvl="3" w:tplc="ABC63856">
      <w:start w:val="1"/>
      <w:numFmt w:val="decimal"/>
      <w:lvlText w:val="%4."/>
      <w:lvlJc w:val="left"/>
      <w:pPr>
        <w:ind w:left="2880" w:hanging="360"/>
      </w:pPr>
    </w:lvl>
    <w:lvl w:ilvl="4" w:tplc="B1AC8A66">
      <w:start w:val="1"/>
      <w:numFmt w:val="lowerLetter"/>
      <w:lvlText w:val="%5."/>
      <w:lvlJc w:val="left"/>
      <w:pPr>
        <w:ind w:left="3600" w:hanging="360"/>
      </w:pPr>
    </w:lvl>
    <w:lvl w:ilvl="5" w:tplc="E8D4D45C">
      <w:start w:val="1"/>
      <w:numFmt w:val="lowerRoman"/>
      <w:lvlText w:val="%6."/>
      <w:lvlJc w:val="right"/>
      <w:pPr>
        <w:ind w:left="4320" w:hanging="180"/>
      </w:pPr>
    </w:lvl>
    <w:lvl w:ilvl="6" w:tplc="71F4059C">
      <w:start w:val="1"/>
      <w:numFmt w:val="decimal"/>
      <w:lvlText w:val="%7."/>
      <w:lvlJc w:val="left"/>
      <w:pPr>
        <w:ind w:left="5040" w:hanging="360"/>
      </w:pPr>
    </w:lvl>
    <w:lvl w:ilvl="7" w:tplc="91C009EE">
      <w:start w:val="1"/>
      <w:numFmt w:val="lowerLetter"/>
      <w:lvlText w:val="%8."/>
      <w:lvlJc w:val="left"/>
      <w:pPr>
        <w:ind w:left="5760" w:hanging="360"/>
      </w:pPr>
    </w:lvl>
    <w:lvl w:ilvl="8" w:tplc="44B8D5D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77FC3"/>
    <w:multiLevelType w:val="hybridMultilevel"/>
    <w:tmpl w:val="6784A810"/>
    <w:lvl w:ilvl="0" w:tplc="EF9A90BA">
      <w:start w:val="1"/>
      <w:numFmt w:val="decimal"/>
      <w:lvlText w:val="%1."/>
      <w:lvlJc w:val="left"/>
      <w:pPr>
        <w:ind w:left="720" w:hanging="360"/>
      </w:pPr>
    </w:lvl>
    <w:lvl w:ilvl="1" w:tplc="AE00EC78">
      <w:start w:val="1"/>
      <w:numFmt w:val="lowerLetter"/>
      <w:lvlText w:val="%2."/>
      <w:lvlJc w:val="left"/>
      <w:pPr>
        <w:ind w:left="1440" w:hanging="360"/>
      </w:pPr>
    </w:lvl>
    <w:lvl w:ilvl="2" w:tplc="5DBC6F8C">
      <w:start w:val="1"/>
      <w:numFmt w:val="lowerRoman"/>
      <w:lvlText w:val="%3."/>
      <w:lvlJc w:val="right"/>
      <w:pPr>
        <w:ind w:left="2160" w:hanging="180"/>
      </w:pPr>
    </w:lvl>
    <w:lvl w:ilvl="3" w:tplc="EA14BA6E">
      <w:start w:val="1"/>
      <w:numFmt w:val="decimal"/>
      <w:lvlText w:val="%4."/>
      <w:lvlJc w:val="left"/>
      <w:pPr>
        <w:ind w:left="2880" w:hanging="360"/>
      </w:pPr>
    </w:lvl>
    <w:lvl w:ilvl="4" w:tplc="94F896EE">
      <w:start w:val="1"/>
      <w:numFmt w:val="lowerLetter"/>
      <w:lvlText w:val="%5."/>
      <w:lvlJc w:val="left"/>
      <w:pPr>
        <w:ind w:left="3600" w:hanging="360"/>
      </w:pPr>
    </w:lvl>
    <w:lvl w:ilvl="5" w:tplc="B4D0055E">
      <w:start w:val="1"/>
      <w:numFmt w:val="lowerRoman"/>
      <w:lvlText w:val="%6."/>
      <w:lvlJc w:val="right"/>
      <w:pPr>
        <w:ind w:left="4320" w:hanging="180"/>
      </w:pPr>
    </w:lvl>
    <w:lvl w:ilvl="6" w:tplc="3F1EE1A6">
      <w:start w:val="1"/>
      <w:numFmt w:val="decimal"/>
      <w:lvlText w:val="%7."/>
      <w:lvlJc w:val="left"/>
      <w:pPr>
        <w:ind w:left="5040" w:hanging="360"/>
      </w:pPr>
    </w:lvl>
    <w:lvl w:ilvl="7" w:tplc="5AE811C6">
      <w:start w:val="1"/>
      <w:numFmt w:val="lowerLetter"/>
      <w:lvlText w:val="%8."/>
      <w:lvlJc w:val="left"/>
      <w:pPr>
        <w:ind w:left="5760" w:hanging="360"/>
      </w:pPr>
    </w:lvl>
    <w:lvl w:ilvl="8" w:tplc="5F22388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0352A"/>
    <w:multiLevelType w:val="hybridMultilevel"/>
    <w:tmpl w:val="7F2E81F6"/>
    <w:lvl w:ilvl="0" w:tplc="2D4C1A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single"/>
      </w:rPr>
    </w:lvl>
    <w:lvl w:ilvl="1" w:tplc="5EA20A9E">
      <w:start w:val="1"/>
      <w:numFmt w:val="lowerLetter"/>
      <w:lvlText w:val="%2."/>
      <w:lvlJc w:val="left"/>
      <w:pPr>
        <w:ind w:left="1440" w:hanging="360"/>
      </w:pPr>
    </w:lvl>
    <w:lvl w:ilvl="2" w:tplc="8F3096FE">
      <w:start w:val="1"/>
      <w:numFmt w:val="lowerRoman"/>
      <w:lvlText w:val="%3."/>
      <w:lvlJc w:val="right"/>
      <w:pPr>
        <w:ind w:left="2160" w:hanging="180"/>
      </w:pPr>
    </w:lvl>
    <w:lvl w:ilvl="3" w:tplc="FF564ED8">
      <w:start w:val="1"/>
      <w:numFmt w:val="decimal"/>
      <w:lvlText w:val="%4."/>
      <w:lvlJc w:val="left"/>
      <w:pPr>
        <w:ind w:left="2880" w:hanging="360"/>
      </w:pPr>
    </w:lvl>
    <w:lvl w:ilvl="4" w:tplc="229E6C8E">
      <w:start w:val="1"/>
      <w:numFmt w:val="lowerLetter"/>
      <w:lvlText w:val="%5."/>
      <w:lvlJc w:val="left"/>
      <w:pPr>
        <w:ind w:left="3600" w:hanging="360"/>
      </w:pPr>
    </w:lvl>
    <w:lvl w:ilvl="5" w:tplc="1AA6A614">
      <w:start w:val="1"/>
      <w:numFmt w:val="lowerRoman"/>
      <w:lvlText w:val="%6."/>
      <w:lvlJc w:val="right"/>
      <w:pPr>
        <w:ind w:left="4320" w:hanging="180"/>
      </w:pPr>
    </w:lvl>
    <w:lvl w:ilvl="6" w:tplc="EC44865E">
      <w:start w:val="1"/>
      <w:numFmt w:val="decimal"/>
      <w:lvlText w:val="%7."/>
      <w:lvlJc w:val="left"/>
      <w:pPr>
        <w:ind w:left="5040" w:hanging="360"/>
      </w:pPr>
    </w:lvl>
    <w:lvl w:ilvl="7" w:tplc="41E69A9E">
      <w:start w:val="1"/>
      <w:numFmt w:val="lowerLetter"/>
      <w:lvlText w:val="%8."/>
      <w:lvlJc w:val="left"/>
      <w:pPr>
        <w:ind w:left="5760" w:hanging="360"/>
      </w:pPr>
    </w:lvl>
    <w:lvl w:ilvl="8" w:tplc="0C0C80E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D53C2"/>
    <w:multiLevelType w:val="hybridMultilevel"/>
    <w:tmpl w:val="FB3E0826"/>
    <w:lvl w:ilvl="0" w:tplc="E50ED736">
      <w:start w:val="1"/>
      <w:numFmt w:val="decimal"/>
      <w:lvlText w:val="%1."/>
      <w:lvlJc w:val="left"/>
      <w:pPr>
        <w:ind w:left="720" w:hanging="360"/>
      </w:pPr>
    </w:lvl>
    <w:lvl w:ilvl="1" w:tplc="BFDA9DBC">
      <w:start w:val="1"/>
      <w:numFmt w:val="lowerLetter"/>
      <w:lvlText w:val="%2."/>
      <w:lvlJc w:val="left"/>
      <w:pPr>
        <w:ind w:left="1440" w:hanging="360"/>
      </w:pPr>
    </w:lvl>
    <w:lvl w:ilvl="2" w:tplc="BDE481D0">
      <w:start w:val="1"/>
      <w:numFmt w:val="lowerRoman"/>
      <w:lvlText w:val="%3."/>
      <w:lvlJc w:val="right"/>
      <w:pPr>
        <w:ind w:left="2160" w:hanging="180"/>
      </w:pPr>
    </w:lvl>
    <w:lvl w:ilvl="3" w:tplc="78B2AD56">
      <w:start w:val="1"/>
      <w:numFmt w:val="decimal"/>
      <w:lvlText w:val="%4."/>
      <w:lvlJc w:val="left"/>
      <w:pPr>
        <w:ind w:left="2880" w:hanging="360"/>
      </w:pPr>
    </w:lvl>
    <w:lvl w:ilvl="4" w:tplc="4B1A93F6">
      <w:start w:val="1"/>
      <w:numFmt w:val="lowerLetter"/>
      <w:lvlText w:val="%5."/>
      <w:lvlJc w:val="left"/>
      <w:pPr>
        <w:ind w:left="3600" w:hanging="360"/>
      </w:pPr>
    </w:lvl>
    <w:lvl w:ilvl="5" w:tplc="E6E68ED0">
      <w:start w:val="1"/>
      <w:numFmt w:val="lowerRoman"/>
      <w:lvlText w:val="%6."/>
      <w:lvlJc w:val="right"/>
      <w:pPr>
        <w:ind w:left="4320" w:hanging="180"/>
      </w:pPr>
    </w:lvl>
    <w:lvl w:ilvl="6" w:tplc="6CE60E9C">
      <w:start w:val="1"/>
      <w:numFmt w:val="decimal"/>
      <w:lvlText w:val="%7."/>
      <w:lvlJc w:val="left"/>
      <w:pPr>
        <w:ind w:left="5040" w:hanging="360"/>
      </w:pPr>
    </w:lvl>
    <w:lvl w:ilvl="7" w:tplc="F92A47CA">
      <w:start w:val="1"/>
      <w:numFmt w:val="lowerLetter"/>
      <w:lvlText w:val="%8."/>
      <w:lvlJc w:val="left"/>
      <w:pPr>
        <w:ind w:left="5760" w:hanging="360"/>
      </w:pPr>
    </w:lvl>
    <w:lvl w:ilvl="8" w:tplc="A648B0BA">
      <w:start w:val="1"/>
      <w:numFmt w:val="lowerRoman"/>
      <w:lvlText w:val="%9."/>
      <w:lvlJc w:val="right"/>
      <w:pPr>
        <w:ind w:left="6480" w:hanging="180"/>
      </w:pPr>
    </w:lvl>
  </w:abstractNum>
  <w:num w:numId="1" w16cid:durableId="1058438768">
    <w:abstractNumId w:val="0"/>
  </w:num>
  <w:num w:numId="2" w16cid:durableId="492182829">
    <w:abstractNumId w:val="2"/>
  </w:num>
  <w:num w:numId="3" w16cid:durableId="248082994">
    <w:abstractNumId w:val="3"/>
  </w:num>
  <w:num w:numId="4" w16cid:durableId="72171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F82"/>
    <w:rsid w:val="00204E70"/>
    <w:rsid w:val="0023510C"/>
    <w:rsid w:val="003337B5"/>
    <w:rsid w:val="00593903"/>
    <w:rsid w:val="005A67BE"/>
    <w:rsid w:val="005E6B10"/>
    <w:rsid w:val="006A062F"/>
    <w:rsid w:val="007B43CA"/>
    <w:rsid w:val="0082506D"/>
    <w:rsid w:val="00856BC8"/>
    <w:rsid w:val="008C02D2"/>
    <w:rsid w:val="00A56A11"/>
    <w:rsid w:val="00A86BC9"/>
    <w:rsid w:val="00B55F65"/>
    <w:rsid w:val="00BF7C12"/>
    <w:rsid w:val="00C178D6"/>
    <w:rsid w:val="00CB1710"/>
    <w:rsid w:val="00CD5456"/>
    <w:rsid w:val="00D8251B"/>
    <w:rsid w:val="00D97F82"/>
    <w:rsid w:val="00DA4862"/>
    <w:rsid w:val="00EB1F63"/>
    <w:rsid w:val="00FA36E0"/>
    <w:rsid w:val="00FB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4C7E07"/>
  <w15:chartTrackingRefBased/>
  <w15:docId w15:val="{FE1FCB3F-78A3-4B64-B762-3CE5E123A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F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ameContents">
    <w:name w:val="Frame Contents"/>
    <w:basedOn w:val="Normal"/>
    <w:qFormat/>
    <w:rsid w:val="00D97F82"/>
    <w:pPr>
      <w:spacing w:after="0" w:line="240" w:lineRule="auto"/>
    </w:pPr>
    <w:rPr>
      <w:rFonts w:ascii="Calibri" w:eastAsia="Calibri" w:hAnsi="Calibri" w:cs="Lucida Sans"/>
      <w:color w:val="00000A"/>
      <w:sz w:val="24"/>
      <w:szCs w:val="24"/>
      <w:lang w:val="en-US"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D97F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7F82"/>
  </w:style>
  <w:style w:type="paragraph" w:styleId="ListParagraph">
    <w:name w:val="List Paragraph"/>
    <w:basedOn w:val="Normal"/>
    <w:uiPriority w:val="34"/>
    <w:qFormat/>
    <w:rsid w:val="00D97F82"/>
    <w:pPr>
      <w:ind w:left="720"/>
      <w:contextualSpacing/>
    </w:pPr>
  </w:style>
  <w:style w:type="paragraph" w:customStyle="1" w:styleId="Standard1">
    <w:name w:val="Standard1"/>
    <w:qFormat/>
    <w:rsid w:val="00CD5456"/>
    <w:pPr>
      <w:spacing w:after="160" w:line="259" w:lineRule="auto"/>
    </w:pPr>
    <w:rPr>
      <w:rFonts w:ascii="Calibri" w:eastAsia="Calibri" w:hAnsi="Calibri" w:cs="Tahoma"/>
    </w:rPr>
  </w:style>
  <w:style w:type="paragraph" w:styleId="BodyText">
    <w:name w:val="Body Text"/>
    <w:basedOn w:val="Normal"/>
    <w:link w:val="BodyTextChar"/>
    <w:uiPriority w:val="99"/>
    <w:unhideWhenUsed/>
    <w:rsid w:val="00CD545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D5456"/>
  </w:style>
  <w:style w:type="paragraph" w:styleId="FootnoteText">
    <w:name w:val="footnote text"/>
    <w:basedOn w:val="Normal"/>
    <w:link w:val="FootnoteTextChar1"/>
    <w:uiPriority w:val="99"/>
    <w:semiHidden/>
    <w:unhideWhenUsed/>
    <w:rsid w:val="00FA36E0"/>
    <w:pPr>
      <w:spacing w:after="0" w:line="240" w:lineRule="auto"/>
    </w:pPr>
    <w:rPr>
      <w:rFonts w:ascii="Calibri" w:eastAsia="Calibri" w:hAnsi="Calibri" w:cs="Calibr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uiPriority w:val="99"/>
    <w:semiHidden/>
    <w:rsid w:val="00FA36E0"/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FA36E0"/>
    <w:rPr>
      <w:rFonts w:ascii="Calibri" w:eastAsia="Calibri" w:hAnsi="Calibri" w:cs="Calibri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A36E0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A36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36E0"/>
    <w:pPr>
      <w:spacing w:after="160" w:line="240" w:lineRule="auto"/>
    </w:pPr>
    <w:rPr>
      <w:rFonts w:ascii="Calibri" w:eastAsia="Calibri" w:hAnsi="Calibri" w:cs="Calibri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36E0"/>
    <w:rPr>
      <w:rFonts w:ascii="Calibri" w:eastAsia="Calibri" w:hAnsi="Calibri" w:cs="Calibri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FB48D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1780</Words>
  <Characters>10146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Ventura-Bort</dc:creator>
  <cp:keywords/>
  <dc:description/>
  <cp:lastModifiedBy>Carlos Ventura-Bort</cp:lastModifiedBy>
  <cp:revision>3</cp:revision>
  <dcterms:created xsi:type="dcterms:W3CDTF">2026-02-09T09:32:00Z</dcterms:created>
  <dcterms:modified xsi:type="dcterms:W3CDTF">2026-02-09T11:35:00Z</dcterms:modified>
</cp:coreProperties>
</file>