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8A7" w:rsidRPr="001638A7" w:rsidRDefault="001638A7" w:rsidP="001638A7">
      <w:pPr>
        <w:pStyle w:val="TAMainText"/>
        <w:rPr>
          <w:b/>
          <w:sz w:val="32"/>
          <w:szCs w:val="32"/>
        </w:rPr>
      </w:pPr>
      <w:r w:rsidRPr="001638A7">
        <w:rPr>
          <w:b/>
          <w:sz w:val="32"/>
          <w:szCs w:val="32"/>
        </w:rPr>
        <w:t>Supplementary Information</w:t>
      </w:r>
    </w:p>
    <w:p w:rsidR="00786603" w:rsidRPr="0006152E" w:rsidRDefault="00786603" w:rsidP="00786603">
      <w:pPr>
        <w:pStyle w:val="BATitle"/>
        <w:rPr>
          <w:b/>
          <w:sz w:val="28"/>
          <w:szCs w:val="28"/>
        </w:rPr>
      </w:pPr>
      <w:r w:rsidRPr="0006152E">
        <w:rPr>
          <w:b/>
          <w:sz w:val="28"/>
          <w:szCs w:val="28"/>
        </w:rPr>
        <w:t>Characterizing space-time patterns of nitrogen oxides (NO</w:t>
      </w:r>
      <w:r w:rsidRPr="0006152E">
        <w:rPr>
          <w:b/>
          <w:sz w:val="28"/>
          <w:szCs w:val="28"/>
          <w:vertAlign w:val="subscript"/>
        </w:rPr>
        <w:t>2</w:t>
      </w:r>
      <w:r w:rsidRPr="0006152E">
        <w:rPr>
          <w:b/>
          <w:sz w:val="28"/>
          <w:szCs w:val="28"/>
        </w:rPr>
        <w:t xml:space="preserve"> and NO) pollution in Kigali, Rwanda</w:t>
      </w:r>
    </w:p>
    <w:p w:rsidR="00786603" w:rsidRPr="000274D0" w:rsidRDefault="00786603" w:rsidP="00786603">
      <w:pPr>
        <w:spacing w:after="0"/>
        <w:rPr>
          <w:rFonts w:ascii="Arial" w:hAnsi="Arial" w:cs="Arial"/>
          <w:sz w:val="22"/>
          <w:szCs w:val="22"/>
        </w:rPr>
      </w:pPr>
    </w:p>
    <w:p w:rsidR="00786603" w:rsidRPr="000274D0" w:rsidRDefault="00786603" w:rsidP="00786603">
      <w:pPr>
        <w:pStyle w:val="BBAuthorName"/>
      </w:pPr>
      <w:proofErr w:type="spellStart"/>
      <w:r w:rsidRPr="000274D0">
        <w:t>Pacifique</w:t>
      </w:r>
      <w:proofErr w:type="spellEnd"/>
      <w:r w:rsidRPr="000274D0">
        <w:t xml:space="preserve"> Karekezi</w:t>
      </w:r>
      <w:r w:rsidRPr="000274D0">
        <w:rPr>
          <w:vertAlign w:val="superscript"/>
        </w:rPr>
        <w:t>1,2</w:t>
      </w:r>
      <w:r w:rsidRPr="000274D0">
        <w:t>, Kate A Kyeremateng</w:t>
      </w:r>
      <w:r w:rsidRPr="000274D0">
        <w:rPr>
          <w:vertAlign w:val="superscript"/>
        </w:rPr>
        <w:t>3,4</w:t>
      </w:r>
      <w:r w:rsidRPr="000274D0">
        <w:t>, Carissa L Lange</w:t>
      </w:r>
      <w:r w:rsidRPr="000274D0">
        <w:rPr>
          <w:vertAlign w:val="superscript"/>
        </w:rPr>
        <w:t>3</w:t>
      </w:r>
      <w:r w:rsidRPr="000274D0">
        <w:t>, Chantal Umutoni</w:t>
      </w:r>
      <w:r w:rsidRPr="000274D0">
        <w:rPr>
          <w:vertAlign w:val="superscript"/>
        </w:rPr>
        <w:t>1,2</w:t>
      </w:r>
      <w:r w:rsidRPr="000274D0">
        <w:t>, Jean Remy Kubwimana</w:t>
      </w:r>
      <w:r w:rsidRPr="000274D0">
        <w:rPr>
          <w:vertAlign w:val="superscript"/>
        </w:rPr>
        <w:t>1,2</w:t>
      </w:r>
      <w:r w:rsidRPr="000274D0">
        <w:t>, James Nimo</w:t>
      </w:r>
      <w:r w:rsidRPr="000274D0">
        <w:rPr>
          <w:vertAlign w:val="superscript"/>
        </w:rPr>
        <w:t>5,6</w:t>
      </w:r>
      <w:r w:rsidRPr="000274D0">
        <w:t xml:space="preserve">, </w:t>
      </w:r>
      <w:proofErr w:type="spellStart"/>
      <w:r w:rsidRPr="000274D0">
        <w:t>Jiayuan</w:t>
      </w:r>
      <w:proofErr w:type="spellEnd"/>
      <w:r w:rsidRPr="000274D0">
        <w:t xml:space="preserve"> Wang</w:t>
      </w:r>
      <w:r w:rsidRPr="000274D0">
        <w:rPr>
          <w:vertAlign w:val="superscript"/>
        </w:rPr>
        <w:t>3</w:t>
      </w:r>
      <w:r w:rsidRPr="000274D0">
        <w:t>, Barbara E Mottey</w:t>
      </w:r>
      <w:r w:rsidRPr="000274D0">
        <w:rPr>
          <w:vertAlign w:val="superscript"/>
        </w:rPr>
        <w:t>3</w:t>
      </w:r>
      <w:r w:rsidRPr="000274D0">
        <w:t xml:space="preserve">, </w:t>
      </w:r>
      <w:proofErr w:type="spellStart"/>
      <w:r w:rsidRPr="000274D0">
        <w:t>Paterne</w:t>
      </w:r>
      <w:proofErr w:type="spellEnd"/>
      <w:r w:rsidRPr="000274D0">
        <w:t xml:space="preserve"> Gahungu</w:t>
      </w:r>
      <w:r w:rsidRPr="000274D0">
        <w:rPr>
          <w:vertAlign w:val="superscript"/>
        </w:rPr>
        <w:t>2,7</w:t>
      </w:r>
      <w:r w:rsidRPr="000274D0">
        <w:t>, Silas S Mirau</w:t>
      </w:r>
      <w:r w:rsidRPr="000274D0">
        <w:rPr>
          <w:vertAlign w:val="superscript"/>
        </w:rPr>
        <w:t>1</w:t>
      </w:r>
      <w:r w:rsidRPr="000274D0">
        <w:t>, Claudette Nyinawumuntu</w:t>
      </w:r>
      <w:r w:rsidRPr="000274D0">
        <w:rPr>
          <w:vertAlign w:val="superscript"/>
        </w:rPr>
        <w:t>2</w:t>
      </w:r>
      <w:r w:rsidRPr="000274D0">
        <w:t>, Samson Niyizirugero</w:t>
      </w:r>
      <w:r w:rsidRPr="000274D0">
        <w:rPr>
          <w:vertAlign w:val="superscript"/>
        </w:rPr>
        <w:t>2</w:t>
      </w:r>
      <w:r w:rsidRPr="000274D0">
        <w:t>, Pie-Celestin Hakizimana</w:t>
      </w:r>
      <w:r w:rsidRPr="000274D0">
        <w:rPr>
          <w:vertAlign w:val="superscript"/>
        </w:rPr>
        <w:t>8</w:t>
      </w:r>
      <w:r w:rsidRPr="000274D0">
        <w:t xml:space="preserve">, </w:t>
      </w:r>
      <w:proofErr w:type="spellStart"/>
      <w:r w:rsidRPr="000274D0">
        <w:t>Isambi</w:t>
      </w:r>
      <w:proofErr w:type="spellEnd"/>
      <w:r w:rsidRPr="000274D0">
        <w:t xml:space="preserve"> S Mbalawata</w:t>
      </w:r>
      <w:r w:rsidRPr="000274D0">
        <w:rPr>
          <w:vertAlign w:val="superscript"/>
        </w:rPr>
        <w:t>2</w:t>
      </w:r>
      <w:r w:rsidRPr="000274D0">
        <w:t>, Majid Ezzati</w:t>
      </w:r>
      <w:r w:rsidRPr="000274D0">
        <w:rPr>
          <w:vertAlign w:val="superscript"/>
        </w:rPr>
        <w:t>9-12</w:t>
      </w:r>
      <w:r w:rsidRPr="000274D0">
        <w:t>, Allison F Hughes</w:t>
      </w:r>
      <w:r w:rsidRPr="000274D0">
        <w:rPr>
          <w:vertAlign w:val="superscript"/>
        </w:rPr>
        <w:t>5</w:t>
      </w:r>
      <w:r w:rsidRPr="000274D0">
        <w:t>, Raphael E Arku</w:t>
      </w:r>
      <w:r w:rsidRPr="000274D0">
        <w:rPr>
          <w:vertAlign w:val="superscript"/>
        </w:rPr>
        <w:t>3,*</w:t>
      </w:r>
    </w:p>
    <w:p w:rsidR="00786603" w:rsidRPr="000274D0" w:rsidRDefault="00786603" w:rsidP="00786603">
      <w:pPr>
        <w:spacing w:after="0"/>
        <w:rPr>
          <w:rFonts w:ascii="Arial" w:hAnsi="Arial" w:cs="Arial"/>
          <w:sz w:val="22"/>
          <w:szCs w:val="22"/>
        </w:rPr>
      </w:pPr>
    </w:p>
    <w:p w:rsidR="00786603" w:rsidRPr="000274D0" w:rsidRDefault="00786603" w:rsidP="00786603">
      <w:pPr>
        <w:pStyle w:val="BCAuthorAddress"/>
        <w:spacing w:line="276" w:lineRule="auto"/>
      </w:pPr>
      <w:r w:rsidRPr="000274D0">
        <w:rPr>
          <w:vertAlign w:val="superscript"/>
        </w:rPr>
        <w:t>1</w:t>
      </w:r>
      <w:r w:rsidRPr="000274D0">
        <w:t>School of Computational and Communication Science and Engineering,</w:t>
      </w:r>
      <w:r>
        <w:t xml:space="preserve"> </w:t>
      </w:r>
      <w:proofErr w:type="gramStart"/>
      <w:r w:rsidRPr="000274D0">
        <w:t>The</w:t>
      </w:r>
      <w:proofErr w:type="gramEnd"/>
      <w:r w:rsidRPr="000274D0">
        <w:t xml:space="preserve"> Nelson Mandela </w:t>
      </w:r>
      <w:r w:rsidR="00BD3E47">
        <w:t xml:space="preserve">African </w:t>
      </w:r>
      <w:r w:rsidRPr="000274D0">
        <w:t>Institution of Science and Technology, Arusha, Tanzania</w:t>
      </w:r>
    </w:p>
    <w:p w:rsidR="00786603" w:rsidRPr="000274D0" w:rsidRDefault="00786603" w:rsidP="00786603">
      <w:pPr>
        <w:pStyle w:val="BCAuthorAddress"/>
        <w:spacing w:line="276" w:lineRule="auto"/>
      </w:pPr>
      <w:r w:rsidRPr="000274D0">
        <w:rPr>
          <w:vertAlign w:val="superscript"/>
        </w:rPr>
        <w:t>2</w:t>
      </w:r>
      <w:r w:rsidRPr="000274D0">
        <w:t>African Institute for Mathematical Sciences, Research and Innovation Centre, Kigali, Rwanda</w:t>
      </w:r>
    </w:p>
    <w:p w:rsidR="00786603" w:rsidRPr="000274D0" w:rsidRDefault="00786603" w:rsidP="00786603">
      <w:pPr>
        <w:pStyle w:val="BCAuthorAddress"/>
        <w:spacing w:line="276" w:lineRule="auto"/>
      </w:pPr>
      <w:r w:rsidRPr="000274D0">
        <w:rPr>
          <w:vertAlign w:val="superscript"/>
        </w:rPr>
        <w:t>3</w:t>
      </w:r>
      <w:r w:rsidRPr="000274D0">
        <w:t>Department of Environmental Health Sciences, University of Massachusetts, Amherst, MA, USA</w:t>
      </w:r>
    </w:p>
    <w:p w:rsidR="00786603" w:rsidRPr="000274D0" w:rsidRDefault="00786603" w:rsidP="00786603">
      <w:pPr>
        <w:pStyle w:val="BCAuthorAddress"/>
        <w:spacing w:line="276" w:lineRule="auto"/>
        <w:rPr>
          <w:shd w:val="clear" w:color="auto" w:fill="FFFFFF"/>
        </w:rPr>
      </w:pPr>
      <w:r w:rsidRPr="000274D0">
        <w:rPr>
          <w:vertAlign w:val="superscript"/>
        </w:rPr>
        <w:t>4</w:t>
      </w:r>
      <w:r w:rsidRPr="000274D0">
        <w:rPr>
          <w:shd w:val="clear" w:color="auto" w:fill="FFFFFF"/>
        </w:rPr>
        <w:t>Department of Biostatistics and Epidemiology, University of Massachusetts, Amherst, MA, USA</w:t>
      </w:r>
    </w:p>
    <w:p w:rsidR="00786603" w:rsidRPr="000274D0" w:rsidRDefault="00786603" w:rsidP="00786603">
      <w:pPr>
        <w:pStyle w:val="BCAuthorAddress"/>
        <w:spacing w:line="276" w:lineRule="auto"/>
      </w:pPr>
      <w:r w:rsidRPr="000274D0">
        <w:rPr>
          <w:vertAlign w:val="superscript"/>
        </w:rPr>
        <w:t>5</w:t>
      </w:r>
      <w:r w:rsidRPr="000274D0">
        <w:t>Department of Physics, University of Ghana, Accra, Ghana</w:t>
      </w:r>
    </w:p>
    <w:p w:rsidR="00786603" w:rsidRPr="000274D0" w:rsidRDefault="00786603" w:rsidP="00786603">
      <w:pPr>
        <w:pStyle w:val="BCAuthorAddress"/>
        <w:spacing w:line="276" w:lineRule="auto"/>
      </w:pPr>
      <w:r w:rsidRPr="000274D0">
        <w:rPr>
          <w:vertAlign w:val="superscript"/>
        </w:rPr>
        <w:t>6</w:t>
      </w:r>
      <w:r w:rsidRPr="000274D0">
        <w:t>Department of Environmental &amp; Sustainable Engineering, State University of New York, Albany, USA</w:t>
      </w:r>
    </w:p>
    <w:p w:rsidR="00786603" w:rsidRPr="000274D0" w:rsidRDefault="00786603" w:rsidP="00786603">
      <w:pPr>
        <w:pStyle w:val="BCAuthorAddress"/>
        <w:spacing w:line="276" w:lineRule="auto"/>
      </w:pPr>
      <w:r w:rsidRPr="000274D0">
        <w:rPr>
          <w:vertAlign w:val="superscript"/>
        </w:rPr>
        <w:t>7</w:t>
      </w:r>
      <w:r w:rsidRPr="000274D0">
        <w:t>Department of Mathematics, Faculty of Natural Sciences, Imperial College London, London, UK</w:t>
      </w:r>
    </w:p>
    <w:p w:rsidR="00786603" w:rsidRPr="000274D0" w:rsidRDefault="00786603" w:rsidP="00786603">
      <w:pPr>
        <w:pStyle w:val="BCAuthorAddress"/>
        <w:spacing w:line="276" w:lineRule="auto"/>
      </w:pPr>
      <w:r w:rsidRPr="000274D0">
        <w:rPr>
          <w:vertAlign w:val="superscript"/>
        </w:rPr>
        <w:t>8</w:t>
      </w:r>
      <w:r w:rsidRPr="000274D0">
        <w:t>Rwanda Environment Management Authority, Kigali, Rwanda</w:t>
      </w:r>
    </w:p>
    <w:p w:rsidR="00786603" w:rsidRPr="000274D0" w:rsidRDefault="00786603" w:rsidP="00786603">
      <w:pPr>
        <w:pStyle w:val="BCAuthorAddress"/>
        <w:spacing w:line="276" w:lineRule="auto"/>
      </w:pPr>
      <w:r w:rsidRPr="000274D0">
        <w:rPr>
          <w:vertAlign w:val="superscript"/>
        </w:rPr>
        <w:t>9</w:t>
      </w:r>
      <w:r w:rsidRPr="000274D0">
        <w:t>Department of Epidemiology and Biostatistics, School of Public Health, Imperial College London, London, UK</w:t>
      </w:r>
    </w:p>
    <w:p w:rsidR="00786603" w:rsidRPr="000274D0" w:rsidRDefault="00786603" w:rsidP="00786603">
      <w:pPr>
        <w:pStyle w:val="BCAuthorAddress"/>
        <w:spacing w:line="276" w:lineRule="auto"/>
      </w:pPr>
      <w:r w:rsidRPr="000274D0">
        <w:rPr>
          <w:vertAlign w:val="superscript"/>
        </w:rPr>
        <w:t>10</w:t>
      </w:r>
      <w:r w:rsidRPr="000274D0">
        <w:t>Regional Institute for Population Studies, University of Ghana, Accra, Ghana</w:t>
      </w:r>
    </w:p>
    <w:p w:rsidR="00786603" w:rsidRPr="000274D0" w:rsidRDefault="00786603" w:rsidP="00786603">
      <w:pPr>
        <w:pStyle w:val="BCAuthorAddress"/>
        <w:spacing w:line="276" w:lineRule="auto"/>
      </w:pPr>
      <w:r w:rsidRPr="000274D0">
        <w:rPr>
          <w:vertAlign w:val="superscript"/>
        </w:rPr>
        <w:t xml:space="preserve">11 </w:t>
      </w:r>
      <w:r w:rsidRPr="000274D0">
        <w:t>MRC Centre for Environment and Health, School of Public Health, Imperial College London, London, UK</w:t>
      </w:r>
    </w:p>
    <w:p w:rsidR="00786603" w:rsidRPr="000274D0" w:rsidRDefault="00786603" w:rsidP="00786603">
      <w:pPr>
        <w:pStyle w:val="BCAuthorAddress"/>
        <w:spacing w:line="276" w:lineRule="auto"/>
      </w:pPr>
      <w:r w:rsidRPr="000274D0">
        <w:rPr>
          <w:vertAlign w:val="superscript"/>
        </w:rPr>
        <w:t>12</w:t>
      </w:r>
      <w:r w:rsidRPr="000274D0">
        <w:rPr>
          <w:lang w:val="en-GB"/>
        </w:rPr>
        <w:t>Imperial Global Ghana, Accra, Ghana</w:t>
      </w:r>
    </w:p>
    <w:p w:rsidR="00786603" w:rsidRPr="000274D0" w:rsidRDefault="00786603" w:rsidP="00786603">
      <w:pPr>
        <w:pStyle w:val="BCAuthorAddress"/>
        <w:spacing w:line="276" w:lineRule="auto"/>
      </w:pPr>
    </w:p>
    <w:p w:rsidR="00786603" w:rsidRPr="000274D0" w:rsidRDefault="00786603" w:rsidP="00786603">
      <w:pPr>
        <w:pStyle w:val="FACorrespondingAuthorFootnote"/>
        <w:spacing w:line="276" w:lineRule="auto"/>
      </w:pPr>
      <w:r w:rsidRPr="000274D0">
        <w:t xml:space="preserve">* Correspondence to: </w:t>
      </w:r>
    </w:p>
    <w:p w:rsidR="00786603" w:rsidRPr="000274D0" w:rsidRDefault="00786603" w:rsidP="00786603">
      <w:pPr>
        <w:pStyle w:val="FACorrespondingAuthorFootnote"/>
        <w:spacing w:line="276" w:lineRule="auto"/>
        <w:rPr>
          <w:iCs/>
        </w:rPr>
      </w:pPr>
      <w:r w:rsidRPr="000274D0">
        <w:rPr>
          <w:iCs/>
          <w:lang w:val="en-CA"/>
        </w:rPr>
        <w:t xml:space="preserve">Raphael E </w:t>
      </w:r>
      <w:proofErr w:type="spellStart"/>
      <w:r w:rsidRPr="000274D0">
        <w:rPr>
          <w:iCs/>
          <w:lang w:val="en-CA"/>
        </w:rPr>
        <w:t>Arku</w:t>
      </w:r>
      <w:proofErr w:type="spellEnd"/>
    </w:p>
    <w:p w:rsidR="00786603" w:rsidRPr="000274D0" w:rsidRDefault="00786603" w:rsidP="00786603">
      <w:pPr>
        <w:pStyle w:val="FACorrespondingAuthorFootnote"/>
        <w:spacing w:line="276" w:lineRule="auto"/>
        <w:rPr>
          <w:iCs/>
          <w:lang w:val="en-CA"/>
        </w:rPr>
      </w:pPr>
      <w:r w:rsidRPr="000274D0">
        <w:rPr>
          <w:iCs/>
          <w:lang w:val="en-CA"/>
        </w:rPr>
        <w:t xml:space="preserve">School of Public Health and Health Sciences </w:t>
      </w:r>
    </w:p>
    <w:p w:rsidR="00786603" w:rsidRPr="000274D0" w:rsidRDefault="00786603" w:rsidP="00786603">
      <w:pPr>
        <w:pStyle w:val="FACorrespondingAuthorFootnote"/>
        <w:spacing w:line="276" w:lineRule="auto"/>
        <w:rPr>
          <w:iCs/>
          <w:lang w:val="en-CA"/>
        </w:rPr>
      </w:pPr>
      <w:r w:rsidRPr="000274D0">
        <w:rPr>
          <w:iCs/>
          <w:lang w:val="en-CA"/>
        </w:rPr>
        <w:t>University of Massachusetts Amherst, MA, USA</w:t>
      </w:r>
    </w:p>
    <w:p w:rsidR="00786603" w:rsidRPr="001163C6" w:rsidRDefault="00786603" w:rsidP="00786603">
      <w:pPr>
        <w:pStyle w:val="FACorrespondingAuthorFootnote"/>
        <w:spacing w:line="276" w:lineRule="auto"/>
      </w:pPr>
      <w:r w:rsidRPr="000274D0">
        <w:t>E-mail: rarku@umass.edu</w:t>
      </w: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786603" w:rsidRDefault="00786603" w:rsidP="004C32B4">
      <w:pPr>
        <w:rPr>
          <w:rFonts w:ascii="Arial" w:hAnsi="Arial" w:cs="Arial"/>
          <w:b/>
          <w:sz w:val="22"/>
          <w:szCs w:val="22"/>
          <w:u w:val="single"/>
        </w:rPr>
      </w:pPr>
    </w:p>
    <w:p w:rsidR="00457680" w:rsidRPr="002E5C06" w:rsidRDefault="00457680" w:rsidP="001638A7">
      <w:pPr>
        <w:pStyle w:val="TAMainText"/>
        <w:ind w:firstLine="0"/>
      </w:pPr>
    </w:p>
    <w:p w:rsidR="00466BF4" w:rsidRPr="00786603" w:rsidRDefault="004F42A8" w:rsidP="00786603">
      <w:pPr>
        <w:pStyle w:val="TAMainText"/>
        <w:rPr>
          <w:b/>
          <w:u w:val="single"/>
        </w:rPr>
      </w:pPr>
      <w:r w:rsidRPr="00786603">
        <w:rPr>
          <w:b/>
          <w:u w:val="single"/>
        </w:rPr>
        <w:lastRenderedPageBreak/>
        <w:t>Overview</w:t>
      </w:r>
    </w:p>
    <w:p w:rsidR="00457680" w:rsidRPr="00081436" w:rsidRDefault="007663D9" w:rsidP="00786603">
      <w:pPr>
        <w:pStyle w:val="TAMainText"/>
        <w:rPr>
          <w:b/>
          <w:u w:val="single"/>
        </w:rPr>
      </w:pPr>
      <w:r w:rsidRPr="007663D9">
        <w:t>The Kigali air quality monitoring campaign was conducted from November 2022 to December 2023 using Ogawa passive samplers to collect weekly NO</w:t>
      </w:r>
      <w:r w:rsidR="00BD3E47" w:rsidRPr="00BD3E47">
        <w:rPr>
          <w:vertAlign w:val="subscript"/>
        </w:rPr>
        <w:t>X</w:t>
      </w:r>
      <w:r w:rsidRPr="007663D9">
        <w:t xml:space="preserve"> measurements, following the measurement protocol previously applied in Accra, Ghana. The monitoring network comprised 10 fixed sites, operated continuously throughout the year to capture temporal variability, and 120 rotating sites, each sampled for one week to enhance spatial coverage. Descrip</w:t>
      </w:r>
      <w:r w:rsidR="00BD3E47">
        <w:t>tive analyses were performed to</w:t>
      </w:r>
      <w:r w:rsidR="00081436" w:rsidRPr="000274D0">
        <w:t xml:space="preserve"> </w:t>
      </w:r>
      <w:r w:rsidR="00081436" w:rsidRPr="00081436">
        <w:t>examine the space-time patterns of NO</w:t>
      </w:r>
      <w:r w:rsidR="00081436" w:rsidRPr="00081436">
        <w:rPr>
          <w:vertAlign w:val="subscript"/>
        </w:rPr>
        <w:t>2</w:t>
      </w:r>
      <w:r w:rsidR="00081436" w:rsidRPr="00081436">
        <w:t xml:space="preserve"> and NO pollution in relation to land use and source features acr</w:t>
      </w:r>
      <w:r w:rsidR="00BD3E47">
        <w:t xml:space="preserve">oss the city of Kigali </w:t>
      </w:r>
      <w:r w:rsidR="00081436" w:rsidRPr="00081436">
        <w:t>to inform future city planning and policy goals</w:t>
      </w:r>
      <w:r w:rsidRPr="00081436">
        <w:t>.</w:t>
      </w:r>
    </w:p>
    <w:p w:rsidR="004F42A8" w:rsidRPr="002E5C06" w:rsidRDefault="00E02E40" w:rsidP="004C32B4">
      <w:pPr>
        <w:rPr>
          <w:rFonts w:ascii="Arial" w:hAnsi="Arial" w:cs="Arial"/>
          <w:b/>
          <w:sz w:val="22"/>
          <w:szCs w:val="22"/>
          <w:u w:val="single"/>
        </w:rPr>
      </w:pPr>
      <w:r w:rsidRPr="00E02E40">
        <w:rPr>
          <w:rFonts w:ascii="Arial" w:hAnsi="Arial" w:cs="Arial"/>
          <w:noProof/>
          <w:sz w:val="22"/>
          <w:szCs w:val="22"/>
        </w:rPr>
        <w:drawing>
          <wp:inline distT="0" distB="0" distL="0" distR="0">
            <wp:extent cx="6440170" cy="3863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pty_ma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40170" cy="3863975"/>
                    </a:xfrm>
                    <a:prstGeom prst="rect">
                      <a:avLst/>
                    </a:prstGeom>
                  </pic:spPr>
                </pic:pic>
              </a:graphicData>
            </a:graphic>
          </wp:inline>
        </w:drawing>
      </w:r>
    </w:p>
    <w:p w:rsidR="00720874" w:rsidRPr="002E5C06" w:rsidRDefault="00720874" w:rsidP="004C32B4">
      <w:pPr>
        <w:rPr>
          <w:rFonts w:ascii="Arial" w:hAnsi="Arial" w:cs="Arial"/>
          <w:b/>
          <w:sz w:val="22"/>
          <w:szCs w:val="22"/>
          <w:u w:val="single"/>
        </w:rPr>
      </w:pPr>
    </w:p>
    <w:p w:rsidR="00720874" w:rsidRPr="002E5C06" w:rsidRDefault="00720874" w:rsidP="00786603">
      <w:pPr>
        <w:spacing w:line="276" w:lineRule="auto"/>
        <w:rPr>
          <w:rFonts w:ascii="Arial" w:hAnsi="Arial" w:cs="Arial"/>
          <w:b/>
          <w:sz w:val="22"/>
          <w:szCs w:val="22"/>
          <w:u w:val="single"/>
        </w:rPr>
      </w:pPr>
    </w:p>
    <w:p w:rsidR="00720874" w:rsidRPr="00E02E40" w:rsidRDefault="007663D9" w:rsidP="00786603">
      <w:pPr>
        <w:pStyle w:val="VAFigureCaption"/>
        <w:spacing w:line="276" w:lineRule="auto"/>
        <w:rPr>
          <w:b/>
          <w:u w:val="single"/>
        </w:rPr>
      </w:pPr>
      <w:r w:rsidRPr="00E02E40">
        <w:rPr>
          <w:rStyle w:val="Strong"/>
          <w:rFonts w:ascii="Arial" w:hAnsi="Arial" w:cs="Arial"/>
          <w:sz w:val="22"/>
          <w:szCs w:val="22"/>
        </w:rPr>
        <w:t>Figure S1.</w:t>
      </w:r>
      <w:r w:rsidRPr="00E02E40">
        <w:t xml:space="preserve"> Spatial distribution of fixed (red) and rotating (black) air quality monitoring sites across Kigali, shown </w:t>
      </w:r>
      <w:r w:rsidR="00BD3E47">
        <w:t xml:space="preserve">in relation to elevation, </w:t>
      </w:r>
      <w:r w:rsidRPr="00E02E40">
        <w:t xml:space="preserve"> primary and secondary road network.</w:t>
      </w:r>
    </w:p>
    <w:p w:rsidR="00720874" w:rsidRPr="002E5C06" w:rsidRDefault="00720874" w:rsidP="004C32B4">
      <w:pPr>
        <w:rPr>
          <w:rFonts w:ascii="Arial" w:hAnsi="Arial" w:cs="Arial"/>
          <w:b/>
          <w:sz w:val="22"/>
          <w:szCs w:val="22"/>
          <w:u w:val="single"/>
        </w:rPr>
      </w:pPr>
    </w:p>
    <w:p w:rsidR="00720874" w:rsidRPr="002E5C06" w:rsidRDefault="00720874" w:rsidP="004C32B4">
      <w:pPr>
        <w:rPr>
          <w:rFonts w:ascii="Arial" w:hAnsi="Arial" w:cs="Arial"/>
          <w:b/>
          <w:sz w:val="22"/>
          <w:szCs w:val="22"/>
          <w:u w:val="single"/>
        </w:rPr>
      </w:pPr>
    </w:p>
    <w:p w:rsidR="00735304" w:rsidRPr="002E5C06" w:rsidRDefault="00735304" w:rsidP="004C32B4">
      <w:pPr>
        <w:rPr>
          <w:rFonts w:ascii="Arial" w:hAnsi="Arial" w:cs="Arial"/>
          <w:b/>
          <w:sz w:val="22"/>
          <w:szCs w:val="22"/>
          <w:u w:val="single"/>
        </w:rPr>
      </w:pPr>
    </w:p>
    <w:p w:rsidR="00720874" w:rsidRPr="002E5C06" w:rsidRDefault="00720874" w:rsidP="004C32B4">
      <w:pPr>
        <w:rPr>
          <w:rFonts w:ascii="Arial" w:hAnsi="Arial" w:cs="Arial"/>
          <w:b/>
          <w:sz w:val="22"/>
          <w:szCs w:val="22"/>
          <w:u w:val="single"/>
        </w:rPr>
      </w:pPr>
    </w:p>
    <w:p w:rsidR="00B54FF8" w:rsidRPr="001638A7" w:rsidRDefault="00003930" w:rsidP="001638A7">
      <w:pPr>
        <w:pStyle w:val="TAMainText"/>
        <w:rPr>
          <w:b/>
          <w:u w:val="single"/>
        </w:rPr>
      </w:pPr>
      <w:proofErr w:type="spellStart"/>
      <w:r w:rsidRPr="00786603">
        <w:rPr>
          <w:b/>
          <w:u w:val="single"/>
        </w:rPr>
        <w:t>Descripive</w:t>
      </w:r>
      <w:proofErr w:type="spellEnd"/>
      <w:r w:rsidRPr="00786603">
        <w:rPr>
          <w:b/>
          <w:u w:val="single"/>
        </w:rPr>
        <w:t xml:space="preserve"> analysis</w:t>
      </w:r>
    </w:p>
    <w:p w:rsidR="00BA332F" w:rsidRPr="001638A7" w:rsidRDefault="00B54FF8" w:rsidP="001638A7">
      <w:pPr>
        <w:pStyle w:val="TAMainText"/>
        <w:rPr>
          <w:b/>
          <w:u w:val="single"/>
        </w:rPr>
      </w:pPr>
      <w:r w:rsidRPr="00786603">
        <w:rPr>
          <w:b/>
          <w:u w:val="single"/>
        </w:rPr>
        <w:t>Spatial analysis</w:t>
      </w:r>
    </w:p>
    <w:p w:rsidR="00BA332F" w:rsidRDefault="00915EA7" w:rsidP="003A749E">
      <w:pPr>
        <w:spacing w:line="480" w:lineRule="auto"/>
        <w:rPr>
          <w:rFonts w:ascii="Arial" w:hAnsi="Arial" w:cs="Arial"/>
          <w:sz w:val="22"/>
          <w:szCs w:val="22"/>
        </w:rPr>
      </w:pPr>
      <w:r>
        <w:t xml:space="preserve">Pairwise comparisons among land-use categories revealed distinct patterns between fixed and rotating sites. At fixed sites, all pairwise comparisons were statistically significant for NO₂. In contrast, for NO, concentrations were statistically similar only between BKG and LDR. At rotating sites, significant differences in NO concentrations were observed only between BKG and CBI and between BKG and HDR. For NO₂ at rotating sites, significant differences were detected between BKG and CBI, BKG and HDR, and BKG and LDR (all </w:t>
      </w:r>
      <w:r>
        <w:rPr>
          <w:rStyle w:val="Emphasis"/>
        </w:rPr>
        <w:t>p</w:t>
      </w:r>
      <w:r>
        <w:t xml:space="preserve"> &lt; 0.001), as well as between HDR and LDR (</w:t>
      </w:r>
      <w:r>
        <w:rPr>
          <w:rStyle w:val="Emphasis"/>
        </w:rPr>
        <w:t>p</w:t>
      </w:r>
      <w:r>
        <w:t xml:space="preserve"> = 0.006). No significant differences were found between CBI and HDR or between CBI and LDR (</w:t>
      </w:r>
      <w:r>
        <w:rPr>
          <w:rStyle w:val="Emphasis"/>
        </w:rPr>
        <w:t>p</w:t>
      </w:r>
      <w:r>
        <w:t xml:space="preserve"> = 0.340). Overall, fixed sites exhibited stronger and more consistent contrasts across land-use categories compared with rotating sites (Table S1)</w:t>
      </w:r>
    </w:p>
    <w:p w:rsidR="00786603" w:rsidRDefault="00786603" w:rsidP="003A749E">
      <w:pPr>
        <w:pStyle w:val="VDTableTitle"/>
        <w:spacing w:line="276" w:lineRule="auto"/>
      </w:pPr>
      <w:r w:rsidRPr="002E5C06">
        <w:rPr>
          <w:rStyle w:val="Strong"/>
          <w:rFonts w:ascii="Arial" w:hAnsi="Arial" w:cs="Arial"/>
          <w:sz w:val="22"/>
          <w:szCs w:val="22"/>
        </w:rPr>
        <w:t>Table</w:t>
      </w:r>
      <w:r>
        <w:rPr>
          <w:rStyle w:val="Strong"/>
          <w:rFonts w:ascii="Arial" w:hAnsi="Arial" w:cs="Arial"/>
          <w:sz w:val="22"/>
          <w:szCs w:val="22"/>
        </w:rPr>
        <w:t xml:space="preserve"> S1</w:t>
      </w:r>
      <w:r w:rsidRPr="002E5C06">
        <w:rPr>
          <w:rStyle w:val="Strong"/>
          <w:rFonts w:ascii="Arial" w:hAnsi="Arial" w:cs="Arial"/>
          <w:sz w:val="22"/>
          <w:szCs w:val="22"/>
        </w:rPr>
        <w:t>.</w:t>
      </w:r>
      <w:r>
        <w:t xml:space="preserve"> </w:t>
      </w:r>
      <w:r w:rsidR="003A749E">
        <w:t xml:space="preserve">Pairwise comparisons of NO and NO₂ concentrations across land-use categories at fixed and rotating sites, </w:t>
      </w:r>
      <w:r>
        <w:t xml:space="preserve">p-values </w:t>
      </w:r>
      <w:r w:rsidRPr="002E5C06">
        <w:t>are shown.</w:t>
      </w:r>
    </w:p>
    <w:p w:rsidR="00786603" w:rsidRDefault="00786603" w:rsidP="00BA332F">
      <w:pPr>
        <w:rPr>
          <w:rFonts w:ascii="Arial" w:hAnsi="Arial" w:cs="Arial"/>
          <w:sz w:val="22"/>
          <w:szCs w:val="22"/>
        </w:rPr>
      </w:pPr>
    </w:p>
    <w:tbl>
      <w:tblPr>
        <w:tblStyle w:val="TableGrid"/>
        <w:tblW w:w="0" w:type="auto"/>
        <w:tblLook w:val="04A0" w:firstRow="1" w:lastRow="0" w:firstColumn="1" w:lastColumn="0" w:noHBand="0" w:noVBand="1"/>
      </w:tblPr>
      <w:tblGrid>
        <w:gridCol w:w="1143"/>
        <w:gridCol w:w="1083"/>
        <w:gridCol w:w="2185"/>
        <w:gridCol w:w="993"/>
        <w:gridCol w:w="1275"/>
        <w:gridCol w:w="1843"/>
      </w:tblGrid>
      <w:tr w:rsidR="00BA332F" w:rsidRPr="00FD2675" w:rsidTr="00BD3E47">
        <w:tc>
          <w:tcPr>
            <w:tcW w:w="0" w:type="auto"/>
            <w:hideMark/>
          </w:tcPr>
          <w:p w:rsidR="00BA332F" w:rsidRPr="00FD2675" w:rsidRDefault="00BA332F" w:rsidP="00E7274E">
            <w:pPr>
              <w:pStyle w:val="TCTableBody"/>
            </w:pPr>
            <w:r w:rsidRPr="00FD2675">
              <w:t>Site Type</w:t>
            </w:r>
          </w:p>
        </w:tc>
        <w:tc>
          <w:tcPr>
            <w:tcW w:w="0" w:type="auto"/>
            <w:hideMark/>
          </w:tcPr>
          <w:p w:rsidR="00BA332F" w:rsidRPr="00FD2675" w:rsidRDefault="00BA332F" w:rsidP="00E7274E">
            <w:pPr>
              <w:pStyle w:val="TCTableBody"/>
            </w:pPr>
            <w:r w:rsidRPr="00FD2675">
              <w:t>Pollutant</w:t>
            </w:r>
          </w:p>
        </w:tc>
        <w:tc>
          <w:tcPr>
            <w:tcW w:w="2185" w:type="dxa"/>
            <w:hideMark/>
          </w:tcPr>
          <w:p w:rsidR="00BA332F" w:rsidRPr="00FD2675" w:rsidRDefault="00BA332F" w:rsidP="00E7274E">
            <w:pPr>
              <w:pStyle w:val="TCTableBody"/>
            </w:pPr>
            <w:r w:rsidRPr="00FD2675">
              <w:t>Comparison</w:t>
            </w:r>
          </w:p>
        </w:tc>
        <w:tc>
          <w:tcPr>
            <w:tcW w:w="993" w:type="dxa"/>
            <w:hideMark/>
          </w:tcPr>
          <w:p w:rsidR="00BA332F" w:rsidRPr="00FD2675" w:rsidRDefault="00BA332F" w:rsidP="00E7274E">
            <w:pPr>
              <w:pStyle w:val="TCTableBody"/>
            </w:pPr>
            <w:r w:rsidRPr="00FD2675">
              <w:t>n1</w:t>
            </w:r>
          </w:p>
        </w:tc>
        <w:tc>
          <w:tcPr>
            <w:tcW w:w="1275" w:type="dxa"/>
            <w:hideMark/>
          </w:tcPr>
          <w:p w:rsidR="00BA332F" w:rsidRPr="00FD2675" w:rsidRDefault="00BA332F" w:rsidP="00E7274E">
            <w:pPr>
              <w:pStyle w:val="TCTableBody"/>
            </w:pPr>
            <w:r w:rsidRPr="00FD2675">
              <w:t>n2</w:t>
            </w:r>
          </w:p>
        </w:tc>
        <w:tc>
          <w:tcPr>
            <w:tcW w:w="1843" w:type="dxa"/>
            <w:hideMark/>
          </w:tcPr>
          <w:p w:rsidR="00BA332F" w:rsidRPr="00FD2675" w:rsidRDefault="00BA332F" w:rsidP="00E7274E">
            <w:pPr>
              <w:pStyle w:val="TCTableBody"/>
            </w:pPr>
            <w:r w:rsidRPr="00FD2675">
              <w:t>p-value</w:t>
            </w:r>
          </w:p>
        </w:tc>
      </w:tr>
      <w:tr w:rsidR="00BA332F" w:rsidRPr="00FD2675" w:rsidTr="00BD3E47">
        <w:tc>
          <w:tcPr>
            <w:tcW w:w="0" w:type="auto"/>
            <w:hideMark/>
          </w:tcPr>
          <w:p w:rsidR="00BA332F" w:rsidRPr="00FD2675" w:rsidRDefault="00BA332F" w:rsidP="00E7274E">
            <w:pPr>
              <w:pStyle w:val="TCTableBody"/>
            </w:pPr>
            <w:r w:rsidRPr="00FD2675">
              <w:t>Fixed</w:t>
            </w:r>
          </w:p>
        </w:tc>
        <w:tc>
          <w:tcPr>
            <w:tcW w:w="0" w:type="auto"/>
            <w:hideMark/>
          </w:tcPr>
          <w:p w:rsidR="00BA332F" w:rsidRPr="00FD2675" w:rsidRDefault="00BA332F" w:rsidP="00E7274E">
            <w:pPr>
              <w:pStyle w:val="TCTableBody"/>
            </w:pPr>
            <w:r w:rsidRPr="00FD2675">
              <w:t>NO</w:t>
            </w:r>
          </w:p>
        </w:tc>
        <w:tc>
          <w:tcPr>
            <w:tcW w:w="2185" w:type="dxa"/>
            <w:hideMark/>
          </w:tcPr>
          <w:p w:rsidR="00BA332F" w:rsidRPr="00FD2675" w:rsidRDefault="00BA332F" w:rsidP="00E7274E">
            <w:pPr>
              <w:pStyle w:val="TCTableBody"/>
            </w:pPr>
            <w:r w:rsidRPr="00FD2675">
              <w:t>BKG vs CBI</w:t>
            </w:r>
          </w:p>
        </w:tc>
        <w:tc>
          <w:tcPr>
            <w:tcW w:w="993" w:type="dxa"/>
            <w:hideMark/>
          </w:tcPr>
          <w:p w:rsidR="00BA332F" w:rsidRPr="00FD2675" w:rsidRDefault="00BA332F" w:rsidP="00E7274E">
            <w:pPr>
              <w:pStyle w:val="TCTableBody"/>
            </w:pPr>
            <w:r w:rsidRPr="00FD2675">
              <w:t>133</w:t>
            </w:r>
          </w:p>
        </w:tc>
        <w:tc>
          <w:tcPr>
            <w:tcW w:w="1275" w:type="dxa"/>
            <w:hideMark/>
          </w:tcPr>
          <w:p w:rsidR="00BA332F" w:rsidRPr="00FD2675" w:rsidRDefault="00BA332F" w:rsidP="00E7274E">
            <w:pPr>
              <w:pStyle w:val="TCTableBody"/>
            </w:pPr>
            <w:r w:rsidRPr="00FD2675">
              <w:t>140</w:t>
            </w:r>
          </w:p>
        </w:tc>
        <w:tc>
          <w:tcPr>
            <w:tcW w:w="1843" w:type="dxa"/>
            <w:hideMark/>
          </w:tcPr>
          <w:p w:rsidR="00BA332F" w:rsidRPr="00FD2675" w:rsidRDefault="00A82828" w:rsidP="00E7274E">
            <w:pPr>
              <w:pStyle w:val="TCTableBody"/>
            </w:pPr>
            <w:r>
              <w:t>&lt;0.001</w:t>
            </w:r>
          </w:p>
        </w:tc>
      </w:tr>
      <w:tr w:rsidR="00BA332F" w:rsidRPr="00FD2675" w:rsidTr="00BD3E47">
        <w:tc>
          <w:tcPr>
            <w:tcW w:w="0" w:type="auto"/>
            <w:hideMark/>
          </w:tcPr>
          <w:p w:rsidR="00BA332F" w:rsidRPr="00FD2675" w:rsidRDefault="00BA332F" w:rsidP="00E7274E">
            <w:pPr>
              <w:pStyle w:val="TCTableBody"/>
            </w:pPr>
          </w:p>
        </w:tc>
        <w:tc>
          <w:tcPr>
            <w:tcW w:w="0" w:type="auto"/>
            <w:hideMark/>
          </w:tcPr>
          <w:p w:rsidR="00BA332F" w:rsidRPr="00FD2675" w:rsidRDefault="00BA332F" w:rsidP="00E7274E">
            <w:pPr>
              <w:pStyle w:val="TCTableBody"/>
              <w:rPr>
                <w:sz w:val="20"/>
              </w:rPr>
            </w:pPr>
          </w:p>
        </w:tc>
        <w:tc>
          <w:tcPr>
            <w:tcW w:w="2185" w:type="dxa"/>
            <w:hideMark/>
          </w:tcPr>
          <w:p w:rsidR="00BA332F" w:rsidRPr="00FD2675" w:rsidRDefault="00BA332F" w:rsidP="00E7274E">
            <w:pPr>
              <w:pStyle w:val="TCTableBody"/>
            </w:pPr>
            <w:r w:rsidRPr="00FD2675">
              <w:t>BKG vs HDR</w:t>
            </w:r>
          </w:p>
        </w:tc>
        <w:tc>
          <w:tcPr>
            <w:tcW w:w="993" w:type="dxa"/>
            <w:hideMark/>
          </w:tcPr>
          <w:p w:rsidR="00BA332F" w:rsidRPr="00FD2675" w:rsidRDefault="00BA332F" w:rsidP="00E7274E">
            <w:pPr>
              <w:pStyle w:val="TCTableBody"/>
            </w:pPr>
            <w:r w:rsidRPr="00FD2675">
              <w:t>133</w:t>
            </w:r>
          </w:p>
        </w:tc>
        <w:tc>
          <w:tcPr>
            <w:tcW w:w="1275" w:type="dxa"/>
            <w:hideMark/>
          </w:tcPr>
          <w:p w:rsidR="00BA332F" w:rsidRPr="00FD2675" w:rsidRDefault="00BA332F" w:rsidP="00E7274E">
            <w:pPr>
              <w:pStyle w:val="TCTableBody"/>
            </w:pPr>
            <w:r w:rsidRPr="00FD2675">
              <w:t>44</w:t>
            </w:r>
          </w:p>
        </w:tc>
        <w:tc>
          <w:tcPr>
            <w:tcW w:w="1843" w:type="dxa"/>
            <w:hideMark/>
          </w:tcPr>
          <w:p w:rsidR="00BA332F" w:rsidRPr="00FD2675" w:rsidRDefault="00A82828" w:rsidP="00E7274E">
            <w:pPr>
              <w:pStyle w:val="TCTableBody"/>
            </w:pPr>
            <w:r>
              <w:t>&lt;0.001</w:t>
            </w:r>
          </w:p>
        </w:tc>
      </w:tr>
      <w:tr w:rsidR="00BA332F" w:rsidRPr="00FD2675" w:rsidTr="00BD3E47">
        <w:tc>
          <w:tcPr>
            <w:tcW w:w="0" w:type="auto"/>
            <w:hideMark/>
          </w:tcPr>
          <w:p w:rsidR="00BA332F" w:rsidRPr="00FD2675" w:rsidRDefault="00BA332F" w:rsidP="00E7274E">
            <w:pPr>
              <w:pStyle w:val="TCTableBody"/>
            </w:pPr>
          </w:p>
        </w:tc>
        <w:tc>
          <w:tcPr>
            <w:tcW w:w="0" w:type="auto"/>
            <w:hideMark/>
          </w:tcPr>
          <w:p w:rsidR="00BA332F" w:rsidRPr="00FD2675" w:rsidRDefault="00BA332F" w:rsidP="00E7274E">
            <w:pPr>
              <w:pStyle w:val="TCTableBody"/>
              <w:rPr>
                <w:sz w:val="20"/>
              </w:rPr>
            </w:pPr>
          </w:p>
        </w:tc>
        <w:tc>
          <w:tcPr>
            <w:tcW w:w="2185" w:type="dxa"/>
            <w:hideMark/>
          </w:tcPr>
          <w:p w:rsidR="00BA332F" w:rsidRPr="00FD2675" w:rsidRDefault="00BA332F" w:rsidP="00E7274E">
            <w:pPr>
              <w:pStyle w:val="TCTableBody"/>
            </w:pPr>
            <w:r w:rsidRPr="00FD2675">
              <w:t>CBI vs HDR</w:t>
            </w:r>
          </w:p>
        </w:tc>
        <w:tc>
          <w:tcPr>
            <w:tcW w:w="993" w:type="dxa"/>
            <w:hideMark/>
          </w:tcPr>
          <w:p w:rsidR="00BA332F" w:rsidRPr="00FD2675" w:rsidRDefault="00BA332F" w:rsidP="00E7274E">
            <w:pPr>
              <w:pStyle w:val="TCTableBody"/>
            </w:pPr>
            <w:r w:rsidRPr="00FD2675">
              <w:t>140</w:t>
            </w:r>
          </w:p>
        </w:tc>
        <w:tc>
          <w:tcPr>
            <w:tcW w:w="1275" w:type="dxa"/>
            <w:hideMark/>
          </w:tcPr>
          <w:p w:rsidR="00BA332F" w:rsidRPr="00FD2675" w:rsidRDefault="00BA332F" w:rsidP="00E7274E">
            <w:pPr>
              <w:pStyle w:val="TCTableBody"/>
            </w:pPr>
            <w:r w:rsidRPr="00FD2675">
              <w:t>44</w:t>
            </w:r>
          </w:p>
        </w:tc>
        <w:tc>
          <w:tcPr>
            <w:tcW w:w="1843" w:type="dxa"/>
            <w:hideMark/>
          </w:tcPr>
          <w:p w:rsidR="00BA332F" w:rsidRPr="00FD2675" w:rsidRDefault="00A82828" w:rsidP="00E7274E">
            <w:pPr>
              <w:pStyle w:val="TCTableBody"/>
            </w:pPr>
            <w:r>
              <w:t>&lt;0.001</w:t>
            </w:r>
          </w:p>
        </w:tc>
      </w:tr>
      <w:tr w:rsidR="00BA332F" w:rsidRPr="00FD2675" w:rsidTr="00BD3E47">
        <w:tc>
          <w:tcPr>
            <w:tcW w:w="0" w:type="auto"/>
            <w:hideMark/>
          </w:tcPr>
          <w:p w:rsidR="00BA332F" w:rsidRPr="00FD2675" w:rsidRDefault="00BA332F" w:rsidP="00E7274E">
            <w:pPr>
              <w:pStyle w:val="TCTableBody"/>
            </w:pPr>
          </w:p>
        </w:tc>
        <w:tc>
          <w:tcPr>
            <w:tcW w:w="0" w:type="auto"/>
            <w:hideMark/>
          </w:tcPr>
          <w:p w:rsidR="00BA332F" w:rsidRPr="00FD2675" w:rsidRDefault="00BA332F" w:rsidP="00E7274E">
            <w:pPr>
              <w:pStyle w:val="TCTableBody"/>
              <w:rPr>
                <w:sz w:val="20"/>
              </w:rPr>
            </w:pPr>
          </w:p>
        </w:tc>
        <w:tc>
          <w:tcPr>
            <w:tcW w:w="2185" w:type="dxa"/>
            <w:hideMark/>
          </w:tcPr>
          <w:p w:rsidR="00BA332F" w:rsidRPr="00FD2675" w:rsidRDefault="00BA332F" w:rsidP="00E7274E">
            <w:pPr>
              <w:pStyle w:val="TCTableBody"/>
            </w:pPr>
            <w:r w:rsidRPr="00FD2675">
              <w:t>BKG vs LDR</w:t>
            </w:r>
          </w:p>
        </w:tc>
        <w:tc>
          <w:tcPr>
            <w:tcW w:w="993" w:type="dxa"/>
            <w:hideMark/>
          </w:tcPr>
          <w:p w:rsidR="00BA332F" w:rsidRPr="00FD2675" w:rsidRDefault="00BA332F" w:rsidP="00E7274E">
            <w:pPr>
              <w:pStyle w:val="TCTableBody"/>
            </w:pPr>
            <w:r w:rsidRPr="00FD2675">
              <w:t>133</w:t>
            </w:r>
          </w:p>
        </w:tc>
        <w:tc>
          <w:tcPr>
            <w:tcW w:w="1275" w:type="dxa"/>
            <w:hideMark/>
          </w:tcPr>
          <w:p w:rsidR="00BA332F" w:rsidRPr="00FD2675" w:rsidRDefault="00BA332F" w:rsidP="00E7274E">
            <w:pPr>
              <w:pStyle w:val="TCTableBody"/>
            </w:pPr>
            <w:r w:rsidRPr="00FD2675">
              <w:t>147</w:t>
            </w:r>
          </w:p>
        </w:tc>
        <w:tc>
          <w:tcPr>
            <w:tcW w:w="1843" w:type="dxa"/>
            <w:hideMark/>
          </w:tcPr>
          <w:p w:rsidR="00BA332F" w:rsidRPr="00FD2675" w:rsidRDefault="00BA332F" w:rsidP="00E7274E">
            <w:pPr>
              <w:pStyle w:val="TCTableBody"/>
            </w:pPr>
            <w:r w:rsidRPr="00FD2675">
              <w:t>0.241</w:t>
            </w:r>
          </w:p>
        </w:tc>
      </w:tr>
      <w:tr w:rsidR="00A82828" w:rsidRPr="00FD2675" w:rsidTr="00BD3E47">
        <w:tc>
          <w:tcPr>
            <w:tcW w:w="0" w:type="auto"/>
            <w:hideMark/>
          </w:tcPr>
          <w:p w:rsidR="00A82828" w:rsidRPr="00FD2675" w:rsidRDefault="00A82828" w:rsidP="00E7274E">
            <w:pPr>
              <w:pStyle w:val="TCTableBody"/>
            </w:pPr>
          </w:p>
        </w:tc>
        <w:tc>
          <w:tcPr>
            <w:tcW w:w="0" w:type="auto"/>
            <w:hideMark/>
          </w:tcPr>
          <w:p w:rsidR="00A82828" w:rsidRPr="00FD2675" w:rsidRDefault="00A82828" w:rsidP="00E7274E">
            <w:pPr>
              <w:pStyle w:val="TCTableBody"/>
              <w:rPr>
                <w:sz w:val="20"/>
              </w:rPr>
            </w:pPr>
          </w:p>
        </w:tc>
        <w:tc>
          <w:tcPr>
            <w:tcW w:w="2185" w:type="dxa"/>
            <w:hideMark/>
          </w:tcPr>
          <w:p w:rsidR="00A82828" w:rsidRPr="00FD2675" w:rsidRDefault="00A82828" w:rsidP="00E7274E">
            <w:pPr>
              <w:pStyle w:val="TCTableBody"/>
            </w:pPr>
            <w:r w:rsidRPr="00FD2675">
              <w:t>CBI vs LDR</w:t>
            </w:r>
          </w:p>
        </w:tc>
        <w:tc>
          <w:tcPr>
            <w:tcW w:w="993" w:type="dxa"/>
            <w:hideMark/>
          </w:tcPr>
          <w:p w:rsidR="00A82828" w:rsidRPr="00FD2675" w:rsidRDefault="00A82828" w:rsidP="00E7274E">
            <w:pPr>
              <w:pStyle w:val="TCTableBody"/>
            </w:pPr>
            <w:r w:rsidRPr="00FD2675">
              <w:t>140</w:t>
            </w:r>
          </w:p>
        </w:tc>
        <w:tc>
          <w:tcPr>
            <w:tcW w:w="1275" w:type="dxa"/>
            <w:hideMark/>
          </w:tcPr>
          <w:p w:rsidR="00A82828" w:rsidRPr="00FD2675" w:rsidRDefault="00A82828" w:rsidP="00E7274E">
            <w:pPr>
              <w:pStyle w:val="TCTableBody"/>
            </w:pPr>
            <w:r w:rsidRPr="00FD2675">
              <w:t>147</w:t>
            </w:r>
          </w:p>
        </w:tc>
        <w:tc>
          <w:tcPr>
            <w:tcW w:w="1843" w:type="dxa"/>
            <w:hideMark/>
          </w:tcPr>
          <w:p w:rsidR="00A82828" w:rsidRPr="00FD2675" w:rsidRDefault="00A82828" w:rsidP="00E7274E">
            <w:pPr>
              <w:pStyle w:val="TCTableBody"/>
            </w:pPr>
            <w:r>
              <w:t>&lt;0.001</w:t>
            </w:r>
          </w:p>
        </w:tc>
      </w:tr>
      <w:tr w:rsidR="00A82828" w:rsidRPr="00FD2675" w:rsidTr="00BD3E47">
        <w:tc>
          <w:tcPr>
            <w:tcW w:w="0" w:type="auto"/>
            <w:hideMark/>
          </w:tcPr>
          <w:p w:rsidR="00A82828" w:rsidRPr="00FD2675" w:rsidRDefault="00A82828" w:rsidP="00E7274E">
            <w:pPr>
              <w:pStyle w:val="TCTableBody"/>
            </w:pPr>
          </w:p>
        </w:tc>
        <w:tc>
          <w:tcPr>
            <w:tcW w:w="0" w:type="auto"/>
            <w:hideMark/>
          </w:tcPr>
          <w:p w:rsidR="00A82828" w:rsidRPr="00FD2675" w:rsidRDefault="00A82828" w:rsidP="00E7274E">
            <w:pPr>
              <w:pStyle w:val="TCTableBody"/>
              <w:rPr>
                <w:sz w:val="20"/>
              </w:rPr>
            </w:pPr>
          </w:p>
        </w:tc>
        <w:tc>
          <w:tcPr>
            <w:tcW w:w="2185" w:type="dxa"/>
            <w:hideMark/>
          </w:tcPr>
          <w:p w:rsidR="00A82828" w:rsidRPr="00FD2675" w:rsidRDefault="00A82828" w:rsidP="00E7274E">
            <w:pPr>
              <w:pStyle w:val="TCTableBody"/>
            </w:pPr>
            <w:r w:rsidRPr="00FD2675">
              <w:t>HDR vs LDR</w:t>
            </w:r>
          </w:p>
        </w:tc>
        <w:tc>
          <w:tcPr>
            <w:tcW w:w="993" w:type="dxa"/>
            <w:hideMark/>
          </w:tcPr>
          <w:p w:rsidR="00A82828" w:rsidRPr="00FD2675" w:rsidRDefault="00A82828" w:rsidP="00E7274E">
            <w:pPr>
              <w:pStyle w:val="TCTableBody"/>
            </w:pPr>
            <w:r w:rsidRPr="00FD2675">
              <w:t>44</w:t>
            </w:r>
          </w:p>
        </w:tc>
        <w:tc>
          <w:tcPr>
            <w:tcW w:w="1275" w:type="dxa"/>
            <w:hideMark/>
          </w:tcPr>
          <w:p w:rsidR="00A82828" w:rsidRPr="00FD2675" w:rsidRDefault="00A82828" w:rsidP="00E7274E">
            <w:pPr>
              <w:pStyle w:val="TCTableBody"/>
            </w:pPr>
            <w:r w:rsidRPr="00FD2675">
              <w:t>147</w:t>
            </w:r>
          </w:p>
        </w:tc>
        <w:tc>
          <w:tcPr>
            <w:tcW w:w="1843" w:type="dxa"/>
            <w:hideMark/>
          </w:tcPr>
          <w:p w:rsidR="00A82828" w:rsidRPr="00FD2675" w:rsidRDefault="00A82828" w:rsidP="00E7274E">
            <w:pPr>
              <w:pStyle w:val="TCTableBody"/>
            </w:pPr>
            <w:r>
              <w:t>&lt;0.001</w:t>
            </w:r>
          </w:p>
        </w:tc>
      </w:tr>
      <w:tr w:rsidR="00A82828" w:rsidRPr="00FD2675" w:rsidTr="00BD3E47">
        <w:tc>
          <w:tcPr>
            <w:tcW w:w="0" w:type="auto"/>
            <w:hideMark/>
          </w:tcPr>
          <w:p w:rsidR="00A82828" w:rsidRPr="00FD2675" w:rsidRDefault="00A82828" w:rsidP="00E7274E">
            <w:pPr>
              <w:pStyle w:val="TCTableBody"/>
            </w:pPr>
            <w:r w:rsidRPr="00FD2675">
              <w:t>Fixed</w:t>
            </w:r>
          </w:p>
        </w:tc>
        <w:tc>
          <w:tcPr>
            <w:tcW w:w="0" w:type="auto"/>
            <w:hideMark/>
          </w:tcPr>
          <w:p w:rsidR="00A82828" w:rsidRPr="00FD2675" w:rsidRDefault="00A82828" w:rsidP="00E7274E">
            <w:pPr>
              <w:pStyle w:val="TCTableBody"/>
            </w:pPr>
            <w:r w:rsidRPr="00FD2675">
              <w:t>NO₂</w:t>
            </w:r>
          </w:p>
        </w:tc>
        <w:tc>
          <w:tcPr>
            <w:tcW w:w="2185" w:type="dxa"/>
            <w:hideMark/>
          </w:tcPr>
          <w:p w:rsidR="00A82828" w:rsidRPr="00FD2675" w:rsidRDefault="00A82828" w:rsidP="00E7274E">
            <w:pPr>
              <w:pStyle w:val="TCTableBody"/>
            </w:pPr>
            <w:r w:rsidRPr="00FD2675">
              <w:t>BKG vs CBI</w:t>
            </w:r>
          </w:p>
        </w:tc>
        <w:tc>
          <w:tcPr>
            <w:tcW w:w="993" w:type="dxa"/>
            <w:hideMark/>
          </w:tcPr>
          <w:p w:rsidR="00A82828" w:rsidRPr="00FD2675" w:rsidRDefault="00A82828" w:rsidP="00E7274E">
            <w:pPr>
              <w:pStyle w:val="TCTableBody"/>
            </w:pPr>
            <w:r w:rsidRPr="00FD2675">
              <w:t>133</w:t>
            </w:r>
          </w:p>
        </w:tc>
        <w:tc>
          <w:tcPr>
            <w:tcW w:w="1275" w:type="dxa"/>
            <w:hideMark/>
          </w:tcPr>
          <w:p w:rsidR="00A82828" w:rsidRPr="00FD2675" w:rsidRDefault="00A82828" w:rsidP="00E7274E">
            <w:pPr>
              <w:pStyle w:val="TCTableBody"/>
            </w:pPr>
            <w:r w:rsidRPr="00FD2675">
              <w:t>140</w:t>
            </w:r>
          </w:p>
        </w:tc>
        <w:tc>
          <w:tcPr>
            <w:tcW w:w="1843" w:type="dxa"/>
            <w:hideMark/>
          </w:tcPr>
          <w:p w:rsidR="00A82828" w:rsidRPr="00FD2675" w:rsidRDefault="00A82828" w:rsidP="00E7274E">
            <w:pPr>
              <w:pStyle w:val="TCTableBody"/>
            </w:pPr>
            <w:r>
              <w:t>&lt;0.001</w:t>
            </w:r>
          </w:p>
        </w:tc>
      </w:tr>
      <w:tr w:rsidR="00A82828" w:rsidRPr="00FD2675" w:rsidTr="00BD3E47">
        <w:tc>
          <w:tcPr>
            <w:tcW w:w="0" w:type="auto"/>
            <w:hideMark/>
          </w:tcPr>
          <w:p w:rsidR="00A82828" w:rsidRPr="00FD2675" w:rsidRDefault="00A82828" w:rsidP="00E7274E">
            <w:pPr>
              <w:pStyle w:val="TCTableBody"/>
            </w:pPr>
          </w:p>
        </w:tc>
        <w:tc>
          <w:tcPr>
            <w:tcW w:w="0" w:type="auto"/>
            <w:hideMark/>
          </w:tcPr>
          <w:p w:rsidR="00A82828" w:rsidRPr="00FD2675" w:rsidRDefault="00A82828" w:rsidP="00E7274E">
            <w:pPr>
              <w:pStyle w:val="TCTableBody"/>
              <w:rPr>
                <w:sz w:val="20"/>
              </w:rPr>
            </w:pPr>
          </w:p>
        </w:tc>
        <w:tc>
          <w:tcPr>
            <w:tcW w:w="2185" w:type="dxa"/>
            <w:hideMark/>
          </w:tcPr>
          <w:p w:rsidR="00A82828" w:rsidRPr="00FD2675" w:rsidRDefault="00A82828" w:rsidP="00E7274E">
            <w:pPr>
              <w:pStyle w:val="TCTableBody"/>
            </w:pPr>
            <w:r w:rsidRPr="00FD2675">
              <w:t>BKG vs HDR</w:t>
            </w:r>
          </w:p>
        </w:tc>
        <w:tc>
          <w:tcPr>
            <w:tcW w:w="993" w:type="dxa"/>
            <w:hideMark/>
          </w:tcPr>
          <w:p w:rsidR="00A82828" w:rsidRPr="00FD2675" w:rsidRDefault="00A82828" w:rsidP="00E7274E">
            <w:pPr>
              <w:pStyle w:val="TCTableBody"/>
            </w:pPr>
            <w:r w:rsidRPr="00FD2675">
              <w:t>133</w:t>
            </w:r>
          </w:p>
        </w:tc>
        <w:tc>
          <w:tcPr>
            <w:tcW w:w="1275" w:type="dxa"/>
            <w:hideMark/>
          </w:tcPr>
          <w:p w:rsidR="00A82828" w:rsidRPr="00FD2675" w:rsidRDefault="00A82828" w:rsidP="00E7274E">
            <w:pPr>
              <w:pStyle w:val="TCTableBody"/>
            </w:pPr>
            <w:r w:rsidRPr="00FD2675">
              <w:t>44</w:t>
            </w:r>
          </w:p>
        </w:tc>
        <w:tc>
          <w:tcPr>
            <w:tcW w:w="1843" w:type="dxa"/>
            <w:hideMark/>
          </w:tcPr>
          <w:p w:rsidR="00A82828" w:rsidRPr="00FD2675" w:rsidRDefault="00A82828" w:rsidP="00E7274E">
            <w:pPr>
              <w:pStyle w:val="TCTableBody"/>
            </w:pPr>
            <w:r>
              <w:t>&lt;0.001</w:t>
            </w:r>
          </w:p>
        </w:tc>
      </w:tr>
      <w:tr w:rsidR="00A82828" w:rsidRPr="00FD2675" w:rsidTr="00BD3E47">
        <w:tc>
          <w:tcPr>
            <w:tcW w:w="0" w:type="auto"/>
            <w:hideMark/>
          </w:tcPr>
          <w:p w:rsidR="00A82828" w:rsidRPr="00FD2675" w:rsidRDefault="00A82828" w:rsidP="00E7274E">
            <w:pPr>
              <w:pStyle w:val="TCTableBody"/>
            </w:pPr>
          </w:p>
        </w:tc>
        <w:tc>
          <w:tcPr>
            <w:tcW w:w="0" w:type="auto"/>
            <w:hideMark/>
          </w:tcPr>
          <w:p w:rsidR="00A82828" w:rsidRPr="00FD2675" w:rsidRDefault="00A82828" w:rsidP="00E7274E">
            <w:pPr>
              <w:pStyle w:val="TCTableBody"/>
              <w:rPr>
                <w:sz w:val="20"/>
              </w:rPr>
            </w:pPr>
          </w:p>
        </w:tc>
        <w:tc>
          <w:tcPr>
            <w:tcW w:w="2185" w:type="dxa"/>
            <w:hideMark/>
          </w:tcPr>
          <w:p w:rsidR="00A82828" w:rsidRPr="00FD2675" w:rsidRDefault="00A82828" w:rsidP="00E7274E">
            <w:pPr>
              <w:pStyle w:val="TCTableBody"/>
            </w:pPr>
            <w:r w:rsidRPr="00FD2675">
              <w:t>CBI vs HDR</w:t>
            </w:r>
          </w:p>
        </w:tc>
        <w:tc>
          <w:tcPr>
            <w:tcW w:w="993" w:type="dxa"/>
            <w:hideMark/>
          </w:tcPr>
          <w:p w:rsidR="00A82828" w:rsidRPr="00FD2675" w:rsidRDefault="00A82828" w:rsidP="00E7274E">
            <w:pPr>
              <w:pStyle w:val="TCTableBody"/>
            </w:pPr>
            <w:r w:rsidRPr="00FD2675">
              <w:t>140</w:t>
            </w:r>
          </w:p>
        </w:tc>
        <w:tc>
          <w:tcPr>
            <w:tcW w:w="1275" w:type="dxa"/>
            <w:hideMark/>
          </w:tcPr>
          <w:p w:rsidR="00A82828" w:rsidRPr="00FD2675" w:rsidRDefault="00A82828" w:rsidP="00E7274E">
            <w:pPr>
              <w:pStyle w:val="TCTableBody"/>
            </w:pPr>
            <w:r w:rsidRPr="00FD2675">
              <w:t>44</w:t>
            </w:r>
          </w:p>
        </w:tc>
        <w:tc>
          <w:tcPr>
            <w:tcW w:w="1843" w:type="dxa"/>
            <w:hideMark/>
          </w:tcPr>
          <w:p w:rsidR="00A82828" w:rsidRPr="00FD2675" w:rsidRDefault="00A82828" w:rsidP="00E7274E">
            <w:pPr>
              <w:pStyle w:val="TCTableBody"/>
            </w:pPr>
            <w:r>
              <w:t>&lt;0.001</w:t>
            </w:r>
          </w:p>
        </w:tc>
      </w:tr>
      <w:tr w:rsidR="00A82828" w:rsidRPr="00FD2675" w:rsidTr="00BD3E47">
        <w:tc>
          <w:tcPr>
            <w:tcW w:w="0" w:type="auto"/>
            <w:hideMark/>
          </w:tcPr>
          <w:p w:rsidR="00A82828" w:rsidRPr="00FD2675" w:rsidRDefault="00A82828" w:rsidP="00E7274E">
            <w:pPr>
              <w:pStyle w:val="TCTableBody"/>
            </w:pPr>
          </w:p>
        </w:tc>
        <w:tc>
          <w:tcPr>
            <w:tcW w:w="0" w:type="auto"/>
            <w:hideMark/>
          </w:tcPr>
          <w:p w:rsidR="00A82828" w:rsidRPr="00FD2675" w:rsidRDefault="00A82828" w:rsidP="00E7274E">
            <w:pPr>
              <w:pStyle w:val="TCTableBody"/>
              <w:rPr>
                <w:sz w:val="20"/>
              </w:rPr>
            </w:pPr>
          </w:p>
        </w:tc>
        <w:tc>
          <w:tcPr>
            <w:tcW w:w="2185" w:type="dxa"/>
            <w:hideMark/>
          </w:tcPr>
          <w:p w:rsidR="00A82828" w:rsidRPr="00FD2675" w:rsidRDefault="00A82828" w:rsidP="00E7274E">
            <w:pPr>
              <w:pStyle w:val="TCTableBody"/>
            </w:pPr>
            <w:r w:rsidRPr="00FD2675">
              <w:t>BKG vs LDR</w:t>
            </w:r>
          </w:p>
        </w:tc>
        <w:tc>
          <w:tcPr>
            <w:tcW w:w="993" w:type="dxa"/>
            <w:hideMark/>
          </w:tcPr>
          <w:p w:rsidR="00A82828" w:rsidRPr="00FD2675" w:rsidRDefault="00A82828" w:rsidP="00E7274E">
            <w:pPr>
              <w:pStyle w:val="TCTableBody"/>
            </w:pPr>
            <w:r w:rsidRPr="00FD2675">
              <w:t>133</w:t>
            </w:r>
          </w:p>
        </w:tc>
        <w:tc>
          <w:tcPr>
            <w:tcW w:w="1275" w:type="dxa"/>
            <w:hideMark/>
          </w:tcPr>
          <w:p w:rsidR="00A82828" w:rsidRPr="00FD2675" w:rsidRDefault="00A82828" w:rsidP="00E7274E">
            <w:pPr>
              <w:pStyle w:val="TCTableBody"/>
            </w:pPr>
            <w:r w:rsidRPr="00FD2675">
              <w:t>147</w:t>
            </w:r>
          </w:p>
        </w:tc>
        <w:tc>
          <w:tcPr>
            <w:tcW w:w="1843" w:type="dxa"/>
            <w:hideMark/>
          </w:tcPr>
          <w:p w:rsidR="00A82828" w:rsidRPr="00FD2675" w:rsidRDefault="00A82828" w:rsidP="00E7274E">
            <w:pPr>
              <w:pStyle w:val="TCTableBody"/>
            </w:pPr>
            <w:r>
              <w:t>&lt;0.001</w:t>
            </w:r>
          </w:p>
        </w:tc>
      </w:tr>
      <w:tr w:rsidR="00517A2A" w:rsidRPr="00FD2675" w:rsidTr="00BD3E47">
        <w:tc>
          <w:tcPr>
            <w:tcW w:w="0" w:type="auto"/>
          </w:tcPr>
          <w:p w:rsidR="00517A2A" w:rsidRPr="00FD2675" w:rsidRDefault="00517A2A" w:rsidP="00517A2A">
            <w:pPr>
              <w:pStyle w:val="TCTableBody"/>
            </w:pPr>
            <w:r w:rsidRPr="00FD2675">
              <w:lastRenderedPageBreak/>
              <w:t>Site Type</w:t>
            </w:r>
          </w:p>
        </w:tc>
        <w:tc>
          <w:tcPr>
            <w:tcW w:w="0" w:type="auto"/>
          </w:tcPr>
          <w:p w:rsidR="00517A2A" w:rsidRPr="00FD2675" w:rsidRDefault="00517A2A" w:rsidP="00517A2A">
            <w:pPr>
              <w:pStyle w:val="TCTableBody"/>
            </w:pPr>
            <w:r w:rsidRPr="00FD2675">
              <w:t>Pollutant</w:t>
            </w:r>
          </w:p>
        </w:tc>
        <w:tc>
          <w:tcPr>
            <w:tcW w:w="2185" w:type="dxa"/>
          </w:tcPr>
          <w:p w:rsidR="00517A2A" w:rsidRPr="00FD2675" w:rsidRDefault="00517A2A" w:rsidP="00517A2A">
            <w:pPr>
              <w:pStyle w:val="TCTableBody"/>
            </w:pPr>
            <w:r w:rsidRPr="00FD2675">
              <w:t>Comparison</w:t>
            </w:r>
          </w:p>
        </w:tc>
        <w:tc>
          <w:tcPr>
            <w:tcW w:w="993" w:type="dxa"/>
          </w:tcPr>
          <w:p w:rsidR="00517A2A" w:rsidRPr="00FD2675" w:rsidRDefault="00517A2A" w:rsidP="00517A2A">
            <w:pPr>
              <w:pStyle w:val="TCTableBody"/>
            </w:pPr>
            <w:r w:rsidRPr="00FD2675">
              <w:t>n1</w:t>
            </w:r>
          </w:p>
        </w:tc>
        <w:tc>
          <w:tcPr>
            <w:tcW w:w="1275" w:type="dxa"/>
          </w:tcPr>
          <w:p w:rsidR="00517A2A" w:rsidRPr="00FD2675" w:rsidRDefault="00517A2A" w:rsidP="00517A2A">
            <w:pPr>
              <w:pStyle w:val="TCTableBody"/>
            </w:pPr>
            <w:r w:rsidRPr="00FD2675">
              <w:t>n2</w:t>
            </w:r>
          </w:p>
        </w:tc>
        <w:tc>
          <w:tcPr>
            <w:tcW w:w="1843" w:type="dxa"/>
          </w:tcPr>
          <w:p w:rsidR="00517A2A" w:rsidRPr="00FD2675" w:rsidRDefault="00517A2A" w:rsidP="00517A2A">
            <w:pPr>
              <w:pStyle w:val="TCTableBody"/>
            </w:pPr>
            <w:r w:rsidRPr="00FD2675">
              <w:t>p-value</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CBI vs LDR</w:t>
            </w:r>
          </w:p>
        </w:tc>
        <w:tc>
          <w:tcPr>
            <w:tcW w:w="993" w:type="dxa"/>
            <w:hideMark/>
          </w:tcPr>
          <w:p w:rsidR="00517A2A" w:rsidRPr="00FD2675" w:rsidRDefault="00517A2A" w:rsidP="00517A2A">
            <w:pPr>
              <w:pStyle w:val="TCTableBody"/>
            </w:pPr>
            <w:r w:rsidRPr="00FD2675">
              <w:t>140</w:t>
            </w:r>
          </w:p>
        </w:tc>
        <w:tc>
          <w:tcPr>
            <w:tcW w:w="1275" w:type="dxa"/>
            <w:hideMark/>
          </w:tcPr>
          <w:p w:rsidR="00517A2A" w:rsidRPr="00FD2675" w:rsidRDefault="00517A2A" w:rsidP="00517A2A">
            <w:pPr>
              <w:pStyle w:val="TCTableBody"/>
            </w:pPr>
            <w:r w:rsidRPr="00FD2675">
              <w:t>147</w:t>
            </w:r>
          </w:p>
        </w:tc>
        <w:tc>
          <w:tcPr>
            <w:tcW w:w="1843" w:type="dxa"/>
            <w:hideMark/>
          </w:tcPr>
          <w:p w:rsidR="00517A2A" w:rsidRPr="00FD2675" w:rsidRDefault="00517A2A" w:rsidP="00517A2A">
            <w:pPr>
              <w:pStyle w:val="TCTableBody"/>
            </w:pPr>
            <w:r>
              <w:t>&lt;0.001</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HDR vs LDR</w:t>
            </w:r>
          </w:p>
        </w:tc>
        <w:tc>
          <w:tcPr>
            <w:tcW w:w="993" w:type="dxa"/>
            <w:hideMark/>
          </w:tcPr>
          <w:p w:rsidR="00517A2A" w:rsidRPr="00FD2675" w:rsidRDefault="00517A2A" w:rsidP="00517A2A">
            <w:pPr>
              <w:pStyle w:val="TCTableBody"/>
            </w:pPr>
            <w:r w:rsidRPr="00FD2675">
              <w:t>44</w:t>
            </w:r>
          </w:p>
        </w:tc>
        <w:tc>
          <w:tcPr>
            <w:tcW w:w="1275" w:type="dxa"/>
            <w:hideMark/>
          </w:tcPr>
          <w:p w:rsidR="00517A2A" w:rsidRPr="00FD2675" w:rsidRDefault="00517A2A" w:rsidP="00517A2A">
            <w:pPr>
              <w:pStyle w:val="TCTableBody"/>
            </w:pPr>
            <w:r w:rsidRPr="00FD2675">
              <w:t>147</w:t>
            </w:r>
          </w:p>
        </w:tc>
        <w:tc>
          <w:tcPr>
            <w:tcW w:w="1843" w:type="dxa"/>
            <w:hideMark/>
          </w:tcPr>
          <w:p w:rsidR="00517A2A" w:rsidRPr="00FD2675" w:rsidRDefault="00517A2A" w:rsidP="00517A2A">
            <w:pPr>
              <w:pStyle w:val="TCTableBody"/>
            </w:pPr>
            <w:r>
              <w:t>&lt;0.001</w:t>
            </w:r>
          </w:p>
        </w:tc>
      </w:tr>
      <w:tr w:rsidR="00517A2A" w:rsidRPr="00FD2675" w:rsidTr="00BD3E47">
        <w:tc>
          <w:tcPr>
            <w:tcW w:w="0" w:type="auto"/>
            <w:hideMark/>
          </w:tcPr>
          <w:p w:rsidR="00517A2A" w:rsidRPr="00FD2675" w:rsidRDefault="00517A2A" w:rsidP="00517A2A">
            <w:pPr>
              <w:pStyle w:val="TCTableBody"/>
            </w:pPr>
            <w:r w:rsidRPr="00FD2675">
              <w:t>Rotating</w:t>
            </w:r>
          </w:p>
        </w:tc>
        <w:tc>
          <w:tcPr>
            <w:tcW w:w="0" w:type="auto"/>
            <w:hideMark/>
          </w:tcPr>
          <w:p w:rsidR="00517A2A" w:rsidRPr="00FD2675" w:rsidRDefault="00517A2A" w:rsidP="00517A2A">
            <w:pPr>
              <w:pStyle w:val="TCTableBody"/>
            </w:pPr>
            <w:r w:rsidRPr="00FD2675">
              <w:t>NO</w:t>
            </w:r>
          </w:p>
        </w:tc>
        <w:tc>
          <w:tcPr>
            <w:tcW w:w="2185" w:type="dxa"/>
            <w:hideMark/>
          </w:tcPr>
          <w:p w:rsidR="00517A2A" w:rsidRPr="00FD2675" w:rsidRDefault="00517A2A" w:rsidP="00517A2A">
            <w:pPr>
              <w:pStyle w:val="TCTableBody"/>
            </w:pPr>
            <w:r w:rsidRPr="00FD2675">
              <w:t>BKG vs CBI</w:t>
            </w:r>
          </w:p>
        </w:tc>
        <w:tc>
          <w:tcPr>
            <w:tcW w:w="993" w:type="dxa"/>
            <w:hideMark/>
          </w:tcPr>
          <w:p w:rsidR="00517A2A" w:rsidRPr="00FD2675" w:rsidRDefault="00517A2A" w:rsidP="00517A2A">
            <w:pPr>
              <w:pStyle w:val="TCTableBody"/>
            </w:pPr>
            <w:r w:rsidRPr="00FD2675">
              <w:t>29</w:t>
            </w:r>
          </w:p>
        </w:tc>
        <w:tc>
          <w:tcPr>
            <w:tcW w:w="1275" w:type="dxa"/>
            <w:hideMark/>
          </w:tcPr>
          <w:p w:rsidR="00517A2A" w:rsidRPr="00FD2675" w:rsidRDefault="00517A2A" w:rsidP="00517A2A">
            <w:pPr>
              <w:pStyle w:val="TCTableBody"/>
            </w:pPr>
            <w:r w:rsidRPr="00FD2675">
              <w:t>14</w:t>
            </w:r>
          </w:p>
        </w:tc>
        <w:tc>
          <w:tcPr>
            <w:tcW w:w="1843" w:type="dxa"/>
            <w:hideMark/>
          </w:tcPr>
          <w:p w:rsidR="00517A2A" w:rsidRPr="00FD2675" w:rsidRDefault="00517A2A" w:rsidP="00517A2A">
            <w:pPr>
              <w:pStyle w:val="TCTableBody"/>
            </w:pPr>
            <w:r>
              <w:t>&lt;0.001</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BKG vs HDR</w:t>
            </w:r>
          </w:p>
        </w:tc>
        <w:tc>
          <w:tcPr>
            <w:tcW w:w="993" w:type="dxa"/>
            <w:hideMark/>
          </w:tcPr>
          <w:p w:rsidR="00517A2A" w:rsidRPr="00FD2675" w:rsidRDefault="00517A2A" w:rsidP="00517A2A">
            <w:pPr>
              <w:pStyle w:val="TCTableBody"/>
            </w:pPr>
            <w:r w:rsidRPr="00FD2675">
              <w:t>29</w:t>
            </w:r>
          </w:p>
        </w:tc>
        <w:tc>
          <w:tcPr>
            <w:tcW w:w="1275" w:type="dxa"/>
            <w:hideMark/>
          </w:tcPr>
          <w:p w:rsidR="00517A2A" w:rsidRPr="00FD2675" w:rsidRDefault="00517A2A" w:rsidP="00517A2A">
            <w:pPr>
              <w:pStyle w:val="TCTableBody"/>
            </w:pPr>
            <w:r w:rsidRPr="00FD2675">
              <w:t>22</w:t>
            </w:r>
          </w:p>
        </w:tc>
        <w:tc>
          <w:tcPr>
            <w:tcW w:w="1843" w:type="dxa"/>
            <w:hideMark/>
          </w:tcPr>
          <w:p w:rsidR="00517A2A" w:rsidRPr="00FD2675" w:rsidRDefault="00517A2A" w:rsidP="00517A2A">
            <w:pPr>
              <w:pStyle w:val="TCTableBody"/>
            </w:pPr>
            <w:r>
              <w:t>&lt;0.001</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CBI vs HDR</w:t>
            </w:r>
          </w:p>
        </w:tc>
        <w:tc>
          <w:tcPr>
            <w:tcW w:w="993" w:type="dxa"/>
            <w:hideMark/>
          </w:tcPr>
          <w:p w:rsidR="00517A2A" w:rsidRPr="00FD2675" w:rsidRDefault="00517A2A" w:rsidP="00517A2A">
            <w:pPr>
              <w:pStyle w:val="TCTableBody"/>
            </w:pPr>
            <w:r w:rsidRPr="00FD2675">
              <w:t>14</w:t>
            </w:r>
          </w:p>
        </w:tc>
        <w:tc>
          <w:tcPr>
            <w:tcW w:w="1275" w:type="dxa"/>
            <w:hideMark/>
          </w:tcPr>
          <w:p w:rsidR="00517A2A" w:rsidRPr="00FD2675" w:rsidRDefault="00517A2A" w:rsidP="00517A2A">
            <w:pPr>
              <w:pStyle w:val="TCTableBody"/>
            </w:pPr>
            <w:r w:rsidRPr="00FD2675">
              <w:t>22</w:t>
            </w:r>
          </w:p>
        </w:tc>
        <w:tc>
          <w:tcPr>
            <w:tcW w:w="1843" w:type="dxa"/>
            <w:hideMark/>
          </w:tcPr>
          <w:p w:rsidR="00517A2A" w:rsidRPr="00FD2675" w:rsidRDefault="00517A2A" w:rsidP="00517A2A">
            <w:pPr>
              <w:pStyle w:val="TCTableBody"/>
            </w:pPr>
            <w:r w:rsidRPr="00FD2675">
              <w:t>0.616</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BKG vs LDR</w:t>
            </w:r>
          </w:p>
        </w:tc>
        <w:tc>
          <w:tcPr>
            <w:tcW w:w="993" w:type="dxa"/>
            <w:hideMark/>
          </w:tcPr>
          <w:p w:rsidR="00517A2A" w:rsidRPr="00FD2675" w:rsidRDefault="00517A2A" w:rsidP="00517A2A">
            <w:pPr>
              <w:pStyle w:val="TCTableBody"/>
            </w:pPr>
            <w:r w:rsidRPr="00FD2675">
              <w:t>29</w:t>
            </w:r>
          </w:p>
        </w:tc>
        <w:tc>
          <w:tcPr>
            <w:tcW w:w="1275" w:type="dxa"/>
            <w:hideMark/>
          </w:tcPr>
          <w:p w:rsidR="00517A2A" w:rsidRPr="00FD2675" w:rsidRDefault="00517A2A" w:rsidP="00517A2A">
            <w:pPr>
              <w:pStyle w:val="TCTableBody"/>
            </w:pPr>
            <w:r w:rsidRPr="00FD2675">
              <w:t>41</w:t>
            </w:r>
          </w:p>
        </w:tc>
        <w:tc>
          <w:tcPr>
            <w:tcW w:w="1843" w:type="dxa"/>
            <w:hideMark/>
          </w:tcPr>
          <w:p w:rsidR="00517A2A" w:rsidRPr="00FD2675" w:rsidRDefault="00517A2A" w:rsidP="00517A2A">
            <w:pPr>
              <w:pStyle w:val="TCTableBody"/>
            </w:pPr>
            <w:r w:rsidRPr="00FD2675">
              <w:t>0.063</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CBI vs LDR</w:t>
            </w:r>
          </w:p>
        </w:tc>
        <w:tc>
          <w:tcPr>
            <w:tcW w:w="993" w:type="dxa"/>
            <w:hideMark/>
          </w:tcPr>
          <w:p w:rsidR="00517A2A" w:rsidRPr="00FD2675" w:rsidRDefault="00517A2A" w:rsidP="00517A2A">
            <w:pPr>
              <w:pStyle w:val="TCTableBody"/>
            </w:pPr>
            <w:r w:rsidRPr="00FD2675">
              <w:t>14</w:t>
            </w:r>
          </w:p>
        </w:tc>
        <w:tc>
          <w:tcPr>
            <w:tcW w:w="1275" w:type="dxa"/>
            <w:hideMark/>
          </w:tcPr>
          <w:p w:rsidR="00517A2A" w:rsidRPr="00FD2675" w:rsidRDefault="00517A2A" w:rsidP="00517A2A">
            <w:pPr>
              <w:pStyle w:val="TCTableBody"/>
            </w:pPr>
            <w:r w:rsidRPr="00FD2675">
              <w:t>41</w:t>
            </w:r>
          </w:p>
        </w:tc>
        <w:tc>
          <w:tcPr>
            <w:tcW w:w="1843" w:type="dxa"/>
            <w:hideMark/>
          </w:tcPr>
          <w:p w:rsidR="00517A2A" w:rsidRPr="00FD2675" w:rsidRDefault="00517A2A" w:rsidP="00517A2A">
            <w:pPr>
              <w:pStyle w:val="TCTableBody"/>
            </w:pPr>
            <w:r w:rsidRPr="00FD2675">
              <w:t>0.059</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HDR vs LDR</w:t>
            </w:r>
          </w:p>
        </w:tc>
        <w:tc>
          <w:tcPr>
            <w:tcW w:w="993" w:type="dxa"/>
            <w:hideMark/>
          </w:tcPr>
          <w:p w:rsidR="00517A2A" w:rsidRPr="00FD2675" w:rsidRDefault="00517A2A" w:rsidP="00517A2A">
            <w:pPr>
              <w:pStyle w:val="TCTableBody"/>
            </w:pPr>
            <w:r w:rsidRPr="00FD2675">
              <w:t>22</w:t>
            </w:r>
          </w:p>
        </w:tc>
        <w:tc>
          <w:tcPr>
            <w:tcW w:w="1275" w:type="dxa"/>
            <w:hideMark/>
          </w:tcPr>
          <w:p w:rsidR="00517A2A" w:rsidRPr="00FD2675" w:rsidRDefault="00517A2A" w:rsidP="00517A2A">
            <w:pPr>
              <w:pStyle w:val="TCTableBody"/>
            </w:pPr>
            <w:r w:rsidRPr="00FD2675">
              <w:t>41</w:t>
            </w:r>
          </w:p>
        </w:tc>
        <w:tc>
          <w:tcPr>
            <w:tcW w:w="1843" w:type="dxa"/>
            <w:hideMark/>
          </w:tcPr>
          <w:p w:rsidR="00517A2A" w:rsidRPr="00FD2675" w:rsidRDefault="00517A2A" w:rsidP="00517A2A">
            <w:pPr>
              <w:pStyle w:val="TCTableBody"/>
            </w:pPr>
            <w:r w:rsidRPr="00FD2675">
              <w:t>0.063</w:t>
            </w:r>
          </w:p>
        </w:tc>
      </w:tr>
      <w:tr w:rsidR="00517A2A" w:rsidRPr="00FD2675" w:rsidTr="00BD3E47">
        <w:tc>
          <w:tcPr>
            <w:tcW w:w="0" w:type="auto"/>
            <w:hideMark/>
          </w:tcPr>
          <w:p w:rsidR="00517A2A" w:rsidRPr="00FD2675" w:rsidRDefault="00517A2A" w:rsidP="00517A2A">
            <w:pPr>
              <w:pStyle w:val="TCTableBody"/>
            </w:pPr>
            <w:r w:rsidRPr="00FD2675">
              <w:t>Rotating</w:t>
            </w:r>
          </w:p>
        </w:tc>
        <w:tc>
          <w:tcPr>
            <w:tcW w:w="0" w:type="auto"/>
            <w:hideMark/>
          </w:tcPr>
          <w:p w:rsidR="00517A2A" w:rsidRPr="00FD2675" w:rsidRDefault="00517A2A" w:rsidP="00517A2A">
            <w:pPr>
              <w:pStyle w:val="TCTableBody"/>
            </w:pPr>
            <w:r w:rsidRPr="00FD2675">
              <w:t>NO₂</w:t>
            </w:r>
          </w:p>
        </w:tc>
        <w:tc>
          <w:tcPr>
            <w:tcW w:w="2185" w:type="dxa"/>
            <w:hideMark/>
          </w:tcPr>
          <w:p w:rsidR="00517A2A" w:rsidRPr="00FD2675" w:rsidRDefault="00517A2A" w:rsidP="00517A2A">
            <w:pPr>
              <w:pStyle w:val="TCTableBody"/>
            </w:pPr>
            <w:r w:rsidRPr="00FD2675">
              <w:t>BKG vs CBI</w:t>
            </w:r>
          </w:p>
        </w:tc>
        <w:tc>
          <w:tcPr>
            <w:tcW w:w="993" w:type="dxa"/>
            <w:hideMark/>
          </w:tcPr>
          <w:p w:rsidR="00517A2A" w:rsidRPr="00FD2675" w:rsidRDefault="00517A2A" w:rsidP="00517A2A">
            <w:pPr>
              <w:pStyle w:val="TCTableBody"/>
            </w:pPr>
            <w:r w:rsidRPr="00FD2675">
              <w:t>29</w:t>
            </w:r>
          </w:p>
        </w:tc>
        <w:tc>
          <w:tcPr>
            <w:tcW w:w="1275" w:type="dxa"/>
            <w:hideMark/>
          </w:tcPr>
          <w:p w:rsidR="00517A2A" w:rsidRPr="00FD2675" w:rsidRDefault="00517A2A" w:rsidP="00517A2A">
            <w:pPr>
              <w:pStyle w:val="TCTableBody"/>
            </w:pPr>
            <w:r w:rsidRPr="00FD2675">
              <w:t>14</w:t>
            </w:r>
          </w:p>
        </w:tc>
        <w:tc>
          <w:tcPr>
            <w:tcW w:w="1843" w:type="dxa"/>
            <w:hideMark/>
          </w:tcPr>
          <w:p w:rsidR="00517A2A" w:rsidRPr="00FD2675" w:rsidRDefault="00517A2A" w:rsidP="00517A2A">
            <w:pPr>
              <w:pStyle w:val="TCTableBody"/>
            </w:pPr>
            <w:r>
              <w:t>&lt;0.001</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BKG vs HDR</w:t>
            </w:r>
          </w:p>
        </w:tc>
        <w:tc>
          <w:tcPr>
            <w:tcW w:w="993" w:type="dxa"/>
            <w:hideMark/>
          </w:tcPr>
          <w:p w:rsidR="00517A2A" w:rsidRPr="00FD2675" w:rsidRDefault="00517A2A" w:rsidP="00517A2A">
            <w:pPr>
              <w:pStyle w:val="TCTableBody"/>
            </w:pPr>
            <w:r w:rsidRPr="00FD2675">
              <w:t>29</w:t>
            </w:r>
          </w:p>
        </w:tc>
        <w:tc>
          <w:tcPr>
            <w:tcW w:w="1275" w:type="dxa"/>
            <w:hideMark/>
          </w:tcPr>
          <w:p w:rsidR="00517A2A" w:rsidRPr="00FD2675" w:rsidRDefault="00517A2A" w:rsidP="00517A2A">
            <w:pPr>
              <w:pStyle w:val="TCTableBody"/>
            </w:pPr>
            <w:r w:rsidRPr="00FD2675">
              <w:t>22</w:t>
            </w:r>
          </w:p>
        </w:tc>
        <w:tc>
          <w:tcPr>
            <w:tcW w:w="1843" w:type="dxa"/>
            <w:hideMark/>
          </w:tcPr>
          <w:p w:rsidR="00517A2A" w:rsidRPr="00FD2675" w:rsidRDefault="00517A2A" w:rsidP="00517A2A">
            <w:pPr>
              <w:pStyle w:val="TCTableBody"/>
            </w:pPr>
            <w:r>
              <w:t>&lt;0.001</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CBI vs HDR</w:t>
            </w:r>
          </w:p>
        </w:tc>
        <w:tc>
          <w:tcPr>
            <w:tcW w:w="993" w:type="dxa"/>
            <w:hideMark/>
          </w:tcPr>
          <w:p w:rsidR="00517A2A" w:rsidRPr="00FD2675" w:rsidRDefault="00517A2A" w:rsidP="00517A2A">
            <w:pPr>
              <w:pStyle w:val="TCTableBody"/>
            </w:pPr>
            <w:r w:rsidRPr="00FD2675">
              <w:t>14</w:t>
            </w:r>
          </w:p>
        </w:tc>
        <w:tc>
          <w:tcPr>
            <w:tcW w:w="1275" w:type="dxa"/>
            <w:hideMark/>
          </w:tcPr>
          <w:p w:rsidR="00517A2A" w:rsidRPr="00FD2675" w:rsidRDefault="00517A2A" w:rsidP="00517A2A">
            <w:pPr>
              <w:pStyle w:val="TCTableBody"/>
            </w:pPr>
            <w:r w:rsidRPr="00FD2675">
              <w:t>22</w:t>
            </w:r>
          </w:p>
        </w:tc>
        <w:tc>
          <w:tcPr>
            <w:tcW w:w="1843" w:type="dxa"/>
            <w:hideMark/>
          </w:tcPr>
          <w:p w:rsidR="00517A2A" w:rsidRPr="00FD2675" w:rsidRDefault="00517A2A" w:rsidP="00517A2A">
            <w:pPr>
              <w:pStyle w:val="TCTableBody"/>
            </w:pPr>
            <w:r w:rsidRPr="00FD2675">
              <w:t>0.340</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BKG vs LDR</w:t>
            </w:r>
          </w:p>
        </w:tc>
        <w:tc>
          <w:tcPr>
            <w:tcW w:w="993" w:type="dxa"/>
            <w:hideMark/>
          </w:tcPr>
          <w:p w:rsidR="00517A2A" w:rsidRPr="00FD2675" w:rsidRDefault="00517A2A" w:rsidP="00517A2A">
            <w:pPr>
              <w:pStyle w:val="TCTableBody"/>
            </w:pPr>
            <w:r w:rsidRPr="00FD2675">
              <w:t>29</w:t>
            </w:r>
          </w:p>
        </w:tc>
        <w:tc>
          <w:tcPr>
            <w:tcW w:w="1275" w:type="dxa"/>
            <w:hideMark/>
          </w:tcPr>
          <w:p w:rsidR="00517A2A" w:rsidRPr="00FD2675" w:rsidRDefault="00517A2A" w:rsidP="00517A2A">
            <w:pPr>
              <w:pStyle w:val="TCTableBody"/>
            </w:pPr>
            <w:r w:rsidRPr="00FD2675">
              <w:t>41</w:t>
            </w:r>
          </w:p>
        </w:tc>
        <w:tc>
          <w:tcPr>
            <w:tcW w:w="1843" w:type="dxa"/>
            <w:hideMark/>
          </w:tcPr>
          <w:p w:rsidR="00517A2A" w:rsidRPr="00FD2675" w:rsidRDefault="00517A2A" w:rsidP="00517A2A">
            <w:pPr>
              <w:pStyle w:val="TCTableBody"/>
            </w:pPr>
            <w:r>
              <w:t>&lt;0.001</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CBI vs LDR</w:t>
            </w:r>
          </w:p>
        </w:tc>
        <w:tc>
          <w:tcPr>
            <w:tcW w:w="993" w:type="dxa"/>
            <w:hideMark/>
          </w:tcPr>
          <w:p w:rsidR="00517A2A" w:rsidRPr="00FD2675" w:rsidRDefault="00517A2A" w:rsidP="00517A2A">
            <w:pPr>
              <w:pStyle w:val="TCTableBody"/>
            </w:pPr>
            <w:r w:rsidRPr="00FD2675">
              <w:t>14</w:t>
            </w:r>
          </w:p>
        </w:tc>
        <w:tc>
          <w:tcPr>
            <w:tcW w:w="1275" w:type="dxa"/>
            <w:hideMark/>
          </w:tcPr>
          <w:p w:rsidR="00517A2A" w:rsidRPr="00FD2675" w:rsidRDefault="00517A2A" w:rsidP="00517A2A">
            <w:pPr>
              <w:pStyle w:val="TCTableBody"/>
            </w:pPr>
            <w:r w:rsidRPr="00FD2675">
              <w:t>41</w:t>
            </w:r>
          </w:p>
        </w:tc>
        <w:tc>
          <w:tcPr>
            <w:tcW w:w="1843" w:type="dxa"/>
            <w:hideMark/>
          </w:tcPr>
          <w:p w:rsidR="00517A2A" w:rsidRPr="00FD2675" w:rsidRDefault="00517A2A" w:rsidP="00517A2A">
            <w:pPr>
              <w:pStyle w:val="TCTableBody"/>
            </w:pPr>
            <w:r w:rsidRPr="00FD2675">
              <w:t>0.340</w:t>
            </w:r>
          </w:p>
        </w:tc>
      </w:tr>
      <w:tr w:rsidR="00517A2A" w:rsidRPr="00FD2675" w:rsidTr="00BD3E47">
        <w:tc>
          <w:tcPr>
            <w:tcW w:w="0" w:type="auto"/>
            <w:hideMark/>
          </w:tcPr>
          <w:p w:rsidR="00517A2A" w:rsidRPr="00FD2675" w:rsidRDefault="00517A2A" w:rsidP="00517A2A">
            <w:pPr>
              <w:pStyle w:val="TCTableBody"/>
            </w:pPr>
          </w:p>
        </w:tc>
        <w:tc>
          <w:tcPr>
            <w:tcW w:w="0" w:type="auto"/>
            <w:hideMark/>
          </w:tcPr>
          <w:p w:rsidR="00517A2A" w:rsidRPr="00FD2675" w:rsidRDefault="00517A2A" w:rsidP="00517A2A">
            <w:pPr>
              <w:pStyle w:val="TCTableBody"/>
              <w:rPr>
                <w:sz w:val="20"/>
              </w:rPr>
            </w:pPr>
          </w:p>
        </w:tc>
        <w:tc>
          <w:tcPr>
            <w:tcW w:w="2185" w:type="dxa"/>
            <w:hideMark/>
          </w:tcPr>
          <w:p w:rsidR="00517A2A" w:rsidRPr="00FD2675" w:rsidRDefault="00517A2A" w:rsidP="00517A2A">
            <w:pPr>
              <w:pStyle w:val="TCTableBody"/>
            </w:pPr>
            <w:r w:rsidRPr="00FD2675">
              <w:t>HDR vs LDR</w:t>
            </w:r>
          </w:p>
        </w:tc>
        <w:tc>
          <w:tcPr>
            <w:tcW w:w="993" w:type="dxa"/>
            <w:hideMark/>
          </w:tcPr>
          <w:p w:rsidR="00517A2A" w:rsidRPr="00FD2675" w:rsidRDefault="00517A2A" w:rsidP="00517A2A">
            <w:pPr>
              <w:pStyle w:val="TCTableBody"/>
            </w:pPr>
            <w:r w:rsidRPr="00FD2675">
              <w:t>22</w:t>
            </w:r>
          </w:p>
        </w:tc>
        <w:tc>
          <w:tcPr>
            <w:tcW w:w="1275" w:type="dxa"/>
            <w:hideMark/>
          </w:tcPr>
          <w:p w:rsidR="00517A2A" w:rsidRPr="00FD2675" w:rsidRDefault="00517A2A" w:rsidP="00517A2A">
            <w:pPr>
              <w:pStyle w:val="TCTableBody"/>
            </w:pPr>
            <w:r w:rsidRPr="00FD2675">
              <w:t>41</w:t>
            </w:r>
          </w:p>
        </w:tc>
        <w:tc>
          <w:tcPr>
            <w:tcW w:w="1843" w:type="dxa"/>
            <w:hideMark/>
          </w:tcPr>
          <w:p w:rsidR="00517A2A" w:rsidRPr="00FD2675" w:rsidRDefault="00517A2A" w:rsidP="00517A2A">
            <w:pPr>
              <w:pStyle w:val="TCTableBody"/>
            </w:pPr>
            <w:r w:rsidRPr="00FD2675">
              <w:t>0.006</w:t>
            </w:r>
          </w:p>
        </w:tc>
      </w:tr>
    </w:tbl>
    <w:p w:rsidR="00BA332F" w:rsidRDefault="00BA332F" w:rsidP="00BA332F">
      <w:pPr>
        <w:rPr>
          <w:rFonts w:ascii="Arial" w:hAnsi="Arial" w:cs="Arial"/>
          <w:sz w:val="22"/>
          <w:szCs w:val="22"/>
        </w:rPr>
      </w:pPr>
    </w:p>
    <w:p w:rsidR="00517A2A" w:rsidRPr="002E5C06" w:rsidRDefault="00517A2A" w:rsidP="00517A2A">
      <w:pPr>
        <w:rPr>
          <w:rFonts w:ascii="Arial" w:hAnsi="Arial" w:cs="Arial"/>
          <w:sz w:val="22"/>
          <w:szCs w:val="22"/>
        </w:rPr>
      </w:pPr>
      <w:proofErr w:type="gramStart"/>
      <w:r w:rsidRPr="0092566C">
        <w:rPr>
          <w:i/>
        </w:rPr>
        <w:t>n1</w:t>
      </w:r>
      <w:proofErr w:type="gramEnd"/>
      <w:r w:rsidRPr="0092566C">
        <w:rPr>
          <w:i/>
        </w:rPr>
        <w:t xml:space="preserve"> and </w:t>
      </w:r>
      <w:r w:rsidRPr="0092566C">
        <w:rPr>
          <w:rStyle w:val="Emphasis"/>
          <w:i w:val="0"/>
        </w:rPr>
        <w:t>n2</w:t>
      </w:r>
      <w:r w:rsidRPr="0092566C">
        <w:rPr>
          <w:i/>
        </w:rPr>
        <w:t xml:space="preserve"> denote the number of observations included in each comparison</w:t>
      </w:r>
      <w:r>
        <w:t>.</w:t>
      </w:r>
    </w:p>
    <w:p w:rsidR="00BA332F" w:rsidRPr="002E5C06" w:rsidRDefault="00BA332F" w:rsidP="004C32B4">
      <w:pPr>
        <w:rPr>
          <w:rFonts w:ascii="Arial" w:hAnsi="Arial" w:cs="Arial"/>
          <w:b/>
          <w:sz w:val="22"/>
          <w:szCs w:val="22"/>
          <w:u w:val="single"/>
        </w:rPr>
      </w:pPr>
    </w:p>
    <w:p w:rsidR="0034131A" w:rsidRDefault="003A749E" w:rsidP="00E7274E">
      <w:pPr>
        <w:pStyle w:val="TAMainText"/>
      </w:pPr>
      <w:r>
        <w:t xml:space="preserve">The NO/NOₓ ratio </w:t>
      </w:r>
      <w:r w:rsidR="00E02E40" w:rsidRPr="00AC337C">
        <w:t xml:space="preserve">remained relatively constant across land-use categories at rotating sites, but varied significantly at fixed sites. For fixed sites, the only non-significant pairwise difference was observed between </w:t>
      </w:r>
      <w:r>
        <w:t>HDR and BKG</w:t>
      </w:r>
      <w:r w:rsidR="00E02E40" w:rsidRPr="00AC337C">
        <w:t xml:space="preserve"> areas. In contrast, for rotating sites, no statistically significant differences were detected among land-use categories, despite differences in mean values</w:t>
      </w:r>
      <w:r w:rsidR="00585BAB">
        <w:t xml:space="preserve"> (Table S2)</w:t>
      </w:r>
      <w:r w:rsidR="00E02E40" w:rsidRPr="00AC337C">
        <w:t>.</w:t>
      </w:r>
    </w:p>
    <w:p w:rsidR="00E7274E" w:rsidRDefault="00E7274E" w:rsidP="00E7274E">
      <w:pPr>
        <w:pStyle w:val="TAMainText"/>
      </w:pPr>
    </w:p>
    <w:p w:rsidR="00AA7F08" w:rsidRDefault="00AA7F08" w:rsidP="00E7274E">
      <w:pPr>
        <w:pStyle w:val="TAMainText"/>
      </w:pPr>
    </w:p>
    <w:p w:rsidR="00AA7F08" w:rsidRDefault="00AA7F08" w:rsidP="00E7274E">
      <w:pPr>
        <w:pStyle w:val="TAMainText"/>
      </w:pPr>
    </w:p>
    <w:p w:rsidR="00AA7F08" w:rsidRDefault="00AA7F08" w:rsidP="00E7274E">
      <w:pPr>
        <w:pStyle w:val="TAMainText"/>
      </w:pPr>
    </w:p>
    <w:p w:rsidR="00AA7F08" w:rsidRDefault="00AA7F08" w:rsidP="00E7274E">
      <w:pPr>
        <w:pStyle w:val="TAMainText"/>
      </w:pPr>
    </w:p>
    <w:p w:rsidR="00AA7F08" w:rsidRDefault="00AA7F08" w:rsidP="00E7274E">
      <w:pPr>
        <w:pStyle w:val="TAMainText"/>
      </w:pPr>
    </w:p>
    <w:p w:rsidR="00E7274E" w:rsidRPr="001638A7" w:rsidRDefault="00E7274E" w:rsidP="0092566C">
      <w:pPr>
        <w:pStyle w:val="VDTableTitle"/>
        <w:spacing w:line="276" w:lineRule="auto"/>
        <w:rPr>
          <w:rFonts w:ascii="Arial" w:hAnsi="Arial" w:cs="Arial"/>
          <w:sz w:val="22"/>
          <w:szCs w:val="22"/>
        </w:rPr>
      </w:pPr>
      <w:r>
        <w:rPr>
          <w:rStyle w:val="Strong"/>
        </w:rPr>
        <w:t>Table S2.</w:t>
      </w:r>
      <w:r>
        <w:t xml:space="preserve"> Pairwise comparisons of the NO/NOₓ ratio between site types using one-way ANOVA with post-hoc tests.</w:t>
      </w:r>
    </w:p>
    <w:tbl>
      <w:tblPr>
        <w:tblStyle w:val="TableGrid"/>
        <w:tblW w:w="10242" w:type="dxa"/>
        <w:tblLook w:val="04A0" w:firstRow="1" w:lastRow="0" w:firstColumn="1" w:lastColumn="0" w:noHBand="0" w:noVBand="1"/>
      </w:tblPr>
      <w:tblGrid>
        <w:gridCol w:w="3414"/>
        <w:gridCol w:w="3414"/>
        <w:gridCol w:w="3414"/>
      </w:tblGrid>
      <w:tr w:rsidR="00503AAE" w:rsidRPr="002E5C06" w:rsidTr="0092566C">
        <w:trPr>
          <w:trHeight w:val="360"/>
        </w:trPr>
        <w:tc>
          <w:tcPr>
            <w:tcW w:w="3414" w:type="dxa"/>
            <w:vAlign w:val="center"/>
          </w:tcPr>
          <w:p w:rsidR="00503AAE" w:rsidRPr="001E2CFA" w:rsidRDefault="00503AAE" w:rsidP="00E7274E">
            <w:pPr>
              <w:pStyle w:val="TCTableBody"/>
            </w:pPr>
            <w:r w:rsidRPr="001E2CFA">
              <w:t>Site type</w:t>
            </w:r>
          </w:p>
        </w:tc>
        <w:tc>
          <w:tcPr>
            <w:tcW w:w="3414" w:type="dxa"/>
            <w:vAlign w:val="center"/>
          </w:tcPr>
          <w:p w:rsidR="00503AAE" w:rsidRPr="001E2CFA" w:rsidRDefault="00503AAE" w:rsidP="00E7274E">
            <w:pPr>
              <w:pStyle w:val="TCTableBody"/>
            </w:pPr>
            <w:r w:rsidRPr="001E2CFA">
              <w:t>Comparison</w:t>
            </w:r>
          </w:p>
        </w:tc>
        <w:tc>
          <w:tcPr>
            <w:tcW w:w="3414" w:type="dxa"/>
            <w:vAlign w:val="center"/>
          </w:tcPr>
          <w:p w:rsidR="00503AAE" w:rsidRPr="001E2CFA" w:rsidRDefault="00503AAE" w:rsidP="00E7274E">
            <w:pPr>
              <w:pStyle w:val="TCTableBody"/>
            </w:pPr>
            <w:r w:rsidRPr="001E2CFA">
              <w:t>p-value</w:t>
            </w:r>
          </w:p>
        </w:tc>
      </w:tr>
      <w:tr w:rsidR="00503AAE" w:rsidRPr="002E5C06" w:rsidTr="0092566C">
        <w:trPr>
          <w:trHeight w:val="369"/>
        </w:trPr>
        <w:tc>
          <w:tcPr>
            <w:tcW w:w="3414" w:type="dxa"/>
            <w:vAlign w:val="center"/>
          </w:tcPr>
          <w:p w:rsidR="00503AAE" w:rsidRPr="001E2CFA" w:rsidRDefault="00503AAE" w:rsidP="00E7274E">
            <w:pPr>
              <w:pStyle w:val="TCTableBody"/>
              <w:rPr>
                <w:b/>
              </w:rPr>
            </w:pPr>
            <w:r w:rsidRPr="001E2CFA">
              <w:rPr>
                <w:rStyle w:val="Strong"/>
                <w:rFonts w:ascii="Arial" w:hAnsi="Arial" w:cs="Arial"/>
                <w:b w:val="0"/>
                <w:sz w:val="22"/>
                <w:szCs w:val="22"/>
              </w:rPr>
              <w:t>Fixed sites</w:t>
            </w:r>
          </w:p>
        </w:tc>
        <w:tc>
          <w:tcPr>
            <w:tcW w:w="3414" w:type="dxa"/>
            <w:vAlign w:val="center"/>
          </w:tcPr>
          <w:p w:rsidR="00503AAE" w:rsidRPr="001E2CFA" w:rsidRDefault="00503AAE" w:rsidP="00E7274E">
            <w:pPr>
              <w:pStyle w:val="TCTableBody"/>
            </w:pPr>
            <w:r w:rsidRPr="001E2CFA">
              <w:t>Overall</w:t>
            </w:r>
          </w:p>
        </w:tc>
        <w:tc>
          <w:tcPr>
            <w:tcW w:w="3414" w:type="dxa"/>
            <w:vAlign w:val="center"/>
          </w:tcPr>
          <w:p w:rsidR="00503AAE" w:rsidRPr="001E2CFA" w:rsidRDefault="00503AAE" w:rsidP="00E7274E">
            <w:pPr>
              <w:pStyle w:val="TCTableBody"/>
            </w:pPr>
            <w:r w:rsidRPr="001E2CFA">
              <w:t>&lt;0.001</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BKG vs CBI</w:t>
            </w:r>
          </w:p>
        </w:tc>
        <w:tc>
          <w:tcPr>
            <w:tcW w:w="3414" w:type="dxa"/>
            <w:vAlign w:val="center"/>
          </w:tcPr>
          <w:p w:rsidR="00503AAE" w:rsidRPr="001E2CFA" w:rsidRDefault="00503AAE" w:rsidP="00E7274E">
            <w:pPr>
              <w:pStyle w:val="TCTableBody"/>
            </w:pPr>
            <w:r w:rsidRPr="001E2CFA">
              <w:t>&lt;0.001</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BKG vs HDR</w:t>
            </w:r>
          </w:p>
        </w:tc>
        <w:tc>
          <w:tcPr>
            <w:tcW w:w="3414" w:type="dxa"/>
            <w:vAlign w:val="center"/>
          </w:tcPr>
          <w:p w:rsidR="00503AAE" w:rsidRPr="001E2CFA" w:rsidRDefault="00503AAE" w:rsidP="00E7274E">
            <w:pPr>
              <w:pStyle w:val="TCTableBody"/>
            </w:pPr>
            <w:r w:rsidRPr="001E2CFA">
              <w:t>0.39</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CBI vs HDR</w:t>
            </w:r>
          </w:p>
        </w:tc>
        <w:tc>
          <w:tcPr>
            <w:tcW w:w="3414" w:type="dxa"/>
            <w:vAlign w:val="center"/>
          </w:tcPr>
          <w:p w:rsidR="00503AAE" w:rsidRPr="001E2CFA" w:rsidRDefault="00503AAE" w:rsidP="00E7274E">
            <w:pPr>
              <w:pStyle w:val="TCTableBody"/>
            </w:pPr>
            <w:r w:rsidRPr="001E2CFA">
              <w:t>&lt;0.001</w:t>
            </w:r>
          </w:p>
        </w:tc>
      </w:tr>
      <w:tr w:rsidR="00503AAE" w:rsidRPr="002E5C06" w:rsidTr="0092566C">
        <w:trPr>
          <w:trHeight w:val="369"/>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BKG vs LDR</w:t>
            </w:r>
          </w:p>
        </w:tc>
        <w:tc>
          <w:tcPr>
            <w:tcW w:w="3414" w:type="dxa"/>
            <w:vAlign w:val="center"/>
          </w:tcPr>
          <w:p w:rsidR="00503AAE" w:rsidRPr="001E2CFA" w:rsidRDefault="00503AAE" w:rsidP="00E7274E">
            <w:pPr>
              <w:pStyle w:val="TCTableBody"/>
            </w:pPr>
            <w:r w:rsidRPr="001E2CFA">
              <w:t>0.02</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CBI vs LDR</w:t>
            </w:r>
          </w:p>
        </w:tc>
        <w:tc>
          <w:tcPr>
            <w:tcW w:w="3414" w:type="dxa"/>
            <w:vAlign w:val="center"/>
          </w:tcPr>
          <w:p w:rsidR="00503AAE" w:rsidRPr="001E2CFA" w:rsidRDefault="00503AAE" w:rsidP="00E7274E">
            <w:pPr>
              <w:pStyle w:val="TCTableBody"/>
            </w:pPr>
            <w:r w:rsidRPr="001E2CFA">
              <w:t>&lt;0.001</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HDR vs LDR</w:t>
            </w:r>
          </w:p>
        </w:tc>
        <w:tc>
          <w:tcPr>
            <w:tcW w:w="3414" w:type="dxa"/>
            <w:vAlign w:val="center"/>
          </w:tcPr>
          <w:p w:rsidR="00503AAE" w:rsidRPr="001E2CFA" w:rsidRDefault="00503AAE" w:rsidP="00E7274E">
            <w:pPr>
              <w:pStyle w:val="TCTableBody"/>
            </w:pPr>
            <w:r w:rsidRPr="001E2CFA">
              <w:t>0.02</w:t>
            </w:r>
          </w:p>
        </w:tc>
      </w:tr>
      <w:tr w:rsidR="00503AAE" w:rsidRPr="002E5C06" w:rsidTr="0092566C">
        <w:trPr>
          <w:trHeight w:val="360"/>
        </w:trPr>
        <w:tc>
          <w:tcPr>
            <w:tcW w:w="3414" w:type="dxa"/>
            <w:vAlign w:val="center"/>
          </w:tcPr>
          <w:p w:rsidR="00503AAE" w:rsidRPr="001E2CFA" w:rsidRDefault="00503AAE" w:rsidP="00E7274E">
            <w:pPr>
              <w:pStyle w:val="TCTableBody"/>
              <w:rPr>
                <w:b/>
              </w:rPr>
            </w:pPr>
            <w:r w:rsidRPr="001E2CFA">
              <w:rPr>
                <w:rStyle w:val="Strong"/>
                <w:rFonts w:ascii="Arial" w:hAnsi="Arial" w:cs="Arial"/>
                <w:b w:val="0"/>
                <w:sz w:val="22"/>
                <w:szCs w:val="22"/>
              </w:rPr>
              <w:t>Rotating sites</w:t>
            </w:r>
          </w:p>
        </w:tc>
        <w:tc>
          <w:tcPr>
            <w:tcW w:w="3414" w:type="dxa"/>
            <w:vAlign w:val="center"/>
          </w:tcPr>
          <w:p w:rsidR="00503AAE" w:rsidRPr="001E2CFA" w:rsidRDefault="00503AAE" w:rsidP="00E7274E">
            <w:pPr>
              <w:pStyle w:val="TCTableBody"/>
            </w:pPr>
            <w:r w:rsidRPr="001E2CFA">
              <w:t>Overall</w:t>
            </w:r>
          </w:p>
        </w:tc>
        <w:tc>
          <w:tcPr>
            <w:tcW w:w="3414" w:type="dxa"/>
            <w:vAlign w:val="center"/>
          </w:tcPr>
          <w:p w:rsidR="00503AAE" w:rsidRPr="001E2CFA" w:rsidRDefault="00503AAE" w:rsidP="00E7274E">
            <w:pPr>
              <w:pStyle w:val="TCTableBody"/>
            </w:pPr>
            <w:r w:rsidRPr="001E2CFA">
              <w:t>0.17</w:t>
            </w:r>
          </w:p>
        </w:tc>
      </w:tr>
      <w:tr w:rsidR="00503AAE" w:rsidRPr="002E5C06" w:rsidTr="0092566C">
        <w:trPr>
          <w:trHeight w:val="369"/>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BKG vs CBI</w:t>
            </w:r>
          </w:p>
        </w:tc>
        <w:tc>
          <w:tcPr>
            <w:tcW w:w="3414" w:type="dxa"/>
            <w:vAlign w:val="center"/>
          </w:tcPr>
          <w:p w:rsidR="00503AAE" w:rsidRPr="001E2CFA" w:rsidRDefault="00503AAE" w:rsidP="00E7274E">
            <w:pPr>
              <w:pStyle w:val="TCTableBody"/>
            </w:pPr>
            <w:r w:rsidRPr="001E2CFA">
              <w:t>0.89</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BKG vs HDR</w:t>
            </w:r>
          </w:p>
        </w:tc>
        <w:tc>
          <w:tcPr>
            <w:tcW w:w="3414" w:type="dxa"/>
            <w:vAlign w:val="center"/>
          </w:tcPr>
          <w:p w:rsidR="00503AAE" w:rsidRPr="001E2CFA" w:rsidRDefault="00503AAE" w:rsidP="00E7274E">
            <w:pPr>
              <w:pStyle w:val="TCTableBody"/>
            </w:pPr>
            <w:r w:rsidRPr="001E2CFA">
              <w:t>0.79</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CBI vs HDR</w:t>
            </w:r>
          </w:p>
        </w:tc>
        <w:tc>
          <w:tcPr>
            <w:tcW w:w="3414" w:type="dxa"/>
            <w:vAlign w:val="center"/>
          </w:tcPr>
          <w:p w:rsidR="00503AAE" w:rsidRPr="001E2CFA" w:rsidRDefault="00503AAE" w:rsidP="00E7274E">
            <w:pPr>
              <w:pStyle w:val="TCTableBody"/>
            </w:pPr>
            <w:r w:rsidRPr="001E2CFA">
              <w:t>0.89</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BKG vs LDR</w:t>
            </w:r>
          </w:p>
        </w:tc>
        <w:tc>
          <w:tcPr>
            <w:tcW w:w="3414" w:type="dxa"/>
            <w:vAlign w:val="center"/>
          </w:tcPr>
          <w:p w:rsidR="00503AAE" w:rsidRPr="001E2CFA" w:rsidRDefault="00503AAE" w:rsidP="00E7274E">
            <w:pPr>
              <w:pStyle w:val="TCTableBody"/>
            </w:pPr>
            <w:r w:rsidRPr="001E2CFA">
              <w:t>0.21</w:t>
            </w:r>
          </w:p>
        </w:tc>
      </w:tr>
      <w:tr w:rsidR="00503AAE" w:rsidRPr="002E5C06" w:rsidTr="0092566C">
        <w:trPr>
          <w:trHeight w:val="369"/>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CBI vs LDR</w:t>
            </w:r>
          </w:p>
        </w:tc>
        <w:tc>
          <w:tcPr>
            <w:tcW w:w="3414" w:type="dxa"/>
            <w:vAlign w:val="center"/>
          </w:tcPr>
          <w:p w:rsidR="00503AAE" w:rsidRPr="001E2CFA" w:rsidRDefault="00503AAE" w:rsidP="00E7274E">
            <w:pPr>
              <w:pStyle w:val="TCTableBody"/>
            </w:pPr>
            <w:r w:rsidRPr="001E2CFA">
              <w:t>0.55</w:t>
            </w:r>
          </w:p>
        </w:tc>
      </w:tr>
      <w:tr w:rsidR="00503AAE" w:rsidRPr="002E5C06" w:rsidTr="0092566C">
        <w:trPr>
          <w:trHeight w:val="360"/>
        </w:trPr>
        <w:tc>
          <w:tcPr>
            <w:tcW w:w="3414" w:type="dxa"/>
            <w:vAlign w:val="center"/>
          </w:tcPr>
          <w:p w:rsidR="00503AAE" w:rsidRPr="001E2CFA" w:rsidRDefault="00503AAE" w:rsidP="00E7274E">
            <w:pPr>
              <w:pStyle w:val="TCTableBody"/>
            </w:pPr>
          </w:p>
        </w:tc>
        <w:tc>
          <w:tcPr>
            <w:tcW w:w="3414" w:type="dxa"/>
            <w:vAlign w:val="center"/>
          </w:tcPr>
          <w:p w:rsidR="00503AAE" w:rsidRPr="001E2CFA" w:rsidRDefault="00503AAE" w:rsidP="00E7274E">
            <w:pPr>
              <w:pStyle w:val="TCTableBody"/>
            </w:pPr>
            <w:r w:rsidRPr="001E2CFA">
              <w:t>HDR vs LDR</w:t>
            </w:r>
          </w:p>
        </w:tc>
        <w:tc>
          <w:tcPr>
            <w:tcW w:w="3414" w:type="dxa"/>
            <w:vAlign w:val="center"/>
          </w:tcPr>
          <w:p w:rsidR="00503AAE" w:rsidRPr="001E2CFA" w:rsidRDefault="00503AAE" w:rsidP="00E7274E">
            <w:pPr>
              <w:pStyle w:val="TCTableBody"/>
            </w:pPr>
            <w:r w:rsidRPr="001E2CFA">
              <w:t>0.43</w:t>
            </w:r>
          </w:p>
        </w:tc>
      </w:tr>
    </w:tbl>
    <w:p w:rsidR="0034131A" w:rsidRDefault="0034131A" w:rsidP="0034131A">
      <w:pPr>
        <w:rPr>
          <w:rFonts w:ascii="Arial" w:hAnsi="Arial" w:cs="Arial"/>
          <w:sz w:val="22"/>
          <w:szCs w:val="22"/>
        </w:rPr>
      </w:pPr>
    </w:p>
    <w:p w:rsidR="008A5DA0" w:rsidRPr="002E5C06" w:rsidRDefault="008A5DA0" w:rsidP="0034131A">
      <w:pPr>
        <w:rPr>
          <w:rFonts w:ascii="Arial" w:hAnsi="Arial" w:cs="Arial"/>
          <w:sz w:val="22"/>
          <w:szCs w:val="22"/>
        </w:rPr>
      </w:pPr>
    </w:p>
    <w:p w:rsidR="00E7274E" w:rsidRDefault="002E5C06" w:rsidP="008A5DA0">
      <w:pPr>
        <w:pStyle w:val="TAMainText"/>
        <w:ind w:firstLine="0"/>
      </w:pPr>
      <w:r w:rsidRPr="002E5C06">
        <w:t xml:space="preserve">Generally, </w:t>
      </w:r>
      <w:r w:rsidRPr="002E5C06">
        <w:rPr>
          <w:rStyle w:val="Strong"/>
          <w:rFonts w:ascii="Arial" w:hAnsi="Arial" w:cs="Arial"/>
          <w:b w:val="0"/>
          <w:sz w:val="22"/>
          <w:szCs w:val="22"/>
        </w:rPr>
        <w:t>48.5% of all fixed-site samples</w:t>
      </w:r>
      <w:r w:rsidRPr="002E5C06">
        <w:rPr>
          <w:b/>
        </w:rPr>
        <w:t xml:space="preserve"> </w:t>
      </w:r>
      <w:r w:rsidRPr="002E5C06">
        <w:t xml:space="preserve">exceed the WHO annual guideline, while </w:t>
      </w:r>
      <w:r w:rsidRPr="002E5C06">
        <w:rPr>
          <w:rStyle w:val="Strong"/>
          <w:rFonts w:ascii="Arial" w:hAnsi="Arial" w:cs="Arial"/>
          <w:b w:val="0"/>
          <w:sz w:val="22"/>
          <w:szCs w:val="22"/>
        </w:rPr>
        <w:t>53.8% of rotating-site samples</w:t>
      </w:r>
      <w:r w:rsidRPr="002E5C06">
        <w:t xml:space="preserve"> are above this threshold. The highest percentages are observed in </w:t>
      </w:r>
      <w:r w:rsidRPr="002E5C06">
        <w:rPr>
          <w:rStyle w:val="Strong"/>
          <w:rFonts w:ascii="Arial" w:hAnsi="Arial" w:cs="Arial"/>
          <w:b w:val="0"/>
          <w:sz w:val="22"/>
          <w:szCs w:val="22"/>
        </w:rPr>
        <w:t>HDR and CBI areas</w:t>
      </w:r>
      <w:r w:rsidRPr="002E5C06">
        <w:rPr>
          <w:b/>
        </w:rPr>
        <w:t>,</w:t>
      </w:r>
      <w:r w:rsidRPr="002E5C06">
        <w:t xml:space="preserve"> while the lowest are found in </w:t>
      </w:r>
      <w:r w:rsidRPr="002E5C06">
        <w:rPr>
          <w:rStyle w:val="Strong"/>
          <w:rFonts w:ascii="Arial" w:hAnsi="Arial" w:cs="Arial"/>
          <w:b w:val="0"/>
          <w:sz w:val="22"/>
          <w:szCs w:val="22"/>
        </w:rPr>
        <w:t>background areas</w:t>
      </w:r>
      <w:r w:rsidR="00A21DDB">
        <w:rPr>
          <w:rStyle w:val="Strong"/>
          <w:rFonts w:ascii="Arial" w:hAnsi="Arial" w:cs="Arial"/>
          <w:b w:val="0"/>
          <w:sz w:val="22"/>
          <w:szCs w:val="22"/>
        </w:rPr>
        <w:t xml:space="preserve"> (Table S3)</w:t>
      </w:r>
      <w:r w:rsidRPr="002E5C06">
        <w:t>.</w:t>
      </w:r>
    </w:p>
    <w:p w:rsidR="00517A2A" w:rsidRDefault="00517A2A" w:rsidP="008A5DA0">
      <w:pPr>
        <w:pStyle w:val="TAMainText"/>
        <w:ind w:firstLine="0"/>
      </w:pPr>
    </w:p>
    <w:p w:rsidR="00517A2A" w:rsidRDefault="00517A2A" w:rsidP="008A5DA0">
      <w:pPr>
        <w:pStyle w:val="TAMainText"/>
        <w:ind w:firstLine="0"/>
      </w:pPr>
    </w:p>
    <w:p w:rsidR="00517A2A" w:rsidRDefault="00517A2A" w:rsidP="008A5DA0">
      <w:pPr>
        <w:pStyle w:val="TAMainText"/>
        <w:ind w:firstLine="0"/>
      </w:pPr>
    </w:p>
    <w:p w:rsidR="00517A2A" w:rsidRDefault="00517A2A" w:rsidP="008A5DA0">
      <w:pPr>
        <w:pStyle w:val="TAMainText"/>
        <w:ind w:firstLine="0"/>
      </w:pPr>
    </w:p>
    <w:p w:rsidR="00E7274E" w:rsidRDefault="00E7274E" w:rsidP="00E7274E">
      <w:pPr>
        <w:pStyle w:val="VDTableTitle"/>
        <w:spacing w:line="276" w:lineRule="auto"/>
      </w:pPr>
      <w:r>
        <w:rPr>
          <w:rStyle w:val="Strong"/>
          <w:rFonts w:ascii="Arial" w:hAnsi="Arial" w:cs="Arial"/>
          <w:sz w:val="22"/>
          <w:szCs w:val="22"/>
        </w:rPr>
        <w:lastRenderedPageBreak/>
        <w:t>Table S3</w:t>
      </w:r>
      <w:r w:rsidRPr="002E5C06">
        <w:rPr>
          <w:rStyle w:val="Strong"/>
          <w:rFonts w:ascii="Arial" w:hAnsi="Arial" w:cs="Arial"/>
          <w:sz w:val="22"/>
          <w:szCs w:val="22"/>
        </w:rPr>
        <w:t>.</w:t>
      </w:r>
      <w:r w:rsidRPr="002E5C06">
        <w:t xml:space="preserve"> Number and percentage of NO</w:t>
      </w:r>
      <w:r w:rsidRPr="002E5C06">
        <w:rPr>
          <w:rFonts w:ascii="Cambria Math" w:hAnsi="Cambria Math" w:cs="Cambria Math"/>
        </w:rPr>
        <w:t>₂</w:t>
      </w:r>
      <w:r w:rsidRPr="002E5C06">
        <w:t xml:space="preserve"> samples exceeding the WHO guideline threshold across land-use categories for fixed and rotating monitoring sites.</w:t>
      </w:r>
    </w:p>
    <w:p w:rsidR="00E7274E" w:rsidRPr="002E5C06" w:rsidRDefault="00E7274E" w:rsidP="00E7274E">
      <w:pPr>
        <w:pStyle w:val="TAMainText"/>
      </w:pPr>
    </w:p>
    <w:tbl>
      <w:tblPr>
        <w:tblStyle w:val="TableGrid"/>
        <w:tblW w:w="10310" w:type="dxa"/>
        <w:tblLook w:val="04A0" w:firstRow="1" w:lastRow="0" w:firstColumn="1" w:lastColumn="0" w:noHBand="0" w:noVBand="1"/>
      </w:tblPr>
      <w:tblGrid>
        <w:gridCol w:w="1156"/>
        <w:gridCol w:w="1163"/>
        <w:gridCol w:w="1563"/>
        <w:gridCol w:w="3463"/>
        <w:gridCol w:w="2965"/>
      </w:tblGrid>
      <w:tr w:rsidR="008A411A" w:rsidRPr="008A411A" w:rsidTr="008A411A">
        <w:trPr>
          <w:trHeight w:val="691"/>
        </w:trPr>
        <w:tc>
          <w:tcPr>
            <w:tcW w:w="0" w:type="auto"/>
            <w:hideMark/>
          </w:tcPr>
          <w:p w:rsidR="008A411A" w:rsidRPr="008A411A" w:rsidRDefault="008A411A" w:rsidP="008A411A">
            <w:pPr>
              <w:spacing w:after="0"/>
              <w:jc w:val="center"/>
              <w:rPr>
                <w:rFonts w:ascii="Times New Roman" w:hAnsi="Times New Roman"/>
                <w:b/>
                <w:bCs/>
                <w:szCs w:val="24"/>
              </w:rPr>
            </w:pPr>
            <w:r w:rsidRPr="008A411A">
              <w:rPr>
                <w:rFonts w:ascii="Times New Roman" w:hAnsi="Times New Roman"/>
                <w:b/>
                <w:bCs/>
                <w:szCs w:val="24"/>
              </w:rPr>
              <w:t>Site Type</w:t>
            </w:r>
          </w:p>
        </w:tc>
        <w:tc>
          <w:tcPr>
            <w:tcW w:w="0" w:type="auto"/>
            <w:hideMark/>
          </w:tcPr>
          <w:p w:rsidR="008A411A" w:rsidRPr="008A411A" w:rsidRDefault="008A411A" w:rsidP="008A411A">
            <w:pPr>
              <w:spacing w:after="0"/>
              <w:jc w:val="center"/>
              <w:rPr>
                <w:rFonts w:ascii="Times New Roman" w:hAnsi="Times New Roman"/>
                <w:b/>
                <w:bCs/>
                <w:szCs w:val="24"/>
              </w:rPr>
            </w:pPr>
            <w:r w:rsidRPr="008A411A">
              <w:rPr>
                <w:rFonts w:ascii="Times New Roman" w:hAnsi="Times New Roman"/>
                <w:b/>
                <w:bCs/>
                <w:szCs w:val="24"/>
              </w:rPr>
              <w:t>Category</w:t>
            </w:r>
          </w:p>
        </w:tc>
        <w:tc>
          <w:tcPr>
            <w:tcW w:w="0" w:type="auto"/>
            <w:hideMark/>
          </w:tcPr>
          <w:p w:rsidR="008A411A" w:rsidRPr="008A411A" w:rsidRDefault="008A411A" w:rsidP="008A411A">
            <w:pPr>
              <w:spacing w:after="0"/>
              <w:jc w:val="center"/>
              <w:rPr>
                <w:rFonts w:ascii="Times New Roman" w:hAnsi="Times New Roman"/>
                <w:b/>
                <w:bCs/>
                <w:szCs w:val="24"/>
              </w:rPr>
            </w:pPr>
            <w:r w:rsidRPr="008A411A">
              <w:rPr>
                <w:rFonts w:ascii="Times New Roman" w:hAnsi="Times New Roman"/>
                <w:b/>
                <w:bCs/>
                <w:szCs w:val="24"/>
              </w:rPr>
              <w:t>Total Samples</w:t>
            </w:r>
          </w:p>
        </w:tc>
        <w:tc>
          <w:tcPr>
            <w:tcW w:w="0" w:type="auto"/>
            <w:hideMark/>
          </w:tcPr>
          <w:p w:rsidR="008A411A" w:rsidRPr="008A411A" w:rsidRDefault="008A411A" w:rsidP="008A411A">
            <w:pPr>
              <w:spacing w:after="0"/>
              <w:jc w:val="center"/>
              <w:rPr>
                <w:rFonts w:ascii="Times New Roman" w:hAnsi="Times New Roman"/>
                <w:b/>
                <w:bCs/>
                <w:szCs w:val="24"/>
              </w:rPr>
            </w:pPr>
            <w:r w:rsidRPr="008A411A">
              <w:rPr>
                <w:rFonts w:ascii="Times New Roman" w:hAnsi="Times New Roman"/>
                <w:b/>
                <w:bCs/>
                <w:szCs w:val="24"/>
              </w:rPr>
              <w:t>Samples Exceeding WHO Threshold</w:t>
            </w:r>
          </w:p>
        </w:tc>
        <w:tc>
          <w:tcPr>
            <w:tcW w:w="0" w:type="auto"/>
            <w:hideMark/>
          </w:tcPr>
          <w:p w:rsidR="008A411A" w:rsidRPr="008A411A" w:rsidRDefault="008A411A" w:rsidP="008A411A">
            <w:pPr>
              <w:spacing w:after="0"/>
              <w:jc w:val="center"/>
              <w:rPr>
                <w:rFonts w:ascii="Times New Roman" w:hAnsi="Times New Roman"/>
                <w:b/>
                <w:bCs/>
                <w:szCs w:val="24"/>
              </w:rPr>
            </w:pPr>
            <w:r w:rsidRPr="008A411A">
              <w:rPr>
                <w:rFonts w:ascii="Times New Roman" w:hAnsi="Times New Roman"/>
                <w:b/>
                <w:bCs/>
                <w:szCs w:val="24"/>
              </w:rPr>
              <w:t>% Exceeding WHO Threshold</w:t>
            </w:r>
          </w:p>
        </w:tc>
      </w:tr>
      <w:tr w:rsidR="008A411A" w:rsidRPr="008A411A" w:rsidTr="008A411A">
        <w:trPr>
          <w:trHeight w:val="339"/>
        </w:trPr>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Fixed</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BKG</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133</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6</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4.5</w:t>
            </w:r>
          </w:p>
        </w:tc>
      </w:tr>
      <w:tr w:rsidR="008A411A" w:rsidRPr="008A411A" w:rsidTr="008A411A">
        <w:trPr>
          <w:trHeight w:val="352"/>
        </w:trPr>
        <w:tc>
          <w:tcPr>
            <w:tcW w:w="0" w:type="auto"/>
            <w:hideMark/>
          </w:tcPr>
          <w:p w:rsidR="008A411A" w:rsidRPr="008A411A" w:rsidRDefault="008A411A" w:rsidP="008A411A">
            <w:pPr>
              <w:spacing w:after="0"/>
              <w:jc w:val="left"/>
              <w:rPr>
                <w:rFonts w:ascii="Times New Roman" w:hAnsi="Times New Roman"/>
                <w:szCs w:val="24"/>
              </w:rPr>
            </w:pP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LDR</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147</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49</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33.3</w:t>
            </w:r>
          </w:p>
        </w:tc>
      </w:tr>
      <w:tr w:rsidR="008A411A" w:rsidRPr="008A411A" w:rsidTr="008A411A">
        <w:trPr>
          <w:trHeight w:val="352"/>
        </w:trPr>
        <w:tc>
          <w:tcPr>
            <w:tcW w:w="0" w:type="auto"/>
            <w:hideMark/>
          </w:tcPr>
          <w:p w:rsidR="008A411A" w:rsidRPr="008A411A" w:rsidRDefault="008A411A" w:rsidP="008A411A">
            <w:pPr>
              <w:spacing w:after="0"/>
              <w:jc w:val="left"/>
              <w:rPr>
                <w:rFonts w:ascii="Times New Roman" w:hAnsi="Times New Roman"/>
                <w:szCs w:val="24"/>
              </w:rPr>
            </w:pPr>
            <w:bookmarkStart w:id="0" w:name="_GoBack"/>
            <w:bookmarkEnd w:id="0"/>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CBI</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140</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126</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90.0</w:t>
            </w:r>
          </w:p>
        </w:tc>
      </w:tr>
      <w:tr w:rsidR="008A411A" w:rsidRPr="008A411A" w:rsidTr="008A411A">
        <w:trPr>
          <w:trHeight w:val="352"/>
        </w:trPr>
        <w:tc>
          <w:tcPr>
            <w:tcW w:w="0" w:type="auto"/>
            <w:hideMark/>
          </w:tcPr>
          <w:p w:rsidR="008A411A" w:rsidRPr="008A411A" w:rsidRDefault="008A411A" w:rsidP="008A411A">
            <w:pPr>
              <w:spacing w:after="0"/>
              <w:jc w:val="left"/>
              <w:rPr>
                <w:rFonts w:ascii="Times New Roman" w:hAnsi="Times New Roman"/>
                <w:szCs w:val="24"/>
              </w:rPr>
            </w:pP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HDR</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44</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44</w:t>
            </w:r>
          </w:p>
        </w:tc>
        <w:tc>
          <w:tcPr>
            <w:tcW w:w="0" w:type="auto"/>
            <w:hideMark/>
          </w:tcPr>
          <w:p w:rsidR="008A411A" w:rsidRPr="008A411A" w:rsidRDefault="008A411A" w:rsidP="008A411A">
            <w:pPr>
              <w:spacing w:after="0"/>
              <w:jc w:val="left"/>
              <w:rPr>
                <w:rFonts w:ascii="Times New Roman" w:hAnsi="Times New Roman"/>
                <w:szCs w:val="24"/>
              </w:rPr>
            </w:pPr>
            <w:r w:rsidRPr="008A411A">
              <w:rPr>
                <w:rFonts w:ascii="Times New Roman" w:hAnsi="Times New Roman"/>
                <w:szCs w:val="24"/>
              </w:rPr>
              <w:t>100.0</w:t>
            </w:r>
          </w:p>
        </w:tc>
      </w:tr>
      <w:tr w:rsidR="00AB41FA" w:rsidRPr="008A411A" w:rsidTr="008A411A">
        <w:trPr>
          <w:trHeight w:val="352"/>
        </w:trPr>
        <w:tc>
          <w:tcPr>
            <w:tcW w:w="0" w:type="auto"/>
          </w:tcPr>
          <w:p w:rsidR="00AB41FA" w:rsidRPr="008A411A" w:rsidRDefault="00AB41FA" w:rsidP="00AB41FA">
            <w:pPr>
              <w:spacing w:after="0"/>
              <w:jc w:val="left"/>
              <w:rPr>
                <w:rFonts w:ascii="Times New Roman" w:hAnsi="Times New Roman"/>
                <w:szCs w:val="24"/>
              </w:rPr>
            </w:pPr>
          </w:p>
        </w:tc>
        <w:tc>
          <w:tcPr>
            <w:tcW w:w="0" w:type="auto"/>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Overall</w:t>
            </w:r>
          </w:p>
        </w:tc>
        <w:tc>
          <w:tcPr>
            <w:tcW w:w="0" w:type="auto"/>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464</w:t>
            </w:r>
          </w:p>
        </w:tc>
        <w:tc>
          <w:tcPr>
            <w:tcW w:w="0" w:type="auto"/>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225</w:t>
            </w:r>
          </w:p>
        </w:tc>
        <w:tc>
          <w:tcPr>
            <w:tcW w:w="0" w:type="auto"/>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48.5</w:t>
            </w:r>
          </w:p>
        </w:tc>
      </w:tr>
      <w:tr w:rsidR="00AB41FA" w:rsidRPr="008A411A" w:rsidTr="008A411A">
        <w:trPr>
          <w:trHeight w:val="339"/>
        </w:trPr>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Rotating</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BKG</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29</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0</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0.0</w:t>
            </w:r>
          </w:p>
        </w:tc>
      </w:tr>
      <w:tr w:rsidR="00AB41FA" w:rsidRPr="008A411A" w:rsidTr="008A411A">
        <w:trPr>
          <w:trHeight w:val="352"/>
        </w:trPr>
        <w:tc>
          <w:tcPr>
            <w:tcW w:w="0" w:type="auto"/>
            <w:hideMark/>
          </w:tcPr>
          <w:p w:rsidR="00AB41FA" w:rsidRPr="008A411A" w:rsidRDefault="00AB41FA" w:rsidP="00AB41FA">
            <w:pPr>
              <w:spacing w:after="0"/>
              <w:jc w:val="left"/>
              <w:rPr>
                <w:rFonts w:ascii="Times New Roman" w:hAnsi="Times New Roman"/>
                <w:szCs w:val="24"/>
              </w:rPr>
            </w:pP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CBI</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14</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11</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78.6</w:t>
            </w:r>
          </w:p>
        </w:tc>
      </w:tr>
      <w:tr w:rsidR="00AB41FA" w:rsidRPr="008A411A" w:rsidTr="008A411A">
        <w:trPr>
          <w:trHeight w:val="339"/>
        </w:trPr>
        <w:tc>
          <w:tcPr>
            <w:tcW w:w="0" w:type="auto"/>
            <w:hideMark/>
          </w:tcPr>
          <w:p w:rsidR="00AB41FA" w:rsidRPr="008A411A" w:rsidRDefault="00AB41FA" w:rsidP="00AB41FA">
            <w:pPr>
              <w:spacing w:after="0"/>
              <w:jc w:val="left"/>
              <w:rPr>
                <w:rFonts w:ascii="Times New Roman" w:hAnsi="Times New Roman"/>
                <w:szCs w:val="24"/>
              </w:rPr>
            </w:pP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LDR</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41</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25</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61.0</w:t>
            </w:r>
          </w:p>
        </w:tc>
      </w:tr>
      <w:tr w:rsidR="00AB41FA" w:rsidRPr="008A411A" w:rsidTr="008A411A">
        <w:trPr>
          <w:trHeight w:val="352"/>
        </w:trPr>
        <w:tc>
          <w:tcPr>
            <w:tcW w:w="0" w:type="auto"/>
            <w:hideMark/>
          </w:tcPr>
          <w:p w:rsidR="00AB41FA" w:rsidRPr="008A411A" w:rsidRDefault="00AB41FA" w:rsidP="00AB41FA">
            <w:pPr>
              <w:spacing w:after="0"/>
              <w:jc w:val="left"/>
              <w:rPr>
                <w:rFonts w:ascii="Times New Roman" w:hAnsi="Times New Roman"/>
                <w:szCs w:val="24"/>
              </w:rPr>
            </w:pP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HDR</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22</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21</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95.5</w:t>
            </w:r>
          </w:p>
        </w:tc>
      </w:tr>
      <w:tr w:rsidR="00AB41FA" w:rsidRPr="008A411A" w:rsidTr="008A411A">
        <w:trPr>
          <w:trHeight w:val="37"/>
        </w:trPr>
        <w:tc>
          <w:tcPr>
            <w:tcW w:w="0" w:type="auto"/>
            <w:hideMark/>
          </w:tcPr>
          <w:p w:rsidR="00AB41FA" w:rsidRPr="008A411A" w:rsidRDefault="00AB41FA" w:rsidP="00AB41FA">
            <w:pPr>
              <w:spacing w:after="0"/>
              <w:jc w:val="left"/>
              <w:rPr>
                <w:rFonts w:ascii="Times New Roman" w:hAnsi="Times New Roman"/>
                <w:szCs w:val="24"/>
              </w:rPr>
            </w:pP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Overall</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106</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57</w:t>
            </w:r>
          </w:p>
        </w:tc>
        <w:tc>
          <w:tcPr>
            <w:tcW w:w="0" w:type="auto"/>
            <w:hideMark/>
          </w:tcPr>
          <w:p w:rsidR="00AB41FA" w:rsidRPr="008A411A" w:rsidRDefault="00AB41FA" w:rsidP="00AB41FA">
            <w:pPr>
              <w:spacing w:after="0"/>
              <w:jc w:val="left"/>
              <w:rPr>
                <w:rFonts w:ascii="Times New Roman" w:hAnsi="Times New Roman"/>
                <w:szCs w:val="24"/>
              </w:rPr>
            </w:pPr>
            <w:r w:rsidRPr="008A411A">
              <w:rPr>
                <w:rFonts w:ascii="Times New Roman" w:hAnsi="Times New Roman"/>
                <w:szCs w:val="24"/>
              </w:rPr>
              <w:t>53.8</w:t>
            </w:r>
          </w:p>
        </w:tc>
      </w:tr>
    </w:tbl>
    <w:p w:rsidR="00735304" w:rsidRPr="002E5C06" w:rsidRDefault="00735304" w:rsidP="00331EDA">
      <w:pPr>
        <w:tabs>
          <w:tab w:val="left" w:pos="8110"/>
        </w:tabs>
        <w:rPr>
          <w:rFonts w:ascii="Arial" w:hAnsi="Arial" w:cs="Arial"/>
          <w:sz w:val="22"/>
          <w:szCs w:val="22"/>
        </w:rPr>
      </w:pPr>
    </w:p>
    <w:p w:rsidR="009F5FAA" w:rsidRDefault="009F5FAA" w:rsidP="00C3168E">
      <w:pPr>
        <w:rPr>
          <w:rFonts w:ascii="Arial" w:hAnsi="Arial" w:cs="Arial"/>
          <w:sz w:val="22"/>
          <w:szCs w:val="22"/>
        </w:rPr>
      </w:pPr>
    </w:p>
    <w:p w:rsidR="008A5DA0" w:rsidRDefault="008A5DA0" w:rsidP="008A5DA0">
      <w:pPr>
        <w:pStyle w:val="VDTableTitle"/>
      </w:pPr>
      <w:r>
        <w:t xml:space="preserve">Concentrations of both NO and NO₂ decreased with increasing distance from the primary road. Higher mean concentrations were observed at sites closer to the road, while lower concentrations were observed at more distant sites. For NO₂, differences were statistically significant across all distances (100 m to 1000 m; </w:t>
      </w:r>
      <w:r>
        <w:rPr>
          <w:rStyle w:val="Emphasis"/>
        </w:rPr>
        <w:t>p</w:t>
      </w:r>
      <w:r>
        <w:t xml:space="preserve"> &lt; 0.05). In contrast, for NO, significant differences were observed only from 500 m onward, indicating that distinctions between near-road and more distant sites for NO concentrations become more pronounced at larger distances (Table S4).</w:t>
      </w:r>
    </w:p>
    <w:p w:rsidR="00517A2A" w:rsidRDefault="00517A2A" w:rsidP="00517A2A"/>
    <w:p w:rsidR="00517A2A" w:rsidRDefault="00517A2A" w:rsidP="00517A2A"/>
    <w:p w:rsidR="00517A2A" w:rsidRDefault="00517A2A" w:rsidP="00517A2A"/>
    <w:p w:rsidR="00517A2A" w:rsidRDefault="00517A2A" w:rsidP="00517A2A"/>
    <w:p w:rsidR="00517A2A" w:rsidRDefault="00517A2A" w:rsidP="00517A2A"/>
    <w:p w:rsidR="00517A2A" w:rsidRDefault="00517A2A" w:rsidP="00517A2A"/>
    <w:p w:rsidR="00517A2A" w:rsidRPr="00517A2A" w:rsidRDefault="00517A2A" w:rsidP="00517A2A"/>
    <w:p w:rsidR="00BA332F" w:rsidRDefault="007420D8" w:rsidP="001638A7">
      <w:pPr>
        <w:pStyle w:val="VDTableTitle"/>
        <w:spacing w:line="276" w:lineRule="auto"/>
      </w:pPr>
      <w:r>
        <w:rPr>
          <w:rStyle w:val="Strong"/>
          <w:rFonts w:ascii="Arial" w:hAnsi="Arial" w:cs="Arial"/>
          <w:sz w:val="22"/>
          <w:szCs w:val="22"/>
        </w:rPr>
        <w:lastRenderedPageBreak/>
        <w:t>Table S4</w:t>
      </w:r>
      <w:r w:rsidRPr="002E5C06">
        <w:rPr>
          <w:rStyle w:val="Strong"/>
          <w:rFonts w:ascii="Arial" w:hAnsi="Arial" w:cs="Arial"/>
          <w:sz w:val="22"/>
          <w:szCs w:val="22"/>
        </w:rPr>
        <w:t>.</w:t>
      </w:r>
      <w:r w:rsidRPr="002E5C06">
        <w:rPr>
          <w:rFonts w:ascii="Arial" w:hAnsi="Arial" w:cs="Arial"/>
          <w:sz w:val="22"/>
          <w:szCs w:val="22"/>
        </w:rPr>
        <w:t xml:space="preserve"> </w:t>
      </w:r>
      <w:r w:rsidR="00A312C3">
        <w:t>Table showing mean NO and NO₂ concentrations (µg/m³) at sites located 100–1000 m from the primary road, with standard deviations and pairwise comparison p-values.</w:t>
      </w:r>
    </w:p>
    <w:p w:rsidR="00A312C3" w:rsidRDefault="00A312C3" w:rsidP="00A312C3"/>
    <w:tbl>
      <w:tblPr>
        <w:tblStyle w:val="TableGrid"/>
        <w:tblW w:w="10254" w:type="dxa"/>
        <w:tblLook w:val="04A0" w:firstRow="1" w:lastRow="0" w:firstColumn="1" w:lastColumn="0" w:noHBand="0" w:noVBand="1"/>
      </w:tblPr>
      <w:tblGrid>
        <w:gridCol w:w="1878"/>
        <w:gridCol w:w="1815"/>
        <w:gridCol w:w="1726"/>
        <w:gridCol w:w="572"/>
        <w:gridCol w:w="713"/>
        <w:gridCol w:w="1820"/>
        <w:gridCol w:w="1730"/>
      </w:tblGrid>
      <w:tr w:rsidR="00A312C3" w:rsidRPr="00A312C3" w:rsidTr="00517A2A">
        <w:trPr>
          <w:trHeight w:val="438"/>
        </w:trPr>
        <w:tc>
          <w:tcPr>
            <w:tcW w:w="0" w:type="auto"/>
            <w:hideMark/>
          </w:tcPr>
          <w:p w:rsidR="00A312C3" w:rsidRPr="00A312C3" w:rsidRDefault="00A312C3" w:rsidP="00A312C3">
            <w:pPr>
              <w:spacing w:after="0"/>
              <w:jc w:val="center"/>
              <w:rPr>
                <w:rFonts w:ascii="Times New Roman" w:hAnsi="Times New Roman"/>
                <w:b/>
                <w:bCs/>
                <w:szCs w:val="24"/>
              </w:rPr>
            </w:pPr>
            <w:r w:rsidRPr="00A312C3">
              <w:rPr>
                <w:rFonts w:ascii="Times New Roman" w:hAnsi="Times New Roman"/>
                <w:b/>
                <w:bCs/>
                <w:szCs w:val="24"/>
              </w:rPr>
              <w:t>Distance (m)</w:t>
            </w:r>
          </w:p>
        </w:tc>
        <w:tc>
          <w:tcPr>
            <w:tcW w:w="0" w:type="auto"/>
            <w:hideMark/>
          </w:tcPr>
          <w:p w:rsidR="00A312C3" w:rsidRPr="00A312C3" w:rsidRDefault="00A312C3" w:rsidP="00A312C3">
            <w:pPr>
              <w:spacing w:after="0"/>
              <w:jc w:val="center"/>
              <w:rPr>
                <w:rFonts w:ascii="Times New Roman" w:hAnsi="Times New Roman"/>
                <w:b/>
                <w:bCs/>
                <w:szCs w:val="24"/>
              </w:rPr>
            </w:pPr>
            <w:r w:rsidRPr="00A312C3">
              <w:rPr>
                <w:rFonts w:ascii="Times New Roman" w:hAnsi="Times New Roman"/>
                <w:b/>
                <w:bCs/>
                <w:szCs w:val="24"/>
              </w:rPr>
              <w:t>NO₂ (µg/m³)</w:t>
            </w:r>
          </w:p>
        </w:tc>
        <w:tc>
          <w:tcPr>
            <w:tcW w:w="0" w:type="auto"/>
            <w:hideMark/>
          </w:tcPr>
          <w:p w:rsidR="00A312C3" w:rsidRPr="00A312C3" w:rsidRDefault="00A312C3" w:rsidP="00A312C3">
            <w:pPr>
              <w:spacing w:after="0"/>
              <w:jc w:val="center"/>
              <w:rPr>
                <w:rFonts w:ascii="Times New Roman" w:hAnsi="Times New Roman"/>
                <w:b/>
                <w:bCs/>
                <w:szCs w:val="24"/>
              </w:rPr>
            </w:pPr>
            <w:r w:rsidRPr="00A312C3">
              <w:rPr>
                <w:rFonts w:ascii="Times New Roman" w:hAnsi="Times New Roman"/>
                <w:b/>
                <w:bCs/>
                <w:szCs w:val="24"/>
              </w:rPr>
              <w:t>NO (µg/m³)</w:t>
            </w:r>
          </w:p>
        </w:tc>
        <w:tc>
          <w:tcPr>
            <w:tcW w:w="0" w:type="auto"/>
            <w:hideMark/>
          </w:tcPr>
          <w:p w:rsidR="00A312C3" w:rsidRPr="00A312C3" w:rsidRDefault="00A312C3" w:rsidP="00A312C3">
            <w:pPr>
              <w:spacing w:after="0"/>
              <w:jc w:val="center"/>
              <w:rPr>
                <w:rFonts w:ascii="Times New Roman" w:hAnsi="Times New Roman"/>
                <w:b/>
                <w:bCs/>
                <w:szCs w:val="24"/>
              </w:rPr>
            </w:pPr>
            <w:r w:rsidRPr="00A312C3">
              <w:rPr>
                <w:rFonts w:ascii="Times New Roman" w:hAnsi="Times New Roman"/>
                <w:b/>
                <w:bCs/>
                <w:szCs w:val="24"/>
              </w:rPr>
              <w:t>N₁</w:t>
            </w:r>
          </w:p>
        </w:tc>
        <w:tc>
          <w:tcPr>
            <w:tcW w:w="0" w:type="auto"/>
            <w:hideMark/>
          </w:tcPr>
          <w:p w:rsidR="00A312C3" w:rsidRPr="00A312C3" w:rsidRDefault="00A312C3" w:rsidP="00A312C3">
            <w:pPr>
              <w:spacing w:after="0"/>
              <w:jc w:val="center"/>
              <w:rPr>
                <w:rFonts w:ascii="Times New Roman" w:hAnsi="Times New Roman"/>
                <w:b/>
                <w:bCs/>
                <w:szCs w:val="24"/>
              </w:rPr>
            </w:pPr>
            <w:r w:rsidRPr="00A312C3">
              <w:rPr>
                <w:rFonts w:ascii="Times New Roman" w:hAnsi="Times New Roman"/>
                <w:b/>
                <w:bCs/>
                <w:szCs w:val="24"/>
              </w:rPr>
              <w:t>N₂</w:t>
            </w:r>
          </w:p>
        </w:tc>
        <w:tc>
          <w:tcPr>
            <w:tcW w:w="0" w:type="auto"/>
            <w:hideMark/>
          </w:tcPr>
          <w:p w:rsidR="00A312C3" w:rsidRPr="00A312C3" w:rsidRDefault="00A312C3" w:rsidP="00A312C3">
            <w:pPr>
              <w:spacing w:after="0"/>
              <w:jc w:val="center"/>
              <w:rPr>
                <w:rFonts w:ascii="Times New Roman" w:hAnsi="Times New Roman"/>
                <w:b/>
                <w:bCs/>
                <w:szCs w:val="24"/>
              </w:rPr>
            </w:pPr>
            <w:r w:rsidRPr="00A312C3">
              <w:rPr>
                <w:rFonts w:ascii="Times New Roman" w:hAnsi="Times New Roman"/>
                <w:b/>
                <w:bCs/>
                <w:szCs w:val="24"/>
              </w:rPr>
              <w:t>p-value NO₂</w:t>
            </w:r>
          </w:p>
        </w:tc>
        <w:tc>
          <w:tcPr>
            <w:tcW w:w="0" w:type="auto"/>
            <w:hideMark/>
          </w:tcPr>
          <w:p w:rsidR="00A312C3" w:rsidRPr="00A312C3" w:rsidRDefault="00A312C3" w:rsidP="00A312C3">
            <w:pPr>
              <w:spacing w:after="0"/>
              <w:jc w:val="center"/>
              <w:rPr>
                <w:rFonts w:ascii="Times New Roman" w:hAnsi="Times New Roman"/>
                <w:b/>
                <w:bCs/>
                <w:szCs w:val="24"/>
              </w:rPr>
            </w:pPr>
            <w:r w:rsidRPr="00A312C3">
              <w:rPr>
                <w:rFonts w:ascii="Times New Roman" w:hAnsi="Times New Roman"/>
                <w:b/>
                <w:bCs/>
                <w:szCs w:val="24"/>
              </w:rPr>
              <w:t>p-value NO</w:t>
            </w:r>
          </w:p>
        </w:tc>
      </w:tr>
      <w:tr w:rsidR="00A312C3" w:rsidRPr="00A312C3" w:rsidTr="00517A2A">
        <w:trPr>
          <w:trHeight w:val="423"/>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20.30 (9.48)</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7.79 (8.24)</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105</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0.02</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0.16</w:t>
            </w:r>
          </w:p>
        </w:tc>
      </w:tr>
      <w:tr w:rsidR="00A312C3" w:rsidRPr="00A312C3" w:rsidTr="00517A2A">
        <w:trPr>
          <w:trHeight w:val="438"/>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200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19.90 (8.52)</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7.53 (7.82)</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16</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0.08</w:t>
            </w:r>
          </w:p>
        </w:tc>
      </w:tr>
      <w:tr w:rsidR="00A312C3" w:rsidRPr="00A312C3" w:rsidTr="00517A2A">
        <w:trPr>
          <w:trHeight w:val="423"/>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300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19.70 (7.88)</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7.01 (7.08)</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20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96</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0.06</w:t>
            </w:r>
          </w:p>
        </w:tc>
      </w:tr>
      <w:tr w:rsidR="00A312C3" w:rsidRPr="00A312C3" w:rsidTr="00517A2A">
        <w:trPr>
          <w:trHeight w:val="438"/>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400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19.50 (8.01)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6.24 (6.52)</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25</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91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0.09</w:t>
            </w:r>
          </w:p>
        </w:tc>
      </w:tr>
      <w:tr w:rsidR="00A312C3" w:rsidRPr="00A312C3" w:rsidTr="00517A2A">
        <w:trPr>
          <w:trHeight w:val="438"/>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500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19.50 (7.58)</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6.48 (6.30)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29</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87</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0.03</w:t>
            </w:r>
          </w:p>
        </w:tc>
      </w:tr>
      <w:tr w:rsidR="00A312C3" w:rsidRPr="00A312C3" w:rsidTr="00517A2A">
        <w:trPr>
          <w:trHeight w:val="423"/>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19.80 (7.65)</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6.34 (6.23)</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30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86</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0.03</w:t>
            </w:r>
          </w:p>
        </w:tc>
      </w:tr>
      <w:tr w:rsidR="00A312C3" w:rsidRPr="00A312C3" w:rsidTr="00517A2A">
        <w:trPr>
          <w:trHeight w:val="438"/>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700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19.90 (7.43)</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6.56 (6.10)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32</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84</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0.01</w:t>
            </w:r>
          </w:p>
        </w:tc>
      </w:tr>
      <w:tr w:rsidR="00A312C3" w:rsidRPr="00A312C3" w:rsidTr="00517A2A">
        <w:trPr>
          <w:trHeight w:val="423"/>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800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19.70 (7.42)</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6.46 (6.03)</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33</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83</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0.01</w:t>
            </w:r>
          </w:p>
        </w:tc>
      </w:tr>
      <w:tr w:rsidR="00A312C3" w:rsidRPr="00A312C3" w:rsidTr="00517A2A">
        <w:trPr>
          <w:trHeight w:val="438"/>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900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19.30 (7.28)</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6.58 (6.09)</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36</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80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0.01</w:t>
            </w:r>
          </w:p>
        </w:tc>
      </w:tr>
      <w:tr w:rsidR="00A312C3" w:rsidRPr="00A312C3" w:rsidTr="00517A2A">
        <w:trPr>
          <w:trHeight w:val="438"/>
        </w:trPr>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1000</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19.30 (6.99)</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6.82 (6.02)</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39</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77</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&lt;0.001</w:t>
            </w:r>
          </w:p>
        </w:tc>
        <w:tc>
          <w:tcPr>
            <w:tcW w:w="0" w:type="auto"/>
            <w:hideMark/>
          </w:tcPr>
          <w:p w:rsidR="00A312C3" w:rsidRPr="00A312C3" w:rsidRDefault="00A312C3" w:rsidP="00A312C3">
            <w:pPr>
              <w:spacing w:after="0"/>
              <w:jc w:val="left"/>
              <w:rPr>
                <w:rFonts w:ascii="Times New Roman" w:hAnsi="Times New Roman"/>
                <w:szCs w:val="24"/>
              </w:rPr>
            </w:pPr>
            <w:r w:rsidRPr="00A312C3">
              <w:rPr>
                <w:rFonts w:ascii="Times New Roman" w:hAnsi="Times New Roman"/>
                <w:szCs w:val="24"/>
              </w:rPr>
              <w:t>0.00</w:t>
            </w:r>
          </w:p>
        </w:tc>
      </w:tr>
    </w:tbl>
    <w:p w:rsidR="00A312C3" w:rsidRPr="00A312C3" w:rsidRDefault="00A312C3" w:rsidP="00A312C3"/>
    <w:p w:rsidR="00A312C3" w:rsidRPr="0092566C" w:rsidRDefault="00A312C3" w:rsidP="00A312C3">
      <w:pPr>
        <w:pStyle w:val="NormalWeb"/>
        <w:rPr>
          <w:i/>
        </w:rPr>
      </w:pPr>
      <w:r w:rsidRPr="0092566C">
        <w:rPr>
          <w:rStyle w:val="Strong"/>
          <w:i/>
        </w:rPr>
        <w:t>N₁</w:t>
      </w:r>
      <w:r w:rsidRPr="0092566C">
        <w:rPr>
          <w:i/>
        </w:rPr>
        <w:t>: number of m</w:t>
      </w:r>
      <w:r w:rsidR="00A80C92" w:rsidRPr="0092566C">
        <w:rPr>
          <w:i/>
        </w:rPr>
        <w:t>easurements closer to the road</w:t>
      </w:r>
    </w:p>
    <w:p w:rsidR="00A312C3" w:rsidRPr="0092566C" w:rsidRDefault="00A312C3" w:rsidP="00A312C3">
      <w:pPr>
        <w:pStyle w:val="NormalWeb"/>
        <w:rPr>
          <w:i/>
        </w:rPr>
      </w:pPr>
      <w:r w:rsidRPr="0092566C">
        <w:rPr>
          <w:rStyle w:val="Strong"/>
          <w:i/>
        </w:rPr>
        <w:t>N₂</w:t>
      </w:r>
      <w:r w:rsidRPr="0092566C">
        <w:rPr>
          <w:i/>
        </w:rPr>
        <w:t xml:space="preserve">: number of measurements farther from the road </w:t>
      </w:r>
    </w:p>
    <w:p w:rsidR="009F5FAA" w:rsidRDefault="009F5FAA" w:rsidP="007420D8">
      <w:pPr>
        <w:pStyle w:val="TCTableBody"/>
        <w:rPr>
          <w:rFonts w:ascii="Arial" w:hAnsi="Arial" w:cs="Arial"/>
          <w:sz w:val="22"/>
          <w:szCs w:val="22"/>
        </w:rPr>
      </w:pPr>
    </w:p>
    <w:p w:rsidR="009F5FAA" w:rsidRDefault="009F5FAA" w:rsidP="009F5FAA">
      <w:pPr>
        <w:rPr>
          <w:rFonts w:ascii="Arial" w:hAnsi="Arial" w:cs="Arial"/>
          <w:sz w:val="22"/>
          <w:szCs w:val="22"/>
        </w:rPr>
      </w:pPr>
    </w:p>
    <w:p w:rsidR="001E2CFA" w:rsidRDefault="009F5FAA" w:rsidP="00853A30">
      <w:r>
        <w:t>.</w:t>
      </w:r>
    </w:p>
    <w:p w:rsidR="006B5F8C" w:rsidRPr="00BA332F" w:rsidRDefault="006B5F8C" w:rsidP="00853A30">
      <w:r>
        <w:rPr>
          <w:noProof/>
        </w:rPr>
        <w:lastRenderedPageBreak/>
        <w:drawing>
          <wp:inline distT="0" distB="0" distL="0" distR="0">
            <wp:extent cx="6440170" cy="4293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tance_plo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40170" cy="4293235"/>
                    </a:xfrm>
                    <a:prstGeom prst="rect">
                      <a:avLst/>
                    </a:prstGeom>
                  </pic:spPr>
                </pic:pic>
              </a:graphicData>
            </a:graphic>
          </wp:inline>
        </w:drawing>
      </w:r>
    </w:p>
    <w:p w:rsidR="00853A30" w:rsidRDefault="00853A30" w:rsidP="00853A30">
      <w:pPr>
        <w:rPr>
          <w:rFonts w:ascii="Arial" w:hAnsi="Arial" w:cs="Arial"/>
          <w:sz w:val="22"/>
          <w:szCs w:val="22"/>
        </w:rPr>
      </w:pPr>
    </w:p>
    <w:p w:rsidR="006B5F8C" w:rsidRDefault="007420D8" w:rsidP="007420D8">
      <w:pPr>
        <w:pStyle w:val="VAFigureCaption"/>
        <w:spacing w:line="276" w:lineRule="auto"/>
      </w:pPr>
      <w:r>
        <w:rPr>
          <w:rStyle w:val="Strong"/>
        </w:rPr>
        <w:t>Figure S2.</w:t>
      </w:r>
      <w:r>
        <w:t xml:space="preserve"> Scatter plots of NO₂ concentrations (</w:t>
      </w:r>
      <w:proofErr w:type="spellStart"/>
      <w:r>
        <w:t>μg</w:t>
      </w:r>
      <w:proofErr w:type="spellEnd"/>
      <w:r>
        <w:t>/m³) by distance from primary roads (≤200 m and &gt;200 m)</w:t>
      </w:r>
    </w:p>
    <w:p w:rsidR="007420D8" w:rsidRPr="007420D8" w:rsidRDefault="007420D8" w:rsidP="007420D8"/>
    <w:p w:rsidR="00735304" w:rsidRPr="00B54FF8" w:rsidRDefault="00B54FF8" w:rsidP="00331EDA">
      <w:pPr>
        <w:tabs>
          <w:tab w:val="left" w:pos="8110"/>
        </w:tabs>
        <w:rPr>
          <w:rFonts w:ascii="Arial" w:hAnsi="Arial" w:cs="Arial"/>
          <w:b/>
          <w:sz w:val="22"/>
          <w:szCs w:val="22"/>
          <w:u w:val="single"/>
        </w:rPr>
      </w:pPr>
      <w:r w:rsidRPr="00B54FF8">
        <w:rPr>
          <w:rFonts w:ascii="Arial" w:hAnsi="Arial" w:cs="Arial"/>
          <w:b/>
          <w:sz w:val="22"/>
          <w:szCs w:val="22"/>
          <w:u w:val="single"/>
        </w:rPr>
        <w:t>Temporal analysis</w:t>
      </w:r>
    </w:p>
    <w:p w:rsidR="00735304" w:rsidRPr="002E5C06" w:rsidRDefault="00735304" w:rsidP="00331EDA">
      <w:pPr>
        <w:tabs>
          <w:tab w:val="left" w:pos="8110"/>
        </w:tabs>
        <w:rPr>
          <w:rFonts w:ascii="Arial" w:hAnsi="Arial" w:cs="Arial"/>
          <w:sz w:val="22"/>
          <w:szCs w:val="22"/>
        </w:rPr>
      </w:pPr>
    </w:p>
    <w:p w:rsidR="00503AAE" w:rsidRDefault="008154A3" w:rsidP="007420D8">
      <w:pPr>
        <w:pStyle w:val="TAMainText"/>
      </w:pPr>
      <w:r>
        <w:t>Overall seasonal difference</w:t>
      </w:r>
      <w:r w:rsidR="00B54FF8" w:rsidRPr="00B54FF8">
        <w:t xml:space="preserve"> were observed between the dry and rainy seasons. At the category level, significant differences in NO</w:t>
      </w:r>
      <w:r w:rsidR="00B54FF8" w:rsidRPr="00B54FF8">
        <w:rPr>
          <w:rFonts w:ascii="Cambria Math" w:hAnsi="Cambria Math" w:cs="Cambria Math"/>
        </w:rPr>
        <w:t>₂</w:t>
      </w:r>
      <w:r w:rsidR="00B54FF8" w:rsidRPr="00B54FF8">
        <w:t xml:space="preserve"> were found in residential a</w:t>
      </w:r>
      <w:r w:rsidR="00D8133D">
        <w:t>reas (HDR and LDR</w:t>
      </w:r>
      <w:r w:rsidR="00B54FF8" w:rsidRPr="00B54FF8">
        <w:t>). Significant differences i</w:t>
      </w:r>
      <w:r w:rsidR="00934E5A">
        <w:t>n NO were observed in BKG</w:t>
      </w:r>
      <w:r w:rsidR="00B54FF8" w:rsidRPr="00B54FF8">
        <w:t xml:space="preserve"> areas, </w:t>
      </w:r>
      <w:r w:rsidR="00934E5A">
        <w:t>CBI</w:t>
      </w:r>
      <w:r w:rsidR="00B54FF8" w:rsidRPr="00B54FF8">
        <w:t>, a</w:t>
      </w:r>
      <w:r w:rsidR="00934E5A">
        <w:t xml:space="preserve">nd LDR (Table S5, </w:t>
      </w:r>
      <w:r w:rsidR="00BA332F">
        <w:t>Figure S2)</w:t>
      </w:r>
      <w:r w:rsidR="00B54FF8" w:rsidRPr="00B54FF8">
        <w:t>.</w:t>
      </w:r>
      <w:r w:rsidR="00BA332F">
        <w:t xml:space="preserve"> </w:t>
      </w:r>
    </w:p>
    <w:p w:rsidR="007420D8" w:rsidRDefault="007420D8" w:rsidP="007420D8">
      <w:pPr>
        <w:pStyle w:val="TAMainText"/>
      </w:pPr>
    </w:p>
    <w:p w:rsidR="00517A2A" w:rsidRDefault="00517A2A" w:rsidP="007420D8">
      <w:pPr>
        <w:pStyle w:val="TAMainText"/>
      </w:pPr>
    </w:p>
    <w:p w:rsidR="00517A2A" w:rsidRDefault="00517A2A" w:rsidP="007420D8">
      <w:pPr>
        <w:pStyle w:val="TAMainText"/>
      </w:pPr>
    </w:p>
    <w:p w:rsidR="007420D8" w:rsidRDefault="007420D8" w:rsidP="007420D8">
      <w:pPr>
        <w:pStyle w:val="VDTableTitle"/>
        <w:spacing w:line="276" w:lineRule="auto"/>
      </w:pPr>
      <w:r>
        <w:rPr>
          <w:rStyle w:val="Strong"/>
          <w:rFonts w:ascii="Arial" w:hAnsi="Arial" w:cs="Arial"/>
          <w:sz w:val="22"/>
          <w:szCs w:val="22"/>
        </w:rPr>
        <w:lastRenderedPageBreak/>
        <w:t>Table S5</w:t>
      </w:r>
      <w:r w:rsidRPr="002E5C06">
        <w:rPr>
          <w:rStyle w:val="Strong"/>
          <w:rFonts w:ascii="Arial" w:hAnsi="Arial" w:cs="Arial"/>
          <w:sz w:val="22"/>
          <w:szCs w:val="22"/>
        </w:rPr>
        <w:t>.</w:t>
      </w:r>
      <w:r w:rsidRPr="002E5C06">
        <w:t xml:space="preserve"> Mean concentrations of NO</w:t>
      </w:r>
      <w:r w:rsidRPr="002E5C06">
        <w:rPr>
          <w:rFonts w:ascii="Cambria Math" w:hAnsi="Cambria Math" w:cs="Cambria Math"/>
        </w:rPr>
        <w:t>₂</w:t>
      </w:r>
      <w:r w:rsidRPr="002E5C06">
        <w:t xml:space="preserve"> and NO (µg/m³) in dry and rainy seasons across different site</w:t>
      </w:r>
      <w:r>
        <w:t xml:space="preserve"> categories</w:t>
      </w:r>
      <w:r w:rsidRPr="002E5C06">
        <w:t>. Includes standard deviations, sample size, m</w:t>
      </w:r>
      <w:r w:rsidR="00B67E4C">
        <w:t>ean differences (Dry − Rainy), and p-values</w:t>
      </w:r>
      <w:r w:rsidRPr="002E5C06">
        <w:t xml:space="preserve"> for overall and category-specific comparisons.</w:t>
      </w:r>
    </w:p>
    <w:p w:rsidR="00B67E4C" w:rsidRDefault="00B67E4C" w:rsidP="00517A2A">
      <w:pPr>
        <w:tabs>
          <w:tab w:val="left" w:pos="8110"/>
        </w:tabs>
        <w:rPr>
          <w:rFonts w:ascii="Arial" w:hAnsi="Arial" w:cs="Arial"/>
          <w:sz w:val="22"/>
          <w:szCs w:val="22"/>
        </w:rPr>
      </w:pPr>
    </w:p>
    <w:tbl>
      <w:tblPr>
        <w:tblStyle w:val="TableGrid"/>
        <w:tblW w:w="10577" w:type="dxa"/>
        <w:tblLook w:val="04A0" w:firstRow="1" w:lastRow="0" w:firstColumn="1" w:lastColumn="0" w:noHBand="0" w:noVBand="1"/>
      </w:tblPr>
      <w:tblGrid>
        <w:gridCol w:w="1521"/>
        <w:gridCol w:w="1846"/>
        <w:gridCol w:w="1997"/>
        <w:gridCol w:w="886"/>
        <w:gridCol w:w="1086"/>
        <w:gridCol w:w="2316"/>
        <w:gridCol w:w="925"/>
      </w:tblGrid>
      <w:tr w:rsidR="00B67E4C" w:rsidRPr="00B67E4C" w:rsidTr="00BA38F3">
        <w:trPr>
          <w:trHeight w:val="637"/>
        </w:trPr>
        <w:tc>
          <w:tcPr>
            <w:tcW w:w="0" w:type="auto"/>
            <w:hideMark/>
          </w:tcPr>
          <w:p w:rsidR="00B67E4C" w:rsidRPr="00B67E4C" w:rsidRDefault="00B67E4C" w:rsidP="00B67E4C">
            <w:pPr>
              <w:spacing w:after="0"/>
              <w:jc w:val="center"/>
              <w:rPr>
                <w:rFonts w:ascii="Times New Roman" w:hAnsi="Times New Roman"/>
                <w:bCs/>
                <w:szCs w:val="24"/>
              </w:rPr>
            </w:pPr>
            <w:r w:rsidRPr="00B67E4C">
              <w:rPr>
                <w:rFonts w:ascii="Times New Roman" w:hAnsi="Times New Roman"/>
                <w:bCs/>
                <w:szCs w:val="24"/>
              </w:rPr>
              <w:t>Category</w:t>
            </w:r>
          </w:p>
        </w:tc>
        <w:tc>
          <w:tcPr>
            <w:tcW w:w="0" w:type="auto"/>
            <w:hideMark/>
          </w:tcPr>
          <w:p w:rsidR="00B67E4C" w:rsidRPr="00B67E4C" w:rsidRDefault="00B67E4C" w:rsidP="00B67E4C">
            <w:pPr>
              <w:spacing w:after="0"/>
              <w:jc w:val="center"/>
              <w:rPr>
                <w:rFonts w:ascii="Times New Roman" w:hAnsi="Times New Roman"/>
                <w:bCs/>
                <w:szCs w:val="24"/>
              </w:rPr>
            </w:pPr>
            <w:r w:rsidRPr="00B67E4C">
              <w:rPr>
                <w:rFonts w:ascii="Times New Roman" w:hAnsi="Times New Roman"/>
                <w:bCs/>
                <w:szCs w:val="24"/>
              </w:rPr>
              <w:t>Dry Season (µg/m³)</w:t>
            </w:r>
          </w:p>
        </w:tc>
        <w:tc>
          <w:tcPr>
            <w:tcW w:w="0" w:type="auto"/>
            <w:hideMark/>
          </w:tcPr>
          <w:p w:rsidR="00B67E4C" w:rsidRPr="00B67E4C" w:rsidRDefault="00B67E4C" w:rsidP="00B67E4C">
            <w:pPr>
              <w:spacing w:after="0"/>
              <w:jc w:val="center"/>
              <w:rPr>
                <w:rFonts w:ascii="Times New Roman" w:hAnsi="Times New Roman"/>
                <w:bCs/>
                <w:szCs w:val="24"/>
              </w:rPr>
            </w:pPr>
            <w:r w:rsidRPr="00B67E4C">
              <w:rPr>
                <w:rFonts w:ascii="Times New Roman" w:hAnsi="Times New Roman"/>
                <w:bCs/>
                <w:szCs w:val="24"/>
              </w:rPr>
              <w:t>Rainy Season (µg/m³)</w:t>
            </w:r>
          </w:p>
        </w:tc>
        <w:tc>
          <w:tcPr>
            <w:tcW w:w="0" w:type="auto"/>
            <w:hideMark/>
          </w:tcPr>
          <w:p w:rsidR="00B67E4C" w:rsidRPr="00B67E4C" w:rsidRDefault="00B67E4C" w:rsidP="00B67E4C">
            <w:pPr>
              <w:spacing w:after="0"/>
              <w:jc w:val="center"/>
              <w:rPr>
                <w:rFonts w:ascii="Times New Roman" w:hAnsi="Times New Roman"/>
                <w:bCs/>
                <w:szCs w:val="24"/>
              </w:rPr>
            </w:pPr>
            <w:r w:rsidRPr="00B67E4C">
              <w:rPr>
                <w:rFonts w:ascii="Times New Roman" w:hAnsi="Times New Roman"/>
                <w:bCs/>
                <w:szCs w:val="24"/>
              </w:rPr>
              <w:t>n (Dry)</w:t>
            </w:r>
          </w:p>
        </w:tc>
        <w:tc>
          <w:tcPr>
            <w:tcW w:w="0" w:type="auto"/>
            <w:hideMark/>
          </w:tcPr>
          <w:p w:rsidR="00B67E4C" w:rsidRPr="00B67E4C" w:rsidRDefault="00B67E4C" w:rsidP="00B67E4C">
            <w:pPr>
              <w:spacing w:after="0"/>
              <w:jc w:val="center"/>
              <w:rPr>
                <w:rFonts w:ascii="Times New Roman" w:hAnsi="Times New Roman"/>
                <w:bCs/>
                <w:szCs w:val="24"/>
              </w:rPr>
            </w:pPr>
            <w:r w:rsidRPr="00B67E4C">
              <w:rPr>
                <w:rFonts w:ascii="Times New Roman" w:hAnsi="Times New Roman"/>
                <w:bCs/>
                <w:szCs w:val="24"/>
              </w:rPr>
              <w:t>n (Rainy)</w:t>
            </w:r>
          </w:p>
        </w:tc>
        <w:tc>
          <w:tcPr>
            <w:tcW w:w="0" w:type="auto"/>
            <w:hideMark/>
          </w:tcPr>
          <w:p w:rsidR="00B67E4C" w:rsidRPr="00B67E4C" w:rsidRDefault="00B67E4C" w:rsidP="00B67E4C">
            <w:pPr>
              <w:spacing w:after="0"/>
              <w:jc w:val="center"/>
              <w:rPr>
                <w:rFonts w:ascii="Times New Roman" w:hAnsi="Times New Roman"/>
                <w:bCs/>
                <w:szCs w:val="24"/>
              </w:rPr>
            </w:pPr>
            <w:r w:rsidRPr="00B67E4C">
              <w:rPr>
                <w:rFonts w:ascii="Times New Roman" w:hAnsi="Times New Roman"/>
                <w:bCs/>
                <w:szCs w:val="24"/>
              </w:rPr>
              <w:t>Difference (Dry − Rainy)</w:t>
            </w:r>
          </w:p>
        </w:tc>
        <w:tc>
          <w:tcPr>
            <w:tcW w:w="0" w:type="auto"/>
            <w:hideMark/>
          </w:tcPr>
          <w:p w:rsidR="00B67E4C" w:rsidRPr="00B67E4C" w:rsidRDefault="00B67E4C" w:rsidP="00B67E4C">
            <w:pPr>
              <w:spacing w:after="0"/>
              <w:jc w:val="center"/>
              <w:rPr>
                <w:rFonts w:ascii="Times New Roman" w:hAnsi="Times New Roman"/>
                <w:bCs/>
                <w:szCs w:val="24"/>
              </w:rPr>
            </w:pPr>
            <w:r w:rsidRPr="00B67E4C">
              <w:rPr>
                <w:rFonts w:ascii="Times New Roman" w:hAnsi="Times New Roman"/>
                <w:bCs/>
                <w:szCs w:val="24"/>
              </w:rPr>
              <w:t>p-value</w:t>
            </w:r>
          </w:p>
        </w:tc>
      </w:tr>
      <w:tr w:rsidR="00B67E4C" w:rsidRPr="00B67E4C" w:rsidTr="00BA38F3">
        <w:trPr>
          <w:trHeight w:val="637"/>
        </w:trPr>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bCs/>
                <w:szCs w:val="24"/>
              </w:rPr>
              <w:t>NO₂ (Overall)</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15.40 (13.10)</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12.90 (10.80)</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237</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227</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2.50</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0.03</w:t>
            </w:r>
          </w:p>
        </w:tc>
      </w:tr>
      <w:tr w:rsidR="00B67E4C" w:rsidRPr="00B67E4C" w:rsidTr="00BA38F3">
        <w:trPr>
          <w:trHeight w:val="313"/>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BKG</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4.31 (2.25)</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4.21 (2.40)</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67</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66</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0.10</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0.80</w:t>
            </w:r>
          </w:p>
        </w:tc>
      </w:tr>
      <w:tr w:rsidR="00B67E4C" w:rsidRPr="00B67E4C" w:rsidTr="00BA38F3">
        <w:trPr>
          <w:trHeight w:val="324"/>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CBI</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28.40 (14.30)</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24.90 (11.90)</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74</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66</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3.47</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0.12</w:t>
            </w:r>
          </w:p>
        </w:tc>
      </w:tr>
      <w:tr w:rsidR="00B67E4C" w:rsidRPr="00B67E4C" w:rsidTr="00BA38F3">
        <w:trPr>
          <w:trHeight w:val="324"/>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HDR</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23.30 (4.83)</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18.00 (2.77)</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22</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22</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5.37</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&lt;0.001</w:t>
            </w:r>
          </w:p>
        </w:tc>
      </w:tr>
      <w:tr w:rsidR="00B67E4C" w:rsidRPr="00B67E4C" w:rsidTr="00BA38F3">
        <w:trPr>
          <w:trHeight w:val="313"/>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LDR</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10.20 (2.80)</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8.45 (1.97)</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74</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73</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1.74</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&lt;0.001</w:t>
            </w:r>
          </w:p>
        </w:tc>
      </w:tr>
      <w:tr w:rsidR="00B67E4C" w:rsidRPr="00B67E4C" w:rsidTr="00BA38F3">
        <w:trPr>
          <w:trHeight w:val="324"/>
        </w:trPr>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bCs/>
                <w:szCs w:val="24"/>
              </w:rPr>
              <w:t>NO (Overall)</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5.18 (7.08)</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8.22 (11.20)</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237</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227</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−3.04</w:t>
            </w:r>
          </w:p>
        </w:tc>
        <w:tc>
          <w:tcPr>
            <w:tcW w:w="0" w:type="auto"/>
            <w:hideMark/>
          </w:tcPr>
          <w:p w:rsidR="00B67E4C" w:rsidRPr="00B67E4C" w:rsidRDefault="00B67E4C" w:rsidP="00B67E4C">
            <w:pPr>
              <w:spacing w:after="0"/>
              <w:jc w:val="left"/>
              <w:rPr>
                <w:rFonts w:ascii="Times New Roman" w:hAnsi="Times New Roman"/>
                <w:b/>
                <w:szCs w:val="24"/>
              </w:rPr>
            </w:pPr>
            <w:r w:rsidRPr="00B67E4C">
              <w:rPr>
                <w:rFonts w:ascii="Times New Roman" w:hAnsi="Times New Roman"/>
                <w:b/>
                <w:szCs w:val="24"/>
              </w:rPr>
              <w:t>&lt;0.001</w:t>
            </w:r>
          </w:p>
        </w:tc>
      </w:tr>
      <w:tr w:rsidR="00B67E4C" w:rsidRPr="00B67E4C" w:rsidTr="00BA38F3">
        <w:trPr>
          <w:trHeight w:val="313"/>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BKG</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0.90 (0.58)</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1.81 (1.29)</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67</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66</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−0.91</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&lt;0.001</w:t>
            </w:r>
          </w:p>
        </w:tc>
      </w:tr>
      <w:tr w:rsidR="00B67E4C" w:rsidRPr="00B67E4C" w:rsidTr="00BA38F3">
        <w:trPr>
          <w:trHeight w:val="324"/>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CBI</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12.20 (9.02)</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20.90 (13.90)</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74</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66</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−8.76</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&lt;0.001</w:t>
            </w:r>
          </w:p>
        </w:tc>
      </w:tr>
      <w:tr w:rsidR="00B67E4C" w:rsidRPr="00B67E4C" w:rsidTr="00BA38F3">
        <w:trPr>
          <w:trHeight w:val="324"/>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HDR</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6.07 (2.14)</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7.15 (1.53)</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22</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22</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−1.08</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0.06</w:t>
            </w:r>
          </w:p>
        </w:tc>
      </w:tr>
      <w:tr w:rsidR="00B67E4C" w:rsidRPr="00B67E4C" w:rsidTr="00BA38F3">
        <w:trPr>
          <w:trHeight w:val="313"/>
        </w:trPr>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LDR</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1.79 (1.02)</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2.85 (1.73)</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74</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73</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−1.06</w:t>
            </w:r>
          </w:p>
        </w:tc>
        <w:tc>
          <w:tcPr>
            <w:tcW w:w="0" w:type="auto"/>
            <w:hideMark/>
          </w:tcPr>
          <w:p w:rsidR="00B67E4C" w:rsidRPr="00B67E4C" w:rsidRDefault="00B67E4C" w:rsidP="00B67E4C">
            <w:pPr>
              <w:spacing w:after="0"/>
              <w:jc w:val="left"/>
              <w:rPr>
                <w:rFonts w:ascii="Times New Roman" w:hAnsi="Times New Roman"/>
                <w:szCs w:val="24"/>
              </w:rPr>
            </w:pPr>
            <w:r w:rsidRPr="00B67E4C">
              <w:rPr>
                <w:rFonts w:ascii="Times New Roman" w:hAnsi="Times New Roman"/>
                <w:szCs w:val="24"/>
              </w:rPr>
              <w:t>&lt;0.001</w:t>
            </w:r>
          </w:p>
        </w:tc>
      </w:tr>
    </w:tbl>
    <w:p w:rsidR="00B67E4C" w:rsidRPr="00B67E4C" w:rsidRDefault="00B67E4C" w:rsidP="00331EDA">
      <w:pPr>
        <w:tabs>
          <w:tab w:val="left" w:pos="8110"/>
        </w:tabs>
        <w:rPr>
          <w:rFonts w:ascii="Arial" w:hAnsi="Arial" w:cs="Arial"/>
          <w:sz w:val="22"/>
          <w:szCs w:val="22"/>
        </w:rPr>
      </w:pPr>
    </w:p>
    <w:p w:rsidR="001E2CFA" w:rsidRDefault="001E2CFA" w:rsidP="00331EDA">
      <w:pPr>
        <w:tabs>
          <w:tab w:val="left" w:pos="8110"/>
        </w:tabs>
        <w:rPr>
          <w:rStyle w:val="Strong"/>
        </w:rPr>
      </w:pPr>
      <w:r>
        <w:rPr>
          <w:b/>
          <w:bCs/>
          <w:noProof/>
        </w:rPr>
        <w:lastRenderedPageBreak/>
        <w:drawing>
          <wp:inline distT="0" distB="0" distL="0" distR="0">
            <wp:extent cx="6440170" cy="48304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son_plo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0170" cy="4830445"/>
                    </a:xfrm>
                    <a:prstGeom prst="rect">
                      <a:avLst/>
                    </a:prstGeom>
                  </pic:spPr>
                </pic:pic>
              </a:graphicData>
            </a:graphic>
          </wp:inline>
        </w:drawing>
      </w:r>
    </w:p>
    <w:p w:rsidR="00BC707E" w:rsidRDefault="00BC707E" w:rsidP="00331EDA">
      <w:pPr>
        <w:tabs>
          <w:tab w:val="left" w:pos="8110"/>
        </w:tabs>
        <w:rPr>
          <w:rStyle w:val="Strong"/>
          <w:rFonts w:ascii="Arial" w:hAnsi="Arial" w:cs="Arial"/>
          <w:sz w:val="18"/>
          <w:szCs w:val="18"/>
        </w:rPr>
        <w:sectPr w:rsidR="00BC707E" w:rsidSect="00331EDA">
          <w:pgSz w:w="12240" w:h="15840" w:code="1"/>
          <w:pgMar w:top="1021" w:right="1077" w:bottom="1021" w:left="1021" w:header="720" w:footer="720" w:gutter="0"/>
          <w:cols w:space="708"/>
          <w:docGrid w:linePitch="299"/>
        </w:sectPr>
      </w:pPr>
    </w:p>
    <w:p w:rsidR="001E2CFA" w:rsidRPr="008862CD" w:rsidRDefault="00BC707E" w:rsidP="00894829">
      <w:pPr>
        <w:pStyle w:val="FETableFootnote"/>
        <w:rPr>
          <w:rStyle w:val="Strong"/>
          <w:b w:val="0"/>
          <w:bCs w:val="0"/>
          <w:i/>
          <w:szCs w:val="24"/>
        </w:rPr>
      </w:pPr>
      <w:r w:rsidRPr="008862CD">
        <w:rPr>
          <w:rStyle w:val="Strong"/>
          <w:b w:val="0"/>
          <w:bCs w:val="0"/>
          <w:i/>
          <w:szCs w:val="24"/>
        </w:rPr>
        <w:t xml:space="preserve">NBG: </w:t>
      </w:r>
      <w:proofErr w:type="spellStart"/>
      <w:r w:rsidRPr="008862CD">
        <w:rPr>
          <w:rStyle w:val="Strong"/>
          <w:b w:val="0"/>
          <w:bCs w:val="0"/>
          <w:i/>
          <w:szCs w:val="24"/>
        </w:rPr>
        <w:t>Nyabugogo</w:t>
      </w:r>
      <w:proofErr w:type="spellEnd"/>
    </w:p>
    <w:p w:rsidR="00BC707E" w:rsidRPr="008862CD" w:rsidRDefault="00FB107A" w:rsidP="00894829">
      <w:pPr>
        <w:pStyle w:val="FETableFootnote"/>
        <w:rPr>
          <w:rStyle w:val="Strong"/>
          <w:b w:val="0"/>
          <w:bCs w:val="0"/>
          <w:i/>
          <w:szCs w:val="24"/>
        </w:rPr>
      </w:pPr>
      <w:r w:rsidRPr="008862CD">
        <w:rPr>
          <w:rStyle w:val="Strong"/>
          <w:b w:val="0"/>
          <w:bCs w:val="0"/>
          <w:i/>
          <w:szCs w:val="24"/>
        </w:rPr>
        <w:t>AIMS: African Institute for</w:t>
      </w:r>
      <w:r w:rsidR="00BC707E" w:rsidRPr="008862CD">
        <w:rPr>
          <w:rStyle w:val="Strong"/>
          <w:b w:val="0"/>
          <w:bCs w:val="0"/>
          <w:i/>
          <w:szCs w:val="24"/>
        </w:rPr>
        <w:t xml:space="preserve"> Mathematical Science (former location)</w:t>
      </w:r>
    </w:p>
    <w:p w:rsidR="00BC707E" w:rsidRPr="008862CD" w:rsidRDefault="00BC707E" w:rsidP="00894829">
      <w:pPr>
        <w:pStyle w:val="FETableFootnote"/>
        <w:rPr>
          <w:rStyle w:val="Strong"/>
          <w:b w:val="0"/>
          <w:bCs w:val="0"/>
          <w:i/>
          <w:szCs w:val="24"/>
        </w:rPr>
      </w:pPr>
      <w:r w:rsidRPr="008862CD">
        <w:rPr>
          <w:rStyle w:val="Strong"/>
          <w:b w:val="0"/>
          <w:bCs w:val="0"/>
          <w:i/>
          <w:szCs w:val="24"/>
        </w:rPr>
        <w:t xml:space="preserve">KMHZ: </w:t>
      </w:r>
      <w:proofErr w:type="spellStart"/>
      <w:r w:rsidRPr="008862CD">
        <w:rPr>
          <w:rStyle w:val="Strong"/>
          <w:b w:val="0"/>
          <w:bCs w:val="0"/>
          <w:i/>
          <w:szCs w:val="24"/>
        </w:rPr>
        <w:t>Kamuhoza</w:t>
      </w:r>
      <w:proofErr w:type="spellEnd"/>
    </w:p>
    <w:p w:rsidR="00BC707E" w:rsidRPr="008862CD" w:rsidRDefault="00BC707E" w:rsidP="00894829">
      <w:pPr>
        <w:pStyle w:val="FETableFootnote"/>
        <w:rPr>
          <w:rStyle w:val="Strong"/>
          <w:b w:val="0"/>
          <w:bCs w:val="0"/>
          <w:i/>
          <w:szCs w:val="24"/>
        </w:rPr>
      </w:pPr>
      <w:r w:rsidRPr="008862CD">
        <w:rPr>
          <w:rStyle w:val="Strong"/>
          <w:b w:val="0"/>
          <w:bCs w:val="0"/>
          <w:i/>
          <w:szCs w:val="24"/>
        </w:rPr>
        <w:t xml:space="preserve">MSK: </w:t>
      </w:r>
      <w:proofErr w:type="spellStart"/>
      <w:r w:rsidRPr="008862CD">
        <w:rPr>
          <w:rStyle w:val="Strong"/>
          <w:b w:val="0"/>
          <w:bCs w:val="0"/>
          <w:i/>
          <w:szCs w:val="24"/>
        </w:rPr>
        <w:t>Masaka</w:t>
      </w:r>
      <w:proofErr w:type="spellEnd"/>
    </w:p>
    <w:p w:rsidR="00BC707E" w:rsidRPr="008862CD" w:rsidRDefault="00BC707E" w:rsidP="00894829">
      <w:pPr>
        <w:pStyle w:val="FETableFootnote"/>
        <w:rPr>
          <w:rStyle w:val="Strong"/>
          <w:b w:val="0"/>
          <w:bCs w:val="0"/>
          <w:i/>
          <w:szCs w:val="24"/>
        </w:rPr>
      </w:pPr>
      <w:r w:rsidRPr="008862CD">
        <w:rPr>
          <w:rStyle w:val="Strong"/>
          <w:b w:val="0"/>
          <w:bCs w:val="0"/>
          <w:i/>
          <w:szCs w:val="24"/>
        </w:rPr>
        <w:t xml:space="preserve">KRM: </w:t>
      </w:r>
      <w:proofErr w:type="spellStart"/>
      <w:r w:rsidRPr="008862CD">
        <w:rPr>
          <w:rStyle w:val="Strong"/>
          <w:b w:val="0"/>
          <w:bCs w:val="0"/>
          <w:i/>
          <w:szCs w:val="24"/>
        </w:rPr>
        <w:t>Karama</w:t>
      </w:r>
      <w:proofErr w:type="spellEnd"/>
    </w:p>
    <w:p w:rsidR="00BC707E" w:rsidRPr="008862CD" w:rsidRDefault="00BC707E" w:rsidP="00894829">
      <w:pPr>
        <w:pStyle w:val="FETableFootnote"/>
        <w:rPr>
          <w:rStyle w:val="Strong"/>
          <w:b w:val="0"/>
          <w:bCs w:val="0"/>
          <w:i/>
          <w:szCs w:val="24"/>
        </w:rPr>
      </w:pPr>
      <w:r w:rsidRPr="008862CD">
        <w:rPr>
          <w:rStyle w:val="Strong"/>
          <w:b w:val="0"/>
          <w:bCs w:val="0"/>
          <w:i/>
          <w:szCs w:val="24"/>
        </w:rPr>
        <w:t xml:space="preserve">CMU: </w:t>
      </w:r>
      <w:proofErr w:type="spellStart"/>
      <w:r w:rsidRPr="008862CD">
        <w:rPr>
          <w:rStyle w:val="Strong"/>
          <w:b w:val="0"/>
          <w:bCs w:val="0"/>
          <w:i/>
          <w:szCs w:val="24"/>
        </w:rPr>
        <w:t>Carnegy</w:t>
      </w:r>
      <w:proofErr w:type="spellEnd"/>
      <w:r w:rsidRPr="008862CD">
        <w:rPr>
          <w:rStyle w:val="Strong"/>
          <w:b w:val="0"/>
          <w:bCs w:val="0"/>
          <w:i/>
          <w:szCs w:val="24"/>
        </w:rPr>
        <w:t xml:space="preserve"> Melon University</w:t>
      </w:r>
    </w:p>
    <w:p w:rsidR="00BC707E" w:rsidRPr="008862CD" w:rsidRDefault="00BC707E" w:rsidP="00894829">
      <w:pPr>
        <w:pStyle w:val="FETableFootnote"/>
        <w:rPr>
          <w:rStyle w:val="Strong"/>
          <w:b w:val="0"/>
          <w:bCs w:val="0"/>
          <w:i/>
          <w:szCs w:val="24"/>
        </w:rPr>
      </w:pPr>
      <w:r w:rsidRPr="008862CD">
        <w:rPr>
          <w:rStyle w:val="Strong"/>
          <w:b w:val="0"/>
          <w:bCs w:val="0"/>
          <w:i/>
          <w:szCs w:val="24"/>
        </w:rPr>
        <w:t xml:space="preserve">RSH: </w:t>
      </w:r>
      <w:proofErr w:type="spellStart"/>
      <w:r w:rsidRPr="008862CD">
        <w:rPr>
          <w:rStyle w:val="Strong"/>
          <w:b w:val="0"/>
          <w:bCs w:val="0"/>
          <w:i/>
          <w:szCs w:val="24"/>
        </w:rPr>
        <w:t>Rusheshe</w:t>
      </w:r>
      <w:proofErr w:type="spellEnd"/>
    </w:p>
    <w:p w:rsidR="00BC707E" w:rsidRPr="008862CD" w:rsidRDefault="00BC707E" w:rsidP="00894829">
      <w:pPr>
        <w:pStyle w:val="FETableFootnote"/>
        <w:rPr>
          <w:rStyle w:val="Strong"/>
          <w:b w:val="0"/>
          <w:bCs w:val="0"/>
          <w:i/>
          <w:szCs w:val="24"/>
        </w:rPr>
      </w:pPr>
      <w:r w:rsidRPr="008862CD">
        <w:rPr>
          <w:rStyle w:val="Strong"/>
          <w:b w:val="0"/>
          <w:bCs w:val="0"/>
          <w:i/>
          <w:szCs w:val="24"/>
        </w:rPr>
        <w:t xml:space="preserve">NDB: </w:t>
      </w:r>
      <w:proofErr w:type="spellStart"/>
      <w:r w:rsidRPr="008862CD">
        <w:rPr>
          <w:rStyle w:val="Strong"/>
          <w:b w:val="0"/>
          <w:bCs w:val="0"/>
          <w:i/>
          <w:szCs w:val="24"/>
        </w:rPr>
        <w:t>Nduba</w:t>
      </w:r>
      <w:proofErr w:type="spellEnd"/>
    </w:p>
    <w:p w:rsidR="00BC707E" w:rsidRPr="008862CD" w:rsidRDefault="00BC707E" w:rsidP="00894829">
      <w:pPr>
        <w:pStyle w:val="FETableFootnote"/>
        <w:rPr>
          <w:rStyle w:val="Strong"/>
          <w:b w:val="0"/>
          <w:bCs w:val="0"/>
          <w:i/>
          <w:szCs w:val="24"/>
        </w:rPr>
      </w:pPr>
      <w:r w:rsidRPr="008862CD">
        <w:rPr>
          <w:rStyle w:val="Strong"/>
          <w:b w:val="0"/>
          <w:bCs w:val="0"/>
          <w:i/>
          <w:szCs w:val="24"/>
        </w:rPr>
        <w:t xml:space="preserve">JL: </w:t>
      </w:r>
      <w:proofErr w:type="spellStart"/>
      <w:r w:rsidRPr="008862CD">
        <w:rPr>
          <w:rStyle w:val="Strong"/>
          <w:b w:val="0"/>
          <w:bCs w:val="0"/>
          <w:i/>
          <w:szCs w:val="24"/>
        </w:rPr>
        <w:t>Jali</w:t>
      </w:r>
      <w:proofErr w:type="spellEnd"/>
    </w:p>
    <w:p w:rsidR="00BC707E" w:rsidRDefault="00BC707E" w:rsidP="00331EDA">
      <w:pPr>
        <w:tabs>
          <w:tab w:val="left" w:pos="8110"/>
        </w:tabs>
        <w:rPr>
          <w:rStyle w:val="Strong"/>
        </w:rPr>
        <w:sectPr w:rsidR="00BC707E" w:rsidSect="00BC707E">
          <w:type w:val="continuous"/>
          <w:pgSz w:w="12240" w:h="15840" w:code="1"/>
          <w:pgMar w:top="1021" w:right="1077" w:bottom="1021" w:left="1021" w:header="720" w:footer="720" w:gutter="0"/>
          <w:cols w:num="2" w:space="708"/>
          <w:docGrid w:linePitch="299"/>
        </w:sectPr>
      </w:pPr>
    </w:p>
    <w:p w:rsidR="00853A30" w:rsidRDefault="006B5F8C" w:rsidP="00894829">
      <w:pPr>
        <w:pStyle w:val="VAFigureCaption"/>
        <w:spacing w:line="276" w:lineRule="auto"/>
      </w:pPr>
      <w:r>
        <w:rPr>
          <w:rStyle w:val="Strong"/>
        </w:rPr>
        <w:t>Figure S3</w:t>
      </w:r>
      <w:r w:rsidR="007B601E">
        <w:rPr>
          <w:rStyle w:val="Strong"/>
        </w:rPr>
        <w:t>.</w:t>
      </w:r>
      <w:r w:rsidR="007B601E">
        <w:t xml:space="preserve"> Annual, dry season, and rainy season m</w:t>
      </w:r>
      <w:r w:rsidR="00AC337C">
        <w:t>ean NO</w:t>
      </w:r>
      <w:r w:rsidR="00AC337C" w:rsidRPr="000B3126">
        <w:rPr>
          <w:vertAlign w:val="subscript"/>
        </w:rPr>
        <w:t>2</w:t>
      </w:r>
      <w:r w:rsidR="00AC337C">
        <w:t xml:space="preserve"> (A) and NO (B)</w:t>
      </w:r>
      <w:r w:rsidR="001E2CFA">
        <w:t xml:space="preserve"> </w:t>
      </w:r>
      <w:r w:rsidR="007B601E">
        <w:t>at all fixed sites across the four land-use categories.</w:t>
      </w:r>
    </w:p>
    <w:p w:rsidR="00AC337C" w:rsidRDefault="00AC337C" w:rsidP="00331EDA">
      <w:pPr>
        <w:tabs>
          <w:tab w:val="left" w:pos="8110"/>
        </w:tabs>
      </w:pPr>
    </w:p>
    <w:p w:rsidR="00AC337C" w:rsidRDefault="00AC337C" w:rsidP="00331EDA">
      <w:pPr>
        <w:tabs>
          <w:tab w:val="left" w:pos="8110"/>
        </w:tabs>
      </w:pPr>
    </w:p>
    <w:p w:rsidR="00AC337C" w:rsidRDefault="009F0044" w:rsidP="00331EDA">
      <w:pPr>
        <w:tabs>
          <w:tab w:val="left" w:pos="8110"/>
        </w:tabs>
        <w:rPr>
          <w:rFonts w:ascii="Arial" w:hAnsi="Arial" w:cs="Arial"/>
          <w:sz w:val="22"/>
          <w:szCs w:val="22"/>
        </w:rPr>
      </w:pPr>
      <w:r>
        <w:rPr>
          <w:rFonts w:ascii="Arial" w:hAnsi="Arial" w:cs="Arial"/>
          <w:noProof/>
          <w:sz w:val="22"/>
          <w:szCs w:val="22"/>
        </w:rPr>
        <w:lastRenderedPageBreak/>
        <w:drawing>
          <wp:inline distT="0" distB="0" distL="0" distR="0">
            <wp:extent cx="6440170" cy="53670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2no_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0170" cy="5367020"/>
                    </a:xfrm>
                    <a:prstGeom prst="rect">
                      <a:avLst/>
                    </a:prstGeom>
                  </pic:spPr>
                </pic:pic>
              </a:graphicData>
            </a:graphic>
          </wp:inline>
        </w:drawing>
      </w:r>
    </w:p>
    <w:p w:rsidR="00853A30" w:rsidRDefault="006B5F8C" w:rsidP="00894829">
      <w:pPr>
        <w:pStyle w:val="VAFigureCaption"/>
        <w:spacing w:line="276" w:lineRule="auto"/>
        <w:rPr>
          <w:rFonts w:ascii="Arial" w:hAnsi="Arial" w:cs="Arial"/>
          <w:sz w:val="22"/>
          <w:szCs w:val="22"/>
        </w:rPr>
      </w:pPr>
      <w:r>
        <w:rPr>
          <w:rStyle w:val="Strong"/>
        </w:rPr>
        <w:t>Figure S4</w:t>
      </w:r>
      <w:r w:rsidR="00AC337C">
        <w:rPr>
          <w:rStyle w:val="Strong"/>
        </w:rPr>
        <w:t>.</w:t>
      </w:r>
      <w:r w:rsidR="00574FEF">
        <w:t xml:space="preserve"> Monthly mean </w:t>
      </w:r>
      <w:proofErr w:type="gramStart"/>
      <w:r w:rsidR="00574FEF">
        <w:t>NO₂(</w:t>
      </w:r>
      <w:proofErr w:type="gramEnd"/>
      <w:r w:rsidR="00574FEF">
        <w:t>A) and NO</w:t>
      </w:r>
      <w:r w:rsidR="00AC337C">
        <w:t>(B) concentrations at fixed sites acro</w:t>
      </w:r>
      <w:r w:rsidR="009F0044">
        <w:t>ss the four land-use categories and the WHO annual guideline for NO</w:t>
      </w:r>
      <w:r w:rsidR="009F0044" w:rsidRPr="009F0044">
        <w:rPr>
          <w:vertAlign w:val="subscript"/>
        </w:rPr>
        <w:t>2</w:t>
      </w:r>
      <w:r w:rsidR="009F0044">
        <w:rPr>
          <w:rFonts w:ascii="Arial" w:hAnsi="Arial" w:cs="Arial"/>
          <w:sz w:val="22"/>
          <w:szCs w:val="22"/>
        </w:rPr>
        <w:t>.</w:t>
      </w:r>
    </w:p>
    <w:p w:rsidR="00853A30" w:rsidRDefault="00853A30" w:rsidP="00517A2A">
      <w:pPr>
        <w:tabs>
          <w:tab w:val="left" w:pos="8110"/>
        </w:tabs>
        <w:rPr>
          <w:rFonts w:ascii="Arial" w:hAnsi="Arial" w:cs="Arial"/>
          <w:sz w:val="22"/>
          <w:szCs w:val="22"/>
        </w:rPr>
      </w:pPr>
    </w:p>
    <w:p w:rsidR="00517A2A" w:rsidRDefault="00517A2A" w:rsidP="00517A2A">
      <w:pPr>
        <w:tabs>
          <w:tab w:val="left" w:pos="8110"/>
        </w:tabs>
        <w:rPr>
          <w:rFonts w:ascii="Arial" w:hAnsi="Arial" w:cs="Arial"/>
          <w:sz w:val="22"/>
          <w:szCs w:val="22"/>
        </w:rPr>
      </w:pPr>
    </w:p>
    <w:p w:rsidR="00517A2A" w:rsidRDefault="00517A2A" w:rsidP="00517A2A">
      <w:pPr>
        <w:tabs>
          <w:tab w:val="left" w:pos="8110"/>
        </w:tabs>
        <w:rPr>
          <w:rFonts w:ascii="Arial" w:hAnsi="Arial" w:cs="Arial"/>
          <w:sz w:val="22"/>
          <w:szCs w:val="22"/>
        </w:rPr>
      </w:pPr>
    </w:p>
    <w:p w:rsidR="00517A2A" w:rsidRDefault="00517A2A" w:rsidP="00517A2A">
      <w:pPr>
        <w:tabs>
          <w:tab w:val="left" w:pos="8110"/>
        </w:tabs>
        <w:rPr>
          <w:rFonts w:ascii="Arial" w:hAnsi="Arial" w:cs="Arial"/>
          <w:sz w:val="22"/>
          <w:szCs w:val="22"/>
        </w:rPr>
      </w:pPr>
    </w:p>
    <w:p w:rsidR="00517A2A" w:rsidRDefault="00517A2A" w:rsidP="00517A2A">
      <w:pPr>
        <w:tabs>
          <w:tab w:val="left" w:pos="8110"/>
        </w:tabs>
        <w:rPr>
          <w:rFonts w:ascii="Arial" w:hAnsi="Arial" w:cs="Arial"/>
          <w:sz w:val="22"/>
          <w:szCs w:val="22"/>
        </w:rPr>
      </w:pPr>
    </w:p>
    <w:p w:rsidR="00517A2A" w:rsidRDefault="00517A2A" w:rsidP="00517A2A">
      <w:pPr>
        <w:tabs>
          <w:tab w:val="left" w:pos="8110"/>
        </w:tabs>
        <w:rPr>
          <w:rFonts w:ascii="Arial" w:hAnsi="Arial" w:cs="Arial"/>
          <w:sz w:val="22"/>
          <w:szCs w:val="22"/>
        </w:rPr>
      </w:pPr>
    </w:p>
    <w:p w:rsidR="00517A2A" w:rsidRDefault="00517A2A" w:rsidP="00517A2A">
      <w:pPr>
        <w:tabs>
          <w:tab w:val="left" w:pos="8110"/>
        </w:tabs>
        <w:rPr>
          <w:rFonts w:ascii="Arial" w:hAnsi="Arial" w:cs="Arial"/>
          <w:sz w:val="22"/>
          <w:szCs w:val="22"/>
        </w:rPr>
      </w:pPr>
    </w:p>
    <w:p w:rsidR="00517A2A" w:rsidRDefault="00517A2A" w:rsidP="00517A2A">
      <w:pPr>
        <w:tabs>
          <w:tab w:val="left" w:pos="8110"/>
        </w:tabs>
        <w:rPr>
          <w:rFonts w:ascii="Arial" w:hAnsi="Arial" w:cs="Arial"/>
          <w:sz w:val="22"/>
          <w:szCs w:val="22"/>
        </w:rPr>
      </w:pPr>
    </w:p>
    <w:p w:rsidR="000F4384" w:rsidRPr="002E5C06" w:rsidRDefault="00853A30" w:rsidP="00EA4B28">
      <w:pPr>
        <w:pStyle w:val="TAMainText"/>
      </w:pPr>
      <w:r w:rsidRPr="00853A30">
        <w:lastRenderedPageBreak/>
        <w:t>The NO/NOₓ ratio varied over time, with higher values during the rainy season and lowe</w:t>
      </w:r>
      <w:r w:rsidR="003624FB">
        <w:t>r values during the dry season.</w:t>
      </w:r>
      <w:r w:rsidR="004E7B06">
        <w:t xml:space="preserve"> </w:t>
      </w:r>
      <w:r w:rsidRPr="00853A30">
        <w:t xml:space="preserve">The highest NO/NOₓ ratios were consistently observed in </w:t>
      </w:r>
      <w:r w:rsidR="003624FB">
        <w:t xml:space="preserve">CBI </w:t>
      </w:r>
      <w:r w:rsidRPr="00853A30">
        <w:t>areas, while</w:t>
      </w:r>
      <w:r w:rsidR="001E2CFA">
        <w:t xml:space="preserve"> the lowest values</w:t>
      </w:r>
      <w:r>
        <w:t xml:space="preserve"> </w:t>
      </w:r>
      <w:r w:rsidRPr="00853A30">
        <w:t xml:space="preserve">were found in </w:t>
      </w:r>
      <w:r w:rsidR="003624FB">
        <w:t xml:space="preserve">LDR </w:t>
      </w:r>
      <w:r w:rsidRPr="00853A30">
        <w:t>areas</w:t>
      </w:r>
      <w:r w:rsidR="00F26E77">
        <w:t xml:space="preserve"> (Figure S4)</w:t>
      </w:r>
    </w:p>
    <w:p w:rsidR="00753F9B" w:rsidRPr="002E5C06" w:rsidRDefault="00753F9B" w:rsidP="00331EDA">
      <w:pPr>
        <w:tabs>
          <w:tab w:val="left" w:pos="8110"/>
        </w:tabs>
        <w:rPr>
          <w:rFonts w:ascii="Arial" w:hAnsi="Arial" w:cs="Arial"/>
          <w:sz w:val="22"/>
          <w:szCs w:val="22"/>
        </w:rPr>
      </w:pPr>
    </w:p>
    <w:p w:rsidR="00853A30" w:rsidRDefault="00853A30" w:rsidP="0034131A">
      <w:pPr>
        <w:rPr>
          <w:rFonts w:ascii="Arial" w:hAnsi="Arial" w:cs="Arial"/>
          <w:sz w:val="22"/>
          <w:szCs w:val="22"/>
        </w:rPr>
      </w:pPr>
      <w:r>
        <w:rPr>
          <w:rFonts w:ascii="Arial" w:hAnsi="Arial" w:cs="Arial"/>
          <w:noProof/>
          <w:sz w:val="22"/>
          <w:szCs w:val="22"/>
        </w:rPr>
        <w:drawing>
          <wp:inline distT="0" distB="0" distL="0" distR="0">
            <wp:extent cx="6440170" cy="4830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ionon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0170" cy="4830445"/>
                    </a:xfrm>
                    <a:prstGeom prst="rect">
                      <a:avLst/>
                    </a:prstGeom>
                  </pic:spPr>
                </pic:pic>
              </a:graphicData>
            </a:graphic>
          </wp:inline>
        </w:drawing>
      </w:r>
    </w:p>
    <w:p w:rsidR="00BE63D4" w:rsidRPr="002E5C06" w:rsidRDefault="006B5F8C" w:rsidP="00EA4B28">
      <w:pPr>
        <w:pStyle w:val="VAFigureCaption"/>
        <w:rPr>
          <w:rFonts w:ascii="Arial" w:hAnsi="Arial" w:cs="Arial"/>
          <w:sz w:val="22"/>
          <w:szCs w:val="22"/>
        </w:rPr>
      </w:pPr>
      <w:r>
        <w:rPr>
          <w:rStyle w:val="Strong"/>
        </w:rPr>
        <w:t>Figure S5</w:t>
      </w:r>
      <w:r w:rsidR="00853A30">
        <w:rPr>
          <w:rStyle w:val="Strong"/>
        </w:rPr>
        <w:t>.</w:t>
      </w:r>
      <w:r w:rsidR="00853A30">
        <w:t xml:space="preserve"> Temporal trends of the NO/NOₓ ratio across four land-use categories.</w:t>
      </w:r>
    </w:p>
    <w:p w:rsidR="00BE63D4" w:rsidRPr="002E5C06" w:rsidRDefault="00BE63D4" w:rsidP="0034131A">
      <w:pPr>
        <w:rPr>
          <w:rFonts w:ascii="Arial" w:hAnsi="Arial" w:cs="Arial"/>
          <w:sz w:val="22"/>
          <w:szCs w:val="22"/>
        </w:rPr>
      </w:pPr>
    </w:p>
    <w:sectPr w:rsidR="00BE63D4" w:rsidRPr="002E5C06" w:rsidSect="00BC707E">
      <w:type w:val="continuous"/>
      <w:pgSz w:w="12240" w:h="15840" w:code="1"/>
      <w:pgMar w:top="1021" w:right="1077" w:bottom="1021" w:left="1021"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A73D6"/>
    <w:multiLevelType w:val="hybridMultilevel"/>
    <w:tmpl w:val="66924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0"/>
  </w:num>
  <w:num w:numId="2">
    <w:abstractNumId w:val="9"/>
  </w:num>
  <w:num w:numId="3">
    <w:abstractNumId w:val="7"/>
  </w:num>
  <w:num w:numId="4">
    <w:abstractNumId w:val="10"/>
  </w:num>
  <w:num w:numId="5">
    <w:abstractNumId w:val="8"/>
  </w:num>
  <w:num w:numId="6">
    <w:abstractNumId w:val="6"/>
  </w:num>
  <w:num w:numId="7">
    <w:abstractNumId w:val="5"/>
  </w:num>
  <w:num w:numId="8">
    <w:abstractNumId w:val="4"/>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A8"/>
    <w:rsid w:val="00003930"/>
    <w:rsid w:val="000459FD"/>
    <w:rsid w:val="0006152E"/>
    <w:rsid w:val="0006164D"/>
    <w:rsid w:val="00081436"/>
    <w:rsid w:val="000A347A"/>
    <w:rsid w:val="000B3126"/>
    <w:rsid w:val="000F4384"/>
    <w:rsid w:val="00131DE5"/>
    <w:rsid w:val="00135FA8"/>
    <w:rsid w:val="00145092"/>
    <w:rsid w:val="001638A7"/>
    <w:rsid w:val="001C1627"/>
    <w:rsid w:val="001D52AC"/>
    <w:rsid w:val="001E2CFA"/>
    <w:rsid w:val="001F2600"/>
    <w:rsid w:val="002B6099"/>
    <w:rsid w:val="002E5C06"/>
    <w:rsid w:val="00331EDA"/>
    <w:rsid w:val="0034131A"/>
    <w:rsid w:val="003624FB"/>
    <w:rsid w:val="003A749E"/>
    <w:rsid w:val="0042569A"/>
    <w:rsid w:val="00457680"/>
    <w:rsid w:val="00466BF4"/>
    <w:rsid w:val="004C32B4"/>
    <w:rsid w:val="004E4CEB"/>
    <w:rsid w:val="004E7B06"/>
    <w:rsid w:val="004F20A2"/>
    <w:rsid w:val="004F42A8"/>
    <w:rsid w:val="00503AAE"/>
    <w:rsid w:val="00517A2A"/>
    <w:rsid w:val="00565B29"/>
    <w:rsid w:val="00574FEF"/>
    <w:rsid w:val="00575781"/>
    <w:rsid w:val="00585BAB"/>
    <w:rsid w:val="005A2AE6"/>
    <w:rsid w:val="006524F5"/>
    <w:rsid w:val="00670521"/>
    <w:rsid w:val="006B5F8C"/>
    <w:rsid w:val="00706F28"/>
    <w:rsid w:val="00720874"/>
    <w:rsid w:val="00721891"/>
    <w:rsid w:val="00735304"/>
    <w:rsid w:val="007420D8"/>
    <w:rsid w:val="00753F9B"/>
    <w:rsid w:val="007663D9"/>
    <w:rsid w:val="00786603"/>
    <w:rsid w:val="007B601E"/>
    <w:rsid w:val="008154A3"/>
    <w:rsid w:val="00830EE2"/>
    <w:rsid w:val="008466B6"/>
    <w:rsid w:val="00853A30"/>
    <w:rsid w:val="008862CD"/>
    <w:rsid w:val="00894829"/>
    <w:rsid w:val="008A411A"/>
    <w:rsid w:val="008A5DA0"/>
    <w:rsid w:val="00915EA7"/>
    <w:rsid w:val="0092566C"/>
    <w:rsid w:val="00934E5A"/>
    <w:rsid w:val="009B0786"/>
    <w:rsid w:val="009F0044"/>
    <w:rsid w:val="009F5FAA"/>
    <w:rsid w:val="00A21DDB"/>
    <w:rsid w:val="00A312C3"/>
    <w:rsid w:val="00A80C92"/>
    <w:rsid w:val="00A82828"/>
    <w:rsid w:val="00AA7F08"/>
    <w:rsid w:val="00AB41FA"/>
    <w:rsid w:val="00AC337C"/>
    <w:rsid w:val="00B54FF8"/>
    <w:rsid w:val="00B67E4C"/>
    <w:rsid w:val="00BA332F"/>
    <w:rsid w:val="00BA38F3"/>
    <w:rsid w:val="00BC707E"/>
    <w:rsid w:val="00BD3E47"/>
    <w:rsid w:val="00BE63D4"/>
    <w:rsid w:val="00C3168E"/>
    <w:rsid w:val="00C46079"/>
    <w:rsid w:val="00C840B1"/>
    <w:rsid w:val="00D44172"/>
    <w:rsid w:val="00D8133D"/>
    <w:rsid w:val="00D961C0"/>
    <w:rsid w:val="00E02E40"/>
    <w:rsid w:val="00E110D0"/>
    <w:rsid w:val="00E25C7C"/>
    <w:rsid w:val="00E3441B"/>
    <w:rsid w:val="00E63261"/>
    <w:rsid w:val="00E7274E"/>
    <w:rsid w:val="00EA4B28"/>
    <w:rsid w:val="00EA67FC"/>
    <w:rsid w:val="00F07D9B"/>
    <w:rsid w:val="00F26E77"/>
    <w:rsid w:val="00F27246"/>
    <w:rsid w:val="00F855F4"/>
    <w:rsid w:val="00FB107A"/>
    <w:rsid w:val="00FD2675"/>
    <w:rsid w:val="00FF7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16568"/>
  <w15:chartTrackingRefBased/>
  <w15:docId w15:val="{6F5C60B9-73F5-479D-A8DD-B24800CC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546A" w:themeColor="text2"/>
        <w:szCs w:val="1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8F3"/>
    <w:pPr>
      <w:spacing w:after="200" w:line="240" w:lineRule="auto"/>
      <w:jc w:val="both"/>
    </w:pPr>
    <w:rPr>
      <w:rFonts w:ascii="Times" w:eastAsia="Times New Roman" w:hAnsi="Times" w:cs="Times New Roman"/>
      <w:color w:val="auto"/>
      <w:sz w:val="24"/>
      <w:szCs w:val="20"/>
    </w:rPr>
  </w:style>
  <w:style w:type="character" w:default="1" w:styleId="DefaultParagraphFont">
    <w:name w:val="Default Paragraph Font"/>
    <w:uiPriority w:val="1"/>
    <w:semiHidden/>
    <w:unhideWhenUsed/>
    <w:rsid w:val="00BA38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A38F3"/>
  </w:style>
  <w:style w:type="paragraph" w:styleId="ListParagraph">
    <w:name w:val="List Paragraph"/>
    <w:basedOn w:val="Normal"/>
    <w:uiPriority w:val="34"/>
    <w:qFormat/>
    <w:rsid w:val="00135FA8"/>
    <w:pPr>
      <w:ind w:left="720"/>
      <w:contextualSpacing/>
    </w:pPr>
  </w:style>
  <w:style w:type="table" w:styleId="TableGrid">
    <w:name w:val="Table Grid"/>
    <w:basedOn w:val="TableNormal"/>
    <w:uiPriority w:val="39"/>
    <w:rsid w:val="0034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4131A"/>
    <w:rPr>
      <w:i/>
      <w:iCs/>
    </w:rPr>
  </w:style>
  <w:style w:type="paragraph" w:styleId="HTMLPreformatted">
    <w:name w:val="HTML Preformatted"/>
    <w:basedOn w:val="Normal"/>
    <w:link w:val="HTMLPreformattedChar"/>
    <w:uiPriority w:val="99"/>
    <w:semiHidden/>
    <w:unhideWhenUsed/>
    <w:rsid w:val="00341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34131A"/>
    <w:rPr>
      <w:rFonts w:ascii="Courier New" w:eastAsia="Times New Roman" w:hAnsi="Courier New" w:cs="Courier New"/>
      <w:color w:val="auto"/>
      <w:szCs w:val="20"/>
    </w:rPr>
  </w:style>
  <w:style w:type="character" w:customStyle="1" w:styleId="gpwvoe5cb5b">
    <w:name w:val="gpwvoe5cb5b"/>
    <w:basedOn w:val="DefaultParagraphFont"/>
    <w:rsid w:val="0034131A"/>
  </w:style>
  <w:style w:type="character" w:customStyle="1" w:styleId="gpwvoe5ci5b">
    <w:name w:val="gpwvoe5ci5b"/>
    <w:basedOn w:val="DefaultParagraphFont"/>
    <w:rsid w:val="0034131A"/>
  </w:style>
  <w:style w:type="character" w:customStyle="1" w:styleId="gpwvoe5ch4b">
    <w:name w:val="gpwvoe5ch4b"/>
    <w:basedOn w:val="DefaultParagraphFont"/>
    <w:rsid w:val="0034131A"/>
  </w:style>
  <w:style w:type="character" w:styleId="FollowedHyperlink">
    <w:name w:val="FollowedHyperlink"/>
    <w:rsid w:val="00BA38F3"/>
    <w:rPr>
      <w:color w:val="800080"/>
      <w:u w:val="single"/>
    </w:rPr>
  </w:style>
  <w:style w:type="paragraph" w:styleId="BodyText">
    <w:name w:val="Body Text"/>
    <w:basedOn w:val="Normal"/>
    <w:link w:val="BodyTextChar"/>
    <w:rsid w:val="00BA38F3"/>
    <w:pPr>
      <w:jc w:val="center"/>
    </w:pPr>
    <w:rPr>
      <w:b/>
      <w:sz w:val="40"/>
    </w:rPr>
  </w:style>
  <w:style w:type="character" w:customStyle="1" w:styleId="BodyTextChar">
    <w:name w:val="Body Text Char"/>
    <w:basedOn w:val="DefaultParagraphFont"/>
    <w:link w:val="BodyText"/>
    <w:rsid w:val="0034131A"/>
    <w:rPr>
      <w:rFonts w:ascii="Times" w:eastAsia="Times New Roman" w:hAnsi="Times" w:cs="Times New Roman"/>
      <w:b/>
      <w:color w:val="auto"/>
      <w:sz w:val="40"/>
      <w:szCs w:val="20"/>
    </w:rPr>
  </w:style>
  <w:style w:type="paragraph" w:styleId="FootnoteText">
    <w:name w:val="footnote text"/>
    <w:basedOn w:val="Normal"/>
    <w:next w:val="TFReferencesSection"/>
    <w:link w:val="FootnoteTextChar"/>
    <w:semiHidden/>
    <w:rsid w:val="00BA38F3"/>
  </w:style>
  <w:style w:type="character" w:customStyle="1" w:styleId="FootnoteTextChar">
    <w:name w:val="Footnote Text Char"/>
    <w:basedOn w:val="DefaultParagraphFont"/>
    <w:link w:val="FootnoteText"/>
    <w:semiHidden/>
    <w:rsid w:val="0034131A"/>
    <w:rPr>
      <w:rFonts w:ascii="Times" w:eastAsia="Times New Roman" w:hAnsi="Times" w:cs="Times New Roman"/>
      <w:color w:val="auto"/>
      <w:sz w:val="24"/>
      <w:szCs w:val="20"/>
    </w:rPr>
  </w:style>
  <w:style w:type="paragraph" w:customStyle="1" w:styleId="TFReferencesSection">
    <w:name w:val="TF_References_Section"/>
    <w:basedOn w:val="Normal"/>
    <w:rsid w:val="00BA38F3"/>
    <w:pPr>
      <w:spacing w:line="480" w:lineRule="auto"/>
      <w:ind w:firstLine="187"/>
    </w:pPr>
  </w:style>
  <w:style w:type="paragraph" w:customStyle="1" w:styleId="TAMainText">
    <w:name w:val="TA_Main_Text"/>
    <w:basedOn w:val="Normal"/>
    <w:rsid w:val="00BA38F3"/>
    <w:pPr>
      <w:spacing w:after="0" w:line="480" w:lineRule="auto"/>
      <w:ind w:firstLine="202"/>
    </w:pPr>
  </w:style>
  <w:style w:type="paragraph" w:customStyle="1" w:styleId="BATitle">
    <w:name w:val="BA_Title"/>
    <w:basedOn w:val="Normal"/>
    <w:next w:val="BBAuthorName"/>
    <w:rsid w:val="00BA38F3"/>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BA38F3"/>
    <w:pPr>
      <w:spacing w:after="240" w:line="480" w:lineRule="auto"/>
      <w:jc w:val="center"/>
    </w:pPr>
    <w:rPr>
      <w:i/>
    </w:rPr>
  </w:style>
  <w:style w:type="paragraph" w:customStyle="1" w:styleId="BCAuthorAddress">
    <w:name w:val="BC_Author_Address"/>
    <w:basedOn w:val="Normal"/>
    <w:next w:val="BIEmailAddress"/>
    <w:rsid w:val="00BA38F3"/>
    <w:pPr>
      <w:spacing w:after="240" w:line="480" w:lineRule="auto"/>
      <w:jc w:val="center"/>
    </w:pPr>
  </w:style>
  <w:style w:type="paragraph" w:customStyle="1" w:styleId="BIEmailAddress">
    <w:name w:val="BI_Email_Address"/>
    <w:basedOn w:val="Normal"/>
    <w:next w:val="AIReceivedDate"/>
    <w:rsid w:val="00BA38F3"/>
    <w:pPr>
      <w:spacing w:line="480" w:lineRule="auto"/>
    </w:pPr>
  </w:style>
  <w:style w:type="paragraph" w:customStyle="1" w:styleId="AIReceivedDate">
    <w:name w:val="AI_Received_Date"/>
    <w:basedOn w:val="Normal"/>
    <w:next w:val="BDAbstract"/>
    <w:rsid w:val="00BA38F3"/>
    <w:pPr>
      <w:spacing w:after="240" w:line="480" w:lineRule="auto"/>
    </w:pPr>
    <w:rPr>
      <w:b/>
    </w:rPr>
  </w:style>
  <w:style w:type="paragraph" w:customStyle="1" w:styleId="BDAbstract">
    <w:name w:val="BD_Abstract"/>
    <w:basedOn w:val="Normal"/>
    <w:next w:val="TAMainText"/>
    <w:rsid w:val="00BA38F3"/>
    <w:pPr>
      <w:spacing w:before="360" w:after="360" w:line="480" w:lineRule="auto"/>
    </w:pPr>
  </w:style>
  <w:style w:type="paragraph" w:customStyle="1" w:styleId="TDAcknowledgments">
    <w:name w:val="TD_Acknowledgments"/>
    <w:basedOn w:val="Normal"/>
    <w:next w:val="Normal"/>
    <w:rsid w:val="00BA38F3"/>
    <w:pPr>
      <w:spacing w:before="200" w:line="480" w:lineRule="auto"/>
      <w:ind w:firstLine="202"/>
    </w:pPr>
  </w:style>
  <w:style w:type="paragraph" w:customStyle="1" w:styleId="TESupportingInformation">
    <w:name w:val="TE_Supporting_Information"/>
    <w:basedOn w:val="Normal"/>
    <w:next w:val="Normal"/>
    <w:rsid w:val="00BA38F3"/>
    <w:pPr>
      <w:spacing w:line="480" w:lineRule="auto"/>
      <w:ind w:firstLine="187"/>
    </w:pPr>
  </w:style>
  <w:style w:type="paragraph" w:customStyle="1" w:styleId="VCSchemeTitle">
    <w:name w:val="VC_Scheme_Title"/>
    <w:basedOn w:val="Normal"/>
    <w:next w:val="Normal"/>
    <w:rsid w:val="00BA38F3"/>
    <w:pPr>
      <w:spacing w:line="480" w:lineRule="auto"/>
    </w:pPr>
  </w:style>
  <w:style w:type="paragraph" w:customStyle="1" w:styleId="VDTableTitle">
    <w:name w:val="VD_Table_Title"/>
    <w:basedOn w:val="Normal"/>
    <w:next w:val="Normal"/>
    <w:rsid w:val="00BA38F3"/>
    <w:pPr>
      <w:spacing w:line="480" w:lineRule="auto"/>
    </w:pPr>
  </w:style>
  <w:style w:type="paragraph" w:customStyle="1" w:styleId="VAFigureCaption">
    <w:name w:val="VA_Figure_Caption"/>
    <w:basedOn w:val="Normal"/>
    <w:next w:val="Normal"/>
    <w:rsid w:val="00BA38F3"/>
    <w:pPr>
      <w:spacing w:line="480" w:lineRule="auto"/>
    </w:pPr>
  </w:style>
  <w:style w:type="paragraph" w:customStyle="1" w:styleId="VBChartTitle">
    <w:name w:val="VB_Chart_Title"/>
    <w:basedOn w:val="Normal"/>
    <w:next w:val="Normal"/>
    <w:rsid w:val="00BA38F3"/>
    <w:pPr>
      <w:spacing w:line="480" w:lineRule="auto"/>
    </w:pPr>
  </w:style>
  <w:style w:type="paragraph" w:customStyle="1" w:styleId="FETableFootnote">
    <w:name w:val="FE_Table_Footnote"/>
    <w:basedOn w:val="Normal"/>
    <w:next w:val="Normal"/>
    <w:rsid w:val="00BA38F3"/>
    <w:pPr>
      <w:ind w:firstLine="187"/>
    </w:pPr>
  </w:style>
  <w:style w:type="paragraph" w:customStyle="1" w:styleId="FCChartFootnote">
    <w:name w:val="FC_Chart_Footnote"/>
    <w:basedOn w:val="Normal"/>
    <w:next w:val="Normal"/>
    <w:rsid w:val="00BA38F3"/>
    <w:pPr>
      <w:ind w:firstLine="187"/>
    </w:pPr>
  </w:style>
  <w:style w:type="paragraph" w:customStyle="1" w:styleId="FDSchemeFootnote">
    <w:name w:val="FD_Scheme_Footnote"/>
    <w:basedOn w:val="Normal"/>
    <w:next w:val="Normal"/>
    <w:rsid w:val="00BA38F3"/>
    <w:pPr>
      <w:ind w:firstLine="187"/>
    </w:pPr>
  </w:style>
  <w:style w:type="paragraph" w:customStyle="1" w:styleId="TCTableBody">
    <w:name w:val="TC_Table_Body"/>
    <w:basedOn w:val="Normal"/>
    <w:rsid w:val="00BA38F3"/>
  </w:style>
  <w:style w:type="paragraph" w:customStyle="1" w:styleId="AFTitleRunningHead">
    <w:name w:val="AF_Title_Running_Head"/>
    <w:basedOn w:val="Normal"/>
    <w:next w:val="TAMainText"/>
    <w:rsid w:val="00BA38F3"/>
    <w:pPr>
      <w:spacing w:line="480" w:lineRule="auto"/>
    </w:pPr>
  </w:style>
  <w:style w:type="paragraph" w:customStyle="1" w:styleId="BEAuthorBiography">
    <w:name w:val="BE_Author_Biography"/>
    <w:basedOn w:val="Normal"/>
    <w:rsid w:val="00BA38F3"/>
    <w:pPr>
      <w:spacing w:line="480" w:lineRule="auto"/>
    </w:pPr>
  </w:style>
  <w:style w:type="paragraph" w:customStyle="1" w:styleId="FACorrespondingAuthorFootnote">
    <w:name w:val="FA_Corresponding_Author_Footnote"/>
    <w:basedOn w:val="Normal"/>
    <w:next w:val="TAMainText"/>
    <w:rsid w:val="00BA38F3"/>
    <w:pPr>
      <w:spacing w:line="480" w:lineRule="auto"/>
    </w:pPr>
  </w:style>
  <w:style w:type="paragraph" w:customStyle="1" w:styleId="SNSynopsisTOC">
    <w:name w:val="SN_Synopsis_TOC"/>
    <w:basedOn w:val="Normal"/>
    <w:rsid w:val="00BA38F3"/>
    <w:pPr>
      <w:spacing w:line="480" w:lineRule="auto"/>
    </w:pPr>
  </w:style>
  <w:style w:type="character" w:styleId="Hyperlink">
    <w:name w:val="Hyperlink"/>
    <w:rsid w:val="00BA38F3"/>
    <w:rPr>
      <w:color w:val="0000FF"/>
      <w:u w:val="single"/>
    </w:rPr>
  </w:style>
  <w:style w:type="paragraph" w:styleId="Footer">
    <w:name w:val="footer"/>
    <w:basedOn w:val="Normal"/>
    <w:link w:val="FooterChar"/>
    <w:rsid w:val="00BA38F3"/>
    <w:pPr>
      <w:tabs>
        <w:tab w:val="center" w:pos="4320"/>
        <w:tab w:val="right" w:pos="8640"/>
      </w:tabs>
    </w:pPr>
  </w:style>
  <w:style w:type="character" w:customStyle="1" w:styleId="FooterChar">
    <w:name w:val="Footer Char"/>
    <w:basedOn w:val="DefaultParagraphFont"/>
    <w:link w:val="Footer"/>
    <w:rsid w:val="0034131A"/>
    <w:rPr>
      <w:rFonts w:ascii="Times" w:eastAsia="Times New Roman" w:hAnsi="Times" w:cs="Times New Roman"/>
      <w:color w:val="auto"/>
      <w:sz w:val="24"/>
      <w:szCs w:val="20"/>
    </w:rPr>
  </w:style>
  <w:style w:type="paragraph" w:customStyle="1" w:styleId="BGKeywords">
    <w:name w:val="BG_Keywords"/>
    <w:basedOn w:val="Normal"/>
    <w:rsid w:val="00BA38F3"/>
    <w:pPr>
      <w:spacing w:line="480" w:lineRule="auto"/>
    </w:pPr>
  </w:style>
  <w:style w:type="paragraph" w:customStyle="1" w:styleId="BHBriefs">
    <w:name w:val="BH_Briefs"/>
    <w:basedOn w:val="Normal"/>
    <w:rsid w:val="00BA38F3"/>
    <w:pPr>
      <w:spacing w:line="480" w:lineRule="auto"/>
    </w:pPr>
  </w:style>
  <w:style w:type="character" w:styleId="PageNumber">
    <w:name w:val="page number"/>
    <w:basedOn w:val="DefaultParagraphFont"/>
    <w:rsid w:val="00BA38F3"/>
  </w:style>
  <w:style w:type="paragraph" w:styleId="BalloonText">
    <w:name w:val="Balloon Text"/>
    <w:basedOn w:val="Normal"/>
    <w:link w:val="BalloonTextChar"/>
    <w:semiHidden/>
    <w:rsid w:val="00BA38F3"/>
    <w:rPr>
      <w:rFonts w:ascii="Tahoma" w:hAnsi="Tahoma" w:cs="Tahoma"/>
      <w:sz w:val="16"/>
      <w:szCs w:val="16"/>
    </w:rPr>
  </w:style>
  <w:style w:type="character" w:customStyle="1" w:styleId="BalloonTextChar">
    <w:name w:val="Balloon Text Char"/>
    <w:basedOn w:val="DefaultParagraphFont"/>
    <w:link w:val="BalloonText"/>
    <w:semiHidden/>
    <w:rsid w:val="0034131A"/>
    <w:rPr>
      <w:rFonts w:ascii="Tahoma" w:eastAsia="Times New Roman" w:hAnsi="Tahoma" w:cs="Tahoma"/>
      <w:color w:val="auto"/>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BA38F3"/>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BA38F3"/>
    <w:rPr>
      <w:rFonts w:ascii="Arno Pro" w:eastAsia="Times New Roman" w:hAnsi="Arno Pro" w:cs="Times New Roman"/>
      <w:color w:val="auto"/>
      <w:kern w:val="20"/>
      <w:sz w:val="18"/>
      <w:szCs w:val="20"/>
    </w:rPr>
  </w:style>
  <w:style w:type="paragraph" w:customStyle="1" w:styleId="FAAuthorInfoSubtitle">
    <w:name w:val="FA_Author_Info_Subtitle"/>
    <w:basedOn w:val="Normal"/>
    <w:link w:val="FAAuthorInfoSubtitleChar"/>
    <w:autoRedefine/>
    <w:rsid w:val="00BA38F3"/>
    <w:pPr>
      <w:spacing w:before="120" w:after="60" w:line="480" w:lineRule="auto"/>
      <w:jc w:val="left"/>
    </w:pPr>
    <w:rPr>
      <w:b/>
    </w:rPr>
  </w:style>
  <w:style w:type="character" w:customStyle="1" w:styleId="FAAuthorInfoSubtitleChar">
    <w:name w:val="FA_Author_Info_Subtitle Char"/>
    <w:link w:val="FAAuthorInfoSubtitle"/>
    <w:rsid w:val="00BA38F3"/>
    <w:rPr>
      <w:rFonts w:ascii="Times" w:eastAsia="Times New Roman" w:hAnsi="Times" w:cs="Times New Roman"/>
      <w:b/>
      <w:color w:val="auto"/>
      <w:sz w:val="24"/>
      <w:szCs w:val="20"/>
    </w:rPr>
  </w:style>
  <w:style w:type="paragraph" w:customStyle="1" w:styleId="Default">
    <w:name w:val="Default"/>
    <w:rsid w:val="00BA38F3"/>
    <w:pPr>
      <w:autoSpaceDE w:val="0"/>
      <w:autoSpaceDN w:val="0"/>
      <w:adjustRightInd w:val="0"/>
      <w:spacing w:after="0" w:line="240" w:lineRule="auto"/>
    </w:pPr>
    <w:rPr>
      <w:rFonts w:ascii="Symbol" w:eastAsia="Times New Roman" w:hAnsi="Symbol" w:cs="Symbol"/>
      <w:color w:val="000000"/>
      <w:sz w:val="24"/>
      <w:szCs w:val="24"/>
    </w:rPr>
  </w:style>
  <w:style w:type="character" w:styleId="Strong">
    <w:name w:val="Strong"/>
    <w:basedOn w:val="DefaultParagraphFont"/>
    <w:uiPriority w:val="22"/>
    <w:qFormat/>
    <w:rsid w:val="001C1627"/>
    <w:rPr>
      <w:b/>
      <w:bCs/>
    </w:rPr>
  </w:style>
  <w:style w:type="paragraph" w:customStyle="1" w:styleId="Footno">
    <w:name w:val="Footno"/>
    <w:basedOn w:val="FETableFootnote"/>
    <w:qFormat/>
    <w:rsid w:val="00894829"/>
  </w:style>
  <w:style w:type="paragraph" w:styleId="NormalWeb">
    <w:name w:val="Normal (Web)"/>
    <w:basedOn w:val="Normal"/>
    <w:uiPriority w:val="99"/>
    <w:semiHidden/>
    <w:unhideWhenUsed/>
    <w:rsid w:val="00A312C3"/>
    <w:pPr>
      <w:spacing w:before="100" w:beforeAutospacing="1" w:after="100" w:afterAutospacing="1"/>
      <w:jc w:val="left"/>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2626">
      <w:bodyDiv w:val="1"/>
      <w:marLeft w:val="0"/>
      <w:marRight w:val="0"/>
      <w:marTop w:val="0"/>
      <w:marBottom w:val="0"/>
      <w:divBdr>
        <w:top w:val="none" w:sz="0" w:space="0" w:color="auto"/>
        <w:left w:val="none" w:sz="0" w:space="0" w:color="auto"/>
        <w:bottom w:val="none" w:sz="0" w:space="0" w:color="auto"/>
        <w:right w:val="none" w:sz="0" w:space="0" w:color="auto"/>
      </w:divBdr>
    </w:div>
    <w:div w:id="63721938">
      <w:bodyDiv w:val="1"/>
      <w:marLeft w:val="0"/>
      <w:marRight w:val="0"/>
      <w:marTop w:val="0"/>
      <w:marBottom w:val="0"/>
      <w:divBdr>
        <w:top w:val="none" w:sz="0" w:space="0" w:color="auto"/>
        <w:left w:val="none" w:sz="0" w:space="0" w:color="auto"/>
        <w:bottom w:val="none" w:sz="0" w:space="0" w:color="auto"/>
        <w:right w:val="none" w:sz="0" w:space="0" w:color="auto"/>
      </w:divBdr>
    </w:div>
    <w:div w:id="82536998">
      <w:bodyDiv w:val="1"/>
      <w:marLeft w:val="0"/>
      <w:marRight w:val="0"/>
      <w:marTop w:val="0"/>
      <w:marBottom w:val="0"/>
      <w:divBdr>
        <w:top w:val="none" w:sz="0" w:space="0" w:color="auto"/>
        <w:left w:val="none" w:sz="0" w:space="0" w:color="auto"/>
        <w:bottom w:val="none" w:sz="0" w:space="0" w:color="auto"/>
        <w:right w:val="none" w:sz="0" w:space="0" w:color="auto"/>
      </w:divBdr>
    </w:div>
    <w:div w:id="160779101">
      <w:bodyDiv w:val="1"/>
      <w:marLeft w:val="0"/>
      <w:marRight w:val="0"/>
      <w:marTop w:val="0"/>
      <w:marBottom w:val="0"/>
      <w:divBdr>
        <w:top w:val="none" w:sz="0" w:space="0" w:color="auto"/>
        <w:left w:val="none" w:sz="0" w:space="0" w:color="auto"/>
        <w:bottom w:val="none" w:sz="0" w:space="0" w:color="auto"/>
        <w:right w:val="none" w:sz="0" w:space="0" w:color="auto"/>
      </w:divBdr>
    </w:div>
    <w:div w:id="175388553">
      <w:bodyDiv w:val="1"/>
      <w:marLeft w:val="0"/>
      <w:marRight w:val="0"/>
      <w:marTop w:val="0"/>
      <w:marBottom w:val="0"/>
      <w:divBdr>
        <w:top w:val="none" w:sz="0" w:space="0" w:color="auto"/>
        <w:left w:val="none" w:sz="0" w:space="0" w:color="auto"/>
        <w:bottom w:val="none" w:sz="0" w:space="0" w:color="auto"/>
        <w:right w:val="none" w:sz="0" w:space="0" w:color="auto"/>
      </w:divBdr>
    </w:div>
    <w:div w:id="210846041">
      <w:bodyDiv w:val="1"/>
      <w:marLeft w:val="0"/>
      <w:marRight w:val="0"/>
      <w:marTop w:val="0"/>
      <w:marBottom w:val="0"/>
      <w:divBdr>
        <w:top w:val="none" w:sz="0" w:space="0" w:color="auto"/>
        <w:left w:val="none" w:sz="0" w:space="0" w:color="auto"/>
        <w:bottom w:val="none" w:sz="0" w:space="0" w:color="auto"/>
        <w:right w:val="none" w:sz="0" w:space="0" w:color="auto"/>
      </w:divBdr>
    </w:div>
    <w:div w:id="236064078">
      <w:bodyDiv w:val="1"/>
      <w:marLeft w:val="0"/>
      <w:marRight w:val="0"/>
      <w:marTop w:val="0"/>
      <w:marBottom w:val="0"/>
      <w:divBdr>
        <w:top w:val="none" w:sz="0" w:space="0" w:color="auto"/>
        <w:left w:val="none" w:sz="0" w:space="0" w:color="auto"/>
        <w:bottom w:val="none" w:sz="0" w:space="0" w:color="auto"/>
        <w:right w:val="none" w:sz="0" w:space="0" w:color="auto"/>
      </w:divBdr>
    </w:div>
    <w:div w:id="285698882">
      <w:bodyDiv w:val="1"/>
      <w:marLeft w:val="0"/>
      <w:marRight w:val="0"/>
      <w:marTop w:val="0"/>
      <w:marBottom w:val="0"/>
      <w:divBdr>
        <w:top w:val="none" w:sz="0" w:space="0" w:color="auto"/>
        <w:left w:val="none" w:sz="0" w:space="0" w:color="auto"/>
        <w:bottom w:val="none" w:sz="0" w:space="0" w:color="auto"/>
        <w:right w:val="none" w:sz="0" w:space="0" w:color="auto"/>
      </w:divBdr>
    </w:div>
    <w:div w:id="376904416">
      <w:bodyDiv w:val="1"/>
      <w:marLeft w:val="0"/>
      <w:marRight w:val="0"/>
      <w:marTop w:val="0"/>
      <w:marBottom w:val="0"/>
      <w:divBdr>
        <w:top w:val="none" w:sz="0" w:space="0" w:color="auto"/>
        <w:left w:val="none" w:sz="0" w:space="0" w:color="auto"/>
        <w:bottom w:val="none" w:sz="0" w:space="0" w:color="auto"/>
        <w:right w:val="none" w:sz="0" w:space="0" w:color="auto"/>
      </w:divBdr>
    </w:div>
    <w:div w:id="425809954">
      <w:bodyDiv w:val="1"/>
      <w:marLeft w:val="0"/>
      <w:marRight w:val="0"/>
      <w:marTop w:val="0"/>
      <w:marBottom w:val="0"/>
      <w:divBdr>
        <w:top w:val="none" w:sz="0" w:space="0" w:color="auto"/>
        <w:left w:val="none" w:sz="0" w:space="0" w:color="auto"/>
        <w:bottom w:val="none" w:sz="0" w:space="0" w:color="auto"/>
        <w:right w:val="none" w:sz="0" w:space="0" w:color="auto"/>
      </w:divBdr>
    </w:div>
    <w:div w:id="430664401">
      <w:bodyDiv w:val="1"/>
      <w:marLeft w:val="0"/>
      <w:marRight w:val="0"/>
      <w:marTop w:val="0"/>
      <w:marBottom w:val="0"/>
      <w:divBdr>
        <w:top w:val="none" w:sz="0" w:space="0" w:color="auto"/>
        <w:left w:val="none" w:sz="0" w:space="0" w:color="auto"/>
        <w:bottom w:val="none" w:sz="0" w:space="0" w:color="auto"/>
        <w:right w:val="none" w:sz="0" w:space="0" w:color="auto"/>
      </w:divBdr>
    </w:div>
    <w:div w:id="438188446">
      <w:bodyDiv w:val="1"/>
      <w:marLeft w:val="0"/>
      <w:marRight w:val="0"/>
      <w:marTop w:val="0"/>
      <w:marBottom w:val="0"/>
      <w:divBdr>
        <w:top w:val="none" w:sz="0" w:space="0" w:color="auto"/>
        <w:left w:val="none" w:sz="0" w:space="0" w:color="auto"/>
        <w:bottom w:val="none" w:sz="0" w:space="0" w:color="auto"/>
        <w:right w:val="none" w:sz="0" w:space="0" w:color="auto"/>
      </w:divBdr>
    </w:div>
    <w:div w:id="487719095">
      <w:bodyDiv w:val="1"/>
      <w:marLeft w:val="0"/>
      <w:marRight w:val="0"/>
      <w:marTop w:val="0"/>
      <w:marBottom w:val="0"/>
      <w:divBdr>
        <w:top w:val="none" w:sz="0" w:space="0" w:color="auto"/>
        <w:left w:val="none" w:sz="0" w:space="0" w:color="auto"/>
        <w:bottom w:val="none" w:sz="0" w:space="0" w:color="auto"/>
        <w:right w:val="none" w:sz="0" w:space="0" w:color="auto"/>
      </w:divBdr>
    </w:div>
    <w:div w:id="516848457">
      <w:bodyDiv w:val="1"/>
      <w:marLeft w:val="0"/>
      <w:marRight w:val="0"/>
      <w:marTop w:val="0"/>
      <w:marBottom w:val="0"/>
      <w:divBdr>
        <w:top w:val="none" w:sz="0" w:space="0" w:color="auto"/>
        <w:left w:val="none" w:sz="0" w:space="0" w:color="auto"/>
        <w:bottom w:val="none" w:sz="0" w:space="0" w:color="auto"/>
        <w:right w:val="none" w:sz="0" w:space="0" w:color="auto"/>
      </w:divBdr>
    </w:div>
    <w:div w:id="580723611">
      <w:bodyDiv w:val="1"/>
      <w:marLeft w:val="0"/>
      <w:marRight w:val="0"/>
      <w:marTop w:val="0"/>
      <w:marBottom w:val="0"/>
      <w:divBdr>
        <w:top w:val="none" w:sz="0" w:space="0" w:color="auto"/>
        <w:left w:val="none" w:sz="0" w:space="0" w:color="auto"/>
        <w:bottom w:val="none" w:sz="0" w:space="0" w:color="auto"/>
        <w:right w:val="none" w:sz="0" w:space="0" w:color="auto"/>
      </w:divBdr>
    </w:div>
    <w:div w:id="598487521">
      <w:bodyDiv w:val="1"/>
      <w:marLeft w:val="0"/>
      <w:marRight w:val="0"/>
      <w:marTop w:val="0"/>
      <w:marBottom w:val="0"/>
      <w:divBdr>
        <w:top w:val="none" w:sz="0" w:space="0" w:color="auto"/>
        <w:left w:val="none" w:sz="0" w:space="0" w:color="auto"/>
        <w:bottom w:val="none" w:sz="0" w:space="0" w:color="auto"/>
        <w:right w:val="none" w:sz="0" w:space="0" w:color="auto"/>
      </w:divBdr>
    </w:div>
    <w:div w:id="637996052">
      <w:bodyDiv w:val="1"/>
      <w:marLeft w:val="0"/>
      <w:marRight w:val="0"/>
      <w:marTop w:val="0"/>
      <w:marBottom w:val="0"/>
      <w:divBdr>
        <w:top w:val="none" w:sz="0" w:space="0" w:color="auto"/>
        <w:left w:val="none" w:sz="0" w:space="0" w:color="auto"/>
        <w:bottom w:val="none" w:sz="0" w:space="0" w:color="auto"/>
        <w:right w:val="none" w:sz="0" w:space="0" w:color="auto"/>
      </w:divBdr>
    </w:div>
    <w:div w:id="686446951">
      <w:bodyDiv w:val="1"/>
      <w:marLeft w:val="0"/>
      <w:marRight w:val="0"/>
      <w:marTop w:val="0"/>
      <w:marBottom w:val="0"/>
      <w:divBdr>
        <w:top w:val="none" w:sz="0" w:space="0" w:color="auto"/>
        <w:left w:val="none" w:sz="0" w:space="0" w:color="auto"/>
        <w:bottom w:val="none" w:sz="0" w:space="0" w:color="auto"/>
        <w:right w:val="none" w:sz="0" w:space="0" w:color="auto"/>
      </w:divBdr>
    </w:div>
    <w:div w:id="722563243">
      <w:bodyDiv w:val="1"/>
      <w:marLeft w:val="0"/>
      <w:marRight w:val="0"/>
      <w:marTop w:val="0"/>
      <w:marBottom w:val="0"/>
      <w:divBdr>
        <w:top w:val="none" w:sz="0" w:space="0" w:color="auto"/>
        <w:left w:val="none" w:sz="0" w:space="0" w:color="auto"/>
        <w:bottom w:val="none" w:sz="0" w:space="0" w:color="auto"/>
        <w:right w:val="none" w:sz="0" w:space="0" w:color="auto"/>
      </w:divBdr>
    </w:div>
    <w:div w:id="814834159">
      <w:bodyDiv w:val="1"/>
      <w:marLeft w:val="0"/>
      <w:marRight w:val="0"/>
      <w:marTop w:val="0"/>
      <w:marBottom w:val="0"/>
      <w:divBdr>
        <w:top w:val="none" w:sz="0" w:space="0" w:color="auto"/>
        <w:left w:val="none" w:sz="0" w:space="0" w:color="auto"/>
        <w:bottom w:val="none" w:sz="0" w:space="0" w:color="auto"/>
        <w:right w:val="none" w:sz="0" w:space="0" w:color="auto"/>
      </w:divBdr>
    </w:div>
    <w:div w:id="911349050">
      <w:bodyDiv w:val="1"/>
      <w:marLeft w:val="0"/>
      <w:marRight w:val="0"/>
      <w:marTop w:val="0"/>
      <w:marBottom w:val="0"/>
      <w:divBdr>
        <w:top w:val="none" w:sz="0" w:space="0" w:color="auto"/>
        <w:left w:val="none" w:sz="0" w:space="0" w:color="auto"/>
        <w:bottom w:val="none" w:sz="0" w:space="0" w:color="auto"/>
        <w:right w:val="none" w:sz="0" w:space="0" w:color="auto"/>
      </w:divBdr>
    </w:div>
    <w:div w:id="923994430">
      <w:bodyDiv w:val="1"/>
      <w:marLeft w:val="0"/>
      <w:marRight w:val="0"/>
      <w:marTop w:val="0"/>
      <w:marBottom w:val="0"/>
      <w:divBdr>
        <w:top w:val="none" w:sz="0" w:space="0" w:color="auto"/>
        <w:left w:val="none" w:sz="0" w:space="0" w:color="auto"/>
        <w:bottom w:val="none" w:sz="0" w:space="0" w:color="auto"/>
        <w:right w:val="none" w:sz="0" w:space="0" w:color="auto"/>
      </w:divBdr>
    </w:div>
    <w:div w:id="1012149236">
      <w:bodyDiv w:val="1"/>
      <w:marLeft w:val="0"/>
      <w:marRight w:val="0"/>
      <w:marTop w:val="0"/>
      <w:marBottom w:val="0"/>
      <w:divBdr>
        <w:top w:val="none" w:sz="0" w:space="0" w:color="auto"/>
        <w:left w:val="none" w:sz="0" w:space="0" w:color="auto"/>
        <w:bottom w:val="none" w:sz="0" w:space="0" w:color="auto"/>
        <w:right w:val="none" w:sz="0" w:space="0" w:color="auto"/>
      </w:divBdr>
    </w:div>
    <w:div w:id="1041630097">
      <w:bodyDiv w:val="1"/>
      <w:marLeft w:val="0"/>
      <w:marRight w:val="0"/>
      <w:marTop w:val="0"/>
      <w:marBottom w:val="0"/>
      <w:divBdr>
        <w:top w:val="none" w:sz="0" w:space="0" w:color="auto"/>
        <w:left w:val="none" w:sz="0" w:space="0" w:color="auto"/>
        <w:bottom w:val="none" w:sz="0" w:space="0" w:color="auto"/>
        <w:right w:val="none" w:sz="0" w:space="0" w:color="auto"/>
      </w:divBdr>
    </w:div>
    <w:div w:id="1070927369">
      <w:bodyDiv w:val="1"/>
      <w:marLeft w:val="0"/>
      <w:marRight w:val="0"/>
      <w:marTop w:val="0"/>
      <w:marBottom w:val="0"/>
      <w:divBdr>
        <w:top w:val="none" w:sz="0" w:space="0" w:color="auto"/>
        <w:left w:val="none" w:sz="0" w:space="0" w:color="auto"/>
        <w:bottom w:val="none" w:sz="0" w:space="0" w:color="auto"/>
        <w:right w:val="none" w:sz="0" w:space="0" w:color="auto"/>
      </w:divBdr>
    </w:div>
    <w:div w:id="1095321071">
      <w:bodyDiv w:val="1"/>
      <w:marLeft w:val="0"/>
      <w:marRight w:val="0"/>
      <w:marTop w:val="0"/>
      <w:marBottom w:val="0"/>
      <w:divBdr>
        <w:top w:val="none" w:sz="0" w:space="0" w:color="auto"/>
        <w:left w:val="none" w:sz="0" w:space="0" w:color="auto"/>
        <w:bottom w:val="none" w:sz="0" w:space="0" w:color="auto"/>
        <w:right w:val="none" w:sz="0" w:space="0" w:color="auto"/>
      </w:divBdr>
    </w:div>
    <w:div w:id="1101797773">
      <w:bodyDiv w:val="1"/>
      <w:marLeft w:val="0"/>
      <w:marRight w:val="0"/>
      <w:marTop w:val="0"/>
      <w:marBottom w:val="0"/>
      <w:divBdr>
        <w:top w:val="none" w:sz="0" w:space="0" w:color="auto"/>
        <w:left w:val="none" w:sz="0" w:space="0" w:color="auto"/>
        <w:bottom w:val="none" w:sz="0" w:space="0" w:color="auto"/>
        <w:right w:val="none" w:sz="0" w:space="0" w:color="auto"/>
      </w:divBdr>
    </w:div>
    <w:div w:id="1109157955">
      <w:bodyDiv w:val="1"/>
      <w:marLeft w:val="0"/>
      <w:marRight w:val="0"/>
      <w:marTop w:val="0"/>
      <w:marBottom w:val="0"/>
      <w:divBdr>
        <w:top w:val="none" w:sz="0" w:space="0" w:color="auto"/>
        <w:left w:val="none" w:sz="0" w:space="0" w:color="auto"/>
        <w:bottom w:val="none" w:sz="0" w:space="0" w:color="auto"/>
        <w:right w:val="none" w:sz="0" w:space="0" w:color="auto"/>
      </w:divBdr>
    </w:div>
    <w:div w:id="1356881605">
      <w:bodyDiv w:val="1"/>
      <w:marLeft w:val="0"/>
      <w:marRight w:val="0"/>
      <w:marTop w:val="0"/>
      <w:marBottom w:val="0"/>
      <w:divBdr>
        <w:top w:val="none" w:sz="0" w:space="0" w:color="auto"/>
        <w:left w:val="none" w:sz="0" w:space="0" w:color="auto"/>
        <w:bottom w:val="none" w:sz="0" w:space="0" w:color="auto"/>
        <w:right w:val="none" w:sz="0" w:space="0" w:color="auto"/>
      </w:divBdr>
    </w:div>
    <w:div w:id="1422336952">
      <w:bodyDiv w:val="1"/>
      <w:marLeft w:val="0"/>
      <w:marRight w:val="0"/>
      <w:marTop w:val="0"/>
      <w:marBottom w:val="0"/>
      <w:divBdr>
        <w:top w:val="none" w:sz="0" w:space="0" w:color="auto"/>
        <w:left w:val="none" w:sz="0" w:space="0" w:color="auto"/>
        <w:bottom w:val="none" w:sz="0" w:space="0" w:color="auto"/>
        <w:right w:val="none" w:sz="0" w:space="0" w:color="auto"/>
      </w:divBdr>
    </w:div>
    <w:div w:id="1484814813">
      <w:bodyDiv w:val="1"/>
      <w:marLeft w:val="0"/>
      <w:marRight w:val="0"/>
      <w:marTop w:val="0"/>
      <w:marBottom w:val="0"/>
      <w:divBdr>
        <w:top w:val="none" w:sz="0" w:space="0" w:color="auto"/>
        <w:left w:val="none" w:sz="0" w:space="0" w:color="auto"/>
        <w:bottom w:val="none" w:sz="0" w:space="0" w:color="auto"/>
        <w:right w:val="none" w:sz="0" w:space="0" w:color="auto"/>
      </w:divBdr>
    </w:div>
    <w:div w:id="1570266381">
      <w:bodyDiv w:val="1"/>
      <w:marLeft w:val="0"/>
      <w:marRight w:val="0"/>
      <w:marTop w:val="0"/>
      <w:marBottom w:val="0"/>
      <w:divBdr>
        <w:top w:val="none" w:sz="0" w:space="0" w:color="auto"/>
        <w:left w:val="none" w:sz="0" w:space="0" w:color="auto"/>
        <w:bottom w:val="none" w:sz="0" w:space="0" w:color="auto"/>
        <w:right w:val="none" w:sz="0" w:space="0" w:color="auto"/>
      </w:divBdr>
    </w:div>
    <w:div w:id="1580628233">
      <w:bodyDiv w:val="1"/>
      <w:marLeft w:val="0"/>
      <w:marRight w:val="0"/>
      <w:marTop w:val="0"/>
      <w:marBottom w:val="0"/>
      <w:divBdr>
        <w:top w:val="none" w:sz="0" w:space="0" w:color="auto"/>
        <w:left w:val="none" w:sz="0" w:space="0" w:color="auto"/>
        <w:bottom w:val="none" w:sz="0" w:space="0" w:color="auto"/>
        <w:right w:val="none" w:sz="0" w:space="0" w:color="auto"/>
      </w:divBdr>
    </w:div>
    <w:div w:id="1736202303">
      <w:bodyDiv w:val="1"/>
      <w:marLeft w:val="0"/>
      <w:marRight w:val="0"/>
      <w:marTop w:val="0"/>
      <w:marBottom w:val="0"/>
      <w:divBdr>
        <w:top w:val="none" w:sz="0" w:space="0" w:color="auto"/>
        <w:left w:val="none" w:sz="0" w:space="0" w:color="auto"/>
        <w:bottom w:val="none" w:sz="0" w:space="0" w:color="auto"/>
        <w:right w:val="none" w:sz="0" w:space="0" w:color="auto"/>
      </w:divBdr>
    </w:div>
    <w:div w:id="1845166191">
      <w:bodyDiv w:val="1"/>
      <w:marLeft w:val="0"/>
      <w:marRight w:val="0"/>
      <w:marTop w:val="0"/>
      <w:marBottom w:val="0"/>
      <w:divBdr>
        <w:top w:val="none" w:sz="0" w:space="0" w:color="auto"/>
        <w:left w:val="none" w:sz="0" w:space="0" w:color="auto"/>
        <w:bottom w:val="none" w:sz="0" w:space="0" w:color="auto"/>
        <w:right w:val="none" w:sz="0" w:space="0" w:color="auto"/>
      </w:divBdr>
    </w:div>
    <w:div w:id="1851022638">
      <w:bodyDiv w:val="1"/>
      <w:marLeft w:val="0"/>
      <w:marRight w:val="0"/>
      <w:marTop w:val="0"/>
      <w:marBottom w:val="0"/>
      <w:divBdr>
        <w:top w:val="none" w:sz="0" w:space="0" w:color="auto"/>
        <w:left w:val="none" w:sz="0" w:space="0" w:color="auto"/>
        <w:bottom w:val="none" w:sz="0" w:space="0" w:color="auto"/>
        <w:right w:val="none" w:sz="0" w:space="0" w:color="auto"/>
      </w:divBdr>
    </w:div>
    <w:div w:id="1863203037">
      <w:bodyDiv w:val="1"/>
      <w:marLeft w:val="0"/>
      <w:marRight w:val="0"/>
      <w:marTop w:val="0"/>
      <w:marBottom w:val="0"/>
      <w:divBdr>
        <w:top w:val="none" w:sz="0" w:space="0" w:color="auto"/>
        <w:left w:val="none" w:sz="0" w:space="0" w:color="auto"/>
        <w:bottom w:val="none" w:sz="0" w:space="0" w:color="auto"/>
        <w:right w:val="none" w:sz="0" w:space="0" w:color="auto"/>
      </w:divBdr>
    </w:div>
    <w:div w:id="1873182083">
      <w:bodyDiv w:val="1"/>
      <w:marLeft w:val="0"/>
      <w:marRight w:val="0"/>
      <w:marTop w:val="0"/>
      <w:marBottom w:val="0"/>
      <w:divBdr>
        <w:top w:val="none" w:sz="0" w:space="0" w:color="auto"/>
        <w:left w:val="none" w:sz="0" w:space="0" w:color="auto"/>
        <w:bottom w:val="none" w:sz="0" w:space="0" w:color="auto"/>
        <w:right w:val="none" w:sz="0" w:space="0" w:color="auto"/>
      </w:divBdr>
    </w:div>
    <w:div w:id="1972203806">
      <w:bodyDiv w:val="1"/>
      <w:marLeft w:val="0"/>
      <w:marRight w:val="0"/>
      <w:marTop w:val="0"/>
      <w:marBottom w:val="0"/>
      <w:divBdr>
        <w:top w:val="none" w:sz="0" w:space="0" w:color="auto"/>
        <w:left w:val="none" w:sz="0" w:space="0" w:color="auto"/>
        <w:bottom w:val="none" w:sz="0" w:space="0" w:color="auto"/>
        <w:right w:val="none" w:sz="0" w:space="0" w:color="auto"/>
      </w:divBdr>
    </w:div>
    <w:div w:id="1974828536">
      <w:bodyDiv w:val="1"/>
      <w:marLeft w:val="0"/>
      <w:marRight w:val="0"/>
      <w:marTop w:val="0"/>
      <w:marBottom w:val="0"/>
      <w:divBdr>
        <w:top w:val="none" w:sz="0" w:space="0" w:color="auto"/>
        <w:left w:val="none" w:sz="0" w:space="0" w:color="auto"/>
        <w:bottom w:val="none" w:sz="0" w:space="0" w:color="auto"/>
        <w:right w:val="none" w:sz="0" w:space="0" w:color="auto"/>
      </w:divBdr>
    </w:div>
    <w:div w:id="2006131726">
      <w:bodyDiv w:val="1"/>
      <w:marLeft w:val="0"/>
      <w:marRight w:val="0"/>
      <w:marTop w:val="0"/>
      <w:marBottom w:val="0"/>
      <w:divBdr>
        <w:top w:val="none" w:sz="0" w:space="0" w:color="auto"/>
        <w:left w:val="none" w:sz="0" w:space="0" w:color="auto"/>
        <w:bottom w:val="none" w:sz="0" w:space="0" w:color="auto"/>
        <w:right w:val="none" w:sz="0" w:space="0" w:color="auto"/>
      </w:divBdr>
    </w:div>
    <w:div w:id="2018195899">
      <w:bodyDiv w:val="1"/>
      <w:marLeft w:val="0"/>
      <w:marRight w:val="0"/>
      <w:marTop w:val="0"/>
      <w:marBottom w:val="0"/>
      <w:divBdr>
        <w:top w:val="none" w:sz="0" w:space="0" w:color="auto"/>
        <w:left w:val="none" w:sz="0" w:space="0" w:color="auto"/>
        <w:bottom w:val="none" w:sz="0" w:space="0" w:color="auto"/>
        <w:right w:val="none" w:sz="0" w:space="0" w:color="auto"/>
      </w:divBdr>
    </w:div>
    <w:div w:id="2037533465">
      <w:bodyDiv w:val="1"/>
      <w:marLeft w:val="0"/>
      <w:marRight w:val="0"/>
      <w:marTop w:val="0"/>
      <w:marBottom w:val="0"/>
      <w:divBdr>
        <w:top w:val="none" w:sz="0" w:space="0" w:color="auto"/>
        <w:left w:val="none" w:sz="0" w:space="0" w:color="auto"/>
        <w:bottom w:val="none" w:sz="0" w:space="0" w:color="auto"/>
        <w:right w:val="none" w:sz="0" w:space="0" w:color="auto"/>
      </w:divBdr>
    </w:div>
    <w:div w:id="2046564797">
      <w:bodyDiv w:val="1"/>
      <w:marLeft w:val="0"/>
      <w:marRight w:val="0"/>
      <w:marTop w:val="0"/>
      <w:marBottom w:val="0"/>
      <w:divBdr>
        <w:top w:val="none" w:sz="0" w:space="0" w:color="auto"/>
        <w:left w:val="none" w:sz="0" w:space="0" w:color="auto"/>
        <w:bottom w:val="none" w:sz="0" w:space="0" w:color="auto"/>
        <w:right w:val="none" w:sz="0" w:space="0" w:color="auto"/>
      </w:divBdr>
    </w:div>
    <w:div w:id="2047021499">
      <w:bodyDiv w:val="1"/>
      <w:marLeft w:val="0"/>
      <w:marRight w:val="0"/>
      <w:marTop w:val="0"/>
      <w:marBottom w:val="0"/>
      <w:divBdr>
        <w:top w:val="none" w:sz="0" w:space="0" w:color="auto"/>
        <w:left w:val="none" w:sz="0" w:space="0" w:color="auto"/>
        <w:bottom w:val="none" w:sz="0" w:space="0" w:color="auto"/>
        <w:right w:val="none" w:sz="0" w:space="0" w:color="auto"/>
      </w:divBdr>
    </w:div>
    <w:div w:id="211308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PhD%20first%20paper\First%20review\Cleaned_copy\13_nov_copy\Sent%20back%20from%20Prof\Ready%20for%20submission\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acstemplate_msw2010.dotx</Template>
  <TotalTime>1703</TotalTime>
  <Pages>13</Pages>
  <Words>1398</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41</cp:revision>
  <cp:lastPrinted>2026-02-12T09:14:00Z</cp:lastPrinted>
  <dcterms:created xsi:type="dcterms:W3CDTF">2026-01-19T07:46:00Z</dcterms:created>
  <dcterms:modified xsi:type="dcterms:W3CDTF">2026-02-13T09:08:00Z</dcterms:modified>
</cp:coreProperties>
</file>