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D51D95" w14:textId="77777777" w:rsidR="0063165C" w:rsidRDefault="0063165C" w:rsidP="0063165C">
      <w:pPr>
        <w:spacing w:line="360" w:lineRule="auto"/>
        <w:jc w:val="both"/>
        <w:rPr>
          <w:b/>
        </w:rPr>
      </w:pPr>
      <w:r w:rsidRPr="003E6BE4">
        <w:rPr>
          <w:b/>
        </w:rPr>
        <w:t>Supporting Information</w:t>
      </w:r>
    </w:p>
    <w:p w14:paraId="619E2A99" w14:textId="77777777" w:rsidR="0063165C" w:rsidRDefault="0063165C" w:rsidP="0063165C">
      <w:pPr>
        <w:spacing w:line="360" w:lineRule="auto"/>
        <w:rPr>
          <w:b/>
          <w:bCs/>
          <w:sz w:val="28"/>
          <w:szCs w:val="28"/>
        </w:rPr>
      </w:pPr>
    </w:p>
    <w:p w14:paraId="0A274F1D" w14:textId="521BBFF8" w:rsidR="00F849B6" w:rsidRPr="00C40B50" w:rsidRDefault="00F849B6" w:rsidP="00F849B6">
      <w:pPr>
        <w:spacing w:line="360" w:lineRule="auto"/>
        <w:ind w:left="360"/>
        <w:jc w:val="center"/>
        <w:rPr>
          <w:b/>
          <w:bCs/>
          <w:sz w:val="28"/>
          <w:szCs w:val="28"/>
        </w:rPr>
      </w:pPr>
      <w:r>
        <w:rPr>
          <w:b/>
          <w:bCs/>
          <w:sz w:val="28"/>
          <w:szCs w:val="28"/>
        </w:rPr>
        <w:t xml:space="preserve">Design and Realization of High Performance Textured </w:t>
      </w:r>
      <w:r w:rsidRPr="00C40B50">
        <w:rPr>
          <w:b/>
          <w:bCs/>
          <w:sz w:val="28"/>
          <w:szCs w:val="28"/>
        </w:rPr>
        <w:t xml:space="preserve">Lead-Free Piezoelectric Ceramics </w:t>
      </w:r>
      <w:r>
        <w:rPr>
          <w:b/>
          <w:bCs/>
          <w:sz w:val="28"/>
          <w:szCs w:val="28"/>
        </w:rPr>
        <w:t>through</w:t>
      </w:r>
      <w:r w:rsidRPr="00C40B50">
        <w:rPr>
          <w:b/>
          <w:bCs/>
          <w:sz w:val="28"/>
          <w:szCs w:val="28"/>
        </w:rPr>
        <w:t xml:space="preserve"> Human-AI Collaboration</w:t>
      </w:r>
    </w:p>
    <w:p w14:paraId="01AE846A" w14:textId="77777777" w:rsidR="00AD5D65" w:rsidRDefault="00AD5D65" w:rsidP="00AD5D65">
      <w:pPr>
        <w:spacing w:line="360" w:lineRule="auto"/>
        <w:ind w:left="360"/>
        <w:jc w:val="center"/>
      </w:pPr>
    </w:p>
    <w:p w14:paraId="1F1A8F9B" w14:textId="6EAFFA23" w:rsidR="00AD5D65" w:rsidRDefault="00AD5D65" w:rsidP="00AD5D65">
      <w:pPr>
        <w:spacing w:line="360" w:lineRule="auto"/>
        <w:ind w:left="360"/>
        <w:jc w:val="center"/>
        <w:rPr>
          <w:vertAlign w:val="superscript"/>
        </w:rPr>
      </w:pPr>
      <w:r w:rsidRPr="00F01FED">
        <w:t>Aman Nanda</w:t>
      </w:r>
      <w:r w:rsidRPr="00F01FED">
        <w:rPr>
          <w:vertAlign w:val="superscript"/>
        </w:rPr>
        <w:t>1</w:t>
      </w:r>
      <w:r w:rsidR="00802D4B">
        <w:rPr>
          <w:vertAlign w:val="superscript"/>
        </w:rPr>
        <w:t>*</w:t>
      </w:r>
      <w:r w:rsidRPr="00F01FED">
        <w:t xml:space="preserve">, </w:t>
      </w:r>
      <w:proofErr w:type="spellStart"/>
      <w:r w:rsidRPr="00F01FED">
        <w:t>Debjyoti</w:t>
      </w:r>
      <w:proofErr w:type="spellEnd"/>
      <w:r w:rsidRPr="00F01FED">
        <w:t xml:space="preserve"> Bhattacharya</w:t>
      </w:r>
      <w:r w:rsidRPr="00F01FED">
        <w:rPr>
          <w:vertAlign w:val="superscript"/>
        </w:rPr>
        <w:t>1</w:t>
      </w:r>
      <w:r w:rsidRPr="00F01FED">
        <w:t>,</w:t>
      </w:r>
      <w:r w:rsidRPr="005D5039">
        <w:t xml:space="preserve"> </w:t>
      </w:r>
      <w:r>
        <w:t>Nayeon Kang</w:t>
      </w:r>
      <w:r>
        <w:rPr>
          <w:vertAlign w:val="superscript"/>
        </w:rPr>
        <w:t>3</w:t>
      </w:r>
      <w:r>
        <w:t>,</w:t>
      </w:r>
      <w:r w:rsidRPr="00F157B1">
        <w:t xml:space="preserve"> </w:t>
      </w:r>
      <w:r w:rsidRPr="00F01FED">
        <w:t>Shankar Kunwar</w:t>
      </w:r>
      <w:r w:rsidRPr="00F01FED">
        <w:rPr>
          <w:vertAlign w:val="superscript"/>
        </w:rPr>
        <w:t>1</w:t>
      </w:r>
      <w:r>
        <w:t xml:space="preserve">, </w:t>
      </w:r>
      <w:r w:rsidR="00DE0FAF">
        <w:t>Shashank Priya</w:t>
      </w:r>
      <w:r w:rsidR="0077011D" w:rsidRPr="0077011D">
        <w:rPr>
          <w:vertAlign w:val="superscript"/>
        </w:rPr>
        <w:t>4</w:t>
      </w:r>
      <w:r w:rsidR="00DE0FAF">
        <w:t xml:space="preserve">, </w:t>
      </w:r>
      <w:proofErr w:type="spellStart"/>
      <w:r>
        <w:t>Jungho</w:t>
      </w:r>
      <w:proofErr w:type="spellEnd"/>
      <w:r>
        <w:t xml:space="preserve"> Ryu</w:t>
      </w:r>
      <w:r>
        <w:rPr>
          <w:vertAlign w:val="superscript"/>
        </w:rPr>
        <w:t>3</w:t>
      </w:r>
      <w:r>
        <w:t xml:space="preserve">, </w:t>
      </w:r>
      <w:r w:rsidRPr="00F01FED">
        <w:t>Wesley Reinhart</w:t>
      </w:r>
      <w:r w:rsidRPr="00F01FED">
        <w:rPr>
          <w:vertAlign w:val="superscript"/>
        </w:rPr>
        <w:t>1</w:t>
      </w:r>
      <w:r>
        <w:rPr>
          <w:vertAlign w:val="superscript"/>
        </w:rPr>
        <w:t>,2</w:t>
      </w:r>
      <w:r w:rsidR="00FA2163">
        <w:t xml:space="preserve">, </w:t>
      </w:r>
      <w:r w:rsidRPr="00F01FED">
        <w:t>Michael Lanagan</w:t>
      </w:r>
      <w:r w:rsidRPr="00F01FED">
        <w:rPr>
          <w:vertAlign w:val="superscript"/>
        </w:rPr>
        <w:t>1</w:t>
      </w:r>
      <w:r w:rsidRPr="00F01FED">
        <w:t xml:space="preserve"> and Bed Poudel</w:t>
      </w:r>
      <w:r w:rsidRPr="00F01FED">
        <w:rPr>
          <w:vertAlign w:val="superscript"/>
        </w:rPr>
        <w:t>1</w:t>
      </w:r>
      <w:r w:rsidR="00802D4B">
        <w:rPr>
          <w:vertAlign w:val="superscript"/>
        </w:rPr>
        <w:t>*</w:t>
      </w:r>
    </w:p>
    <w:p w14:paraId="5903F085" w14:textId="77777777" w:rsidR="00AD5D65" w:rsidRPr="00F01FED" w:rsidRDefault="00AD5D65" w:rsidP="00AD5D65">
      <w:pPr>
        <w:spacing w:line="360" w:lineRule="auto"/>
        <w:ind w:left="360"/>
        <w:jc w:val="center"/>
        <w:rPr>
          <w:vertAlign w:val="superscript"/>
        </w:rPr>
      </w:pPr>
    </w:p>
    <w:p w14:paraId="072F0C8A" w14:textId="77777777" w:rsidR="00AD5D65" w:rsidRDefault="00AD5D65" w:rsidP="00AD5D65">
      <w:pPr>
        <w:spacing w:line="360" w:lineRule="auto"/>
        <w:ind w:left="360"/>
        <w:jc w:val="center"/>
      </w:pPr>
      <w:r w:rsidRPr="00F01FED">
        <w:rPr>
          <w:vertAlign w:val="superscript"/>
        </w:rPr>
        <w:t>1</w:t>
      </w:r>
      <w:r>
        <w:rPr>
          <w:vertAlign w:val="superscript"/>
        </w:rPr>
        <w:t xml:space="preserve"> </w:t>
      </w:r>
      <w:r w:rsidRPr="00F01FED">
        <w:t>Department of Materials Engineering, The Pennsylvania State University, University Park, PA 1680</w:t>
      </w:r>
      <w:r>
        <w:t>2</w:t>
      </w:r>
    </w:p>
    <w:p w14:paraId="3300C507" w14:textId="77777777" w:rsidR="00AD5D65" w:rsidRPr="00F01FED" w:rsidRDefault="00AD5D65" w:rsidP="00AD5D65">
      <w:pPr>
        <w:spacing w:line="360" w:lineRule="auto"/>
        <w:ind w:left="360"/>
        <w:jc w:val="center"/>
      </w:pPr>
    </w:p>
    <w:p w14:paraId="3F936E8A" w14:textId="77777777" w:rsidR="00AD5D65" w:rsidRDefault="00AD5D65" w:rsidP="00AD5D65">
      <w:pPr>
        <w:spacing w:line="360" w:lineRule="auto"/>
        <w:ind w:left="360"/>
        <w:jc w:val="center"/>
      </w:pPr>
      <w:r w:rsidRPr="00F01FED">
        <w:rPr>
          <w:vertAlign w:val="superscript"/>
        </w:rPr>
        <w:t>2</w:t>
      </w:r>
      <w:r>
        <w:rPr>
          <w:vertAlign w:val="superscript"/>
        </w:rPr>
        <w:t xml:space="preserve"> </w:t>
      </w:r>
      <w:r>
        <w:t xml:space="preserve">Institute for Computational and Data Sciences, </w:t>
      </w:r>
      <w:r w:rsidRPr="00F01FED">
        <w:t>The Pennsylvania State University, University Park, PA 1680</w:t>
      </w:r>
      <w:r>
        <w:t>2</w:t>
      </w:r>
    </w:p>
    <w:p w14:paraId="16048B89" w14:textId="77777777" w:rsidR="00AD5D65" w:rsidRPr="003F7D30" w:rsidRDefault="00AD5D65" w:rsidP="00AD5D65">
      <w:pPr>
        <w:spacing w:line="360" w:lineRule="auto"/>
        <w:ind w:left="360"/>
        <w:jc w:val="center"/>
      </w:pPr>
    </w:p>
    <w:p w14:paraId="40226267" w14:textId="07D7EAB2" w:rsidR="007D5923" w:rsidRDefault="00AD5D65" w:rsidP="00AD5D65">
      <w:pPr>
        <w:spacing w:line="360" w:lineRule="auto"/>
        <w:ind w:left="360"/>
        <w:jc w:val="center"/>
      </w:pPr>
      <w:r w:rsidRPr="00CA240B">
        <w:rPr>
          <w:vertAlign w:val="superscript"/>
        </w:rPr>
        <w:t>3</w:t>
      </w:r>
      <w:r>
        <w:t xml:space="preserve"> </w:t>
      </w:r>
      <w:r w:rsidRPr="00B848C7">
        <w:t>School of Materials Science and Engineering</w:t>
      </w:r>
      <w:r>
        <w:t xml:space="preserve">, </w:t>
      </w:r>
      <w:proofErr w:type="spellStart"/>
      <w:r w:rsidRPr="00B848C7">
        <w:t>Yeungnam</w:t>
      </w:r>
      <w:proofErr w:type="spellEnd"/>
      <w:r w:rsidRPr="00B848C7">
        <w:t xml:space="preserve"> University</w:t>
      </w:r>
      <w:r>
        <w:t xml:space="preserve">, </w:t>
      </w:r>
      <w:proofErr w:type="spellStart"/>
      <w:r w:rsidRPr="00B848C7">
        <w:t>Gyeongsan</w:t>
      </w:r>
      <w:proofErr w:type="spellEnd"/>
      <w:r w:rsidRPr="00B848C7">
        <w:t xml:space="preserve"> 38541, Republic of Korea</w:t>
      </w:r>
    </w:p>
    <w:p w14:paraId="0FF1316D" w14:textId="77777777" w:rsidR="0077011D" w:rsidRDefault="0077011D" w:rsidP="00AD5D65">
      <w:pPr>
        <w:spacing w:line="360" w:lineRule="auto"/>
        <w:ind w:left="360"/>
        <w:jc w:val="center"/>
      </w:pPr>
    </w:p>
    <w:p w14:paraId="69430901" w14:textId="52E3EE66" w:rsidR="0077011D" w:rsidRDefault="0077011D" w:rsidP="00AD5D65">
      <w:pPr>
        <w:spacing w:line="360" w:lineRule="auto"/>
        <w:ind w:left="360"/>
        <w:jc w:val="center"/>
      </w:pPr>
      <w:r w:rsidRPr="0077011D">
        <w:rPr>
          <w:vertAlign w:val="superscript"/>
        </w:rPr>
        <w:t>4</w:t>
      </w:r>
      <w:r>
        <w:t xml:space="preserve"> </w:t>
      </w:r>
      <w:r w:rsidRPr="0077011D">
        <w:t>Department of Chemical Engineering and Materials Science</w:t>
      </w:r>
      <w:r>
        <w:t xml:space="preserve">, </w:t>
      </w:r>
      <w:r w:rsidRPr="0077011D">
        <w:t>University of Minnesota</w:t>
      </w:r>
      <w:r>
        <w:t xml:space="preserve">, </w:t>
      </w:r>
      <w:r w:rsidRPr="0077011D">
        <w:t>Minneapolis, MN 55455, USA</w:t>
      </w:r>
    </w:p>
    <w:p w14:paraId="76535779" w14:textId="7E7F75FC" w:rsidR="00AD5D65" w:rsidRDefault="00AD5D65" w:rsidP="00AD5D65">
      <w:pPr>
        <w:spacing w:line="360" w:lineRule="auto"/>
        <w:ind w:left="360"/>
        <w:jc w:val="center"/>
      </w:pPr>
    </w:p>
    <w:p w14:paraId="7ADE4C77" w14:textId="69FC7F12" w:rsidR="002A5D2B" w:rsidRDefault="002A5D2B" w:rsidP="00EB4A15">
      <w:pPr>
        <w:spacing w:line="360" w:lineRule="auto"/>
        <w:ind w:left="360"/>
        <w:rPr>
          <w:rFonts w:eastAsia="Malgun Gothic"/>
          <w:lang w:eastAsia="ko-KR"/>
        </w:rPr>
      </w:pPr>
      <w:r w:rsidRPr="0063165C">
        <w:rPr>
          <w:rFonts w:eastAsia="Malgun Gothic" w:hint="eastAsia"/>
          <w:b/>
          <w:bCs/>
          <w:lang w:eastAsia="ko-KR"/>
        </w:rPr>
        <w:t>T</w:t>
      </w:r>
      <w:r w:rsidRPr="0063165C">
        <w:rPr>
          <w:rFonts w:eastAsia="Malgun Gothic"/>
          <w:b/>
          <w:bCs/>
          <w:lang w:eastAsia="ko-KR"/>
        </w:rPr>
        <w:t xml:space="preserve">he Supporting information </w:t>
      </w:r>
      <w:proofErr w:type="gramStart"/>
      <w:r w:rsidRPr="0063165C">
        <w:rPr>
          <w:rFonts w:eastAsia="Malgun Gothic"/>
          <w:b/>
          <w:bCs/>
          <w:lang w:eastAsia="ko-KR"/>
        </w:rPr>
        <w:t>includes</w:t>
      </w:r>
      <w:r>
        <w:rPr>
          <w:rFonts w:eastAsia="Malgun Gothic"/>
          <w:lang w:eastAsia="ko-KR"/>
        </w:rPr>
        <w:t>;</w:t>
      </w:r>
      <w:proofErr w:type="gramEnd"/>
    </w:p>
    <w:p w14:paraId="769B51AF" w14:textId="732A7712" w:rsidR="00E325BE" w:rsidRPr="002D395F" w:rsidRDefault="002A5D2B" w:rsidP="002D395F">
      <w:pPr>
        <w:spacing w:line="360" w:lineRule="auto"/>
        <w:ind w:left="360"/>
        <w:jc w:val="both"/>
        <w:rPr>
          <w:i/>
          <w:iCs/>
        </w:rPr>
      </w:pPr>
      <w:r w:rsidRPr="00AC51B4">
        <w:rPr>
          <w:i/>
          <w:iCs/>
        </w:rPr>
        <w:t xml:space="preserve">S1. Prompts used for interacting with LLM </w:t>
      </w:r>
    </w:p>
    <w:p w14:paraId="5010FE30" w14:textId="69F0556C" w:rsidR="00FA065D" w:rsidRPr="00E325BE" w:rsidRDefault="002D395F" w:rsidP="00E325BE">
      <w:pPr>
        <w:spacing w:line="360" w:lineRule="auto"/>
        <w:ind w:left="360"/>
        <w:jc w:val="both"/>
        <w:rPr>
          <w:i/>
          <w:iCs/>
        </w:rPr>
      </w:pPr>
      <w:r>
        <w:rPr>
          <w:rFonts w:eastAsiaTheme="minorHAnsi"/>
          <w:kern w:val="2"/>
          <w:lang w:val="en-US" w:eastAsia="en-US"/>
          <w14:ligatures w14:val="standardContextual"/>
        </w:rPr>
        <w:t xml:space="preserve">     </w:t>
      </w:r>
      <w:r w:rsidR="00E325BE" w:rsidRPr="006B7DB2">
        <w:rPr>
          <w:rFonts w:eastAsiaTheme="minorHAnsi"/>
          <w:kern w:val="2"/>
          <w:lang w:val="en-US" w:eastAsia="en-US"/>
          <w14:ligatures w14:val="standardContextual"/>
        </w:rPr>
        <w:t xml:space="preserve">Table </w:t>
      </w:r>
      <w:r w:rsidR="00E325BE" w:rsidRPr="006B7DB2">
        <w:t>S</w:t>
      </w:r>
      <w:r w:rsidR="00E325BE" w:rsidRPr="006B7DB2">
        <w:rPr>
          <w:rFonts w:eastAsiaTheme="minorHAnsi"/>
          <w:i/>
          <w:iCs/>
          <w:kern w:val="2"/>
          <w:lang w:val="en-US" w:eastAsia="en-US"/>
          <w14:ligatures w14:val="standardContextual"/>
        </w:rPr>
        <w:fldChar w:fldCharType="begin"/>
      </w:r>
      <w:r w:rsidR="00E325BE" w:rsidRPr="006B7DB2">
        <w:rPr>
          <w:rFonts w:eastAsiaTheme="minorHAnsi"/>
          <w:kern w:val="2"/>
          <w:lang w:val="en-US" w:eastAsia="en-US"/>
          <w14:ligatures w14:val="standardContextual"/>
        </w:rPr>
        <w:instrText xml:space="preserve"> SEQ Table \* ARABIC </w:instrText>
      </w:r>
      <w:r w:rsidR="00E325BE" w:rsidRPr="006B7DB2">
        <w:rPr>
          <w:rFonts w:eastAsiaTheme="minorHAnsi"/>
          <w:i/>
          <w:iCs/>
          <w:kern w:val="2"/>
          <w:lang w:val="en-US" w:eastAsia="en-US"/>
          <w14:ligatures w14:val="standardContextual"/>
        </w:rPr>
        <w:fldChar w:fldCharType="separate"/>
      </w:r>
      <w:r w:rsidR="00E325BE" w:rsidRPr="006B7DB2">
        <w:rPr>
          <w:rFonts w:eastAsiaTheme="minorHAnsi"/>
          <w:noProof/>
          <w:kern w:val="2"/>
          <w:lang w:val="en-US" w:eastAsia="en-US"/>
          <w14:ligatures w14:val="standardContextual"/>
        </w:rPr>
        <w:t>1</w:t>
      </w:r>
      <w:r w:rsidR="00E325BE" w:rsidRPr="006B7DB2">
        <w:rPr>
          <w:rFonts w:eastAsiaTheme="minorHAnsi"/>
          <w:i/>
          <w:iCs/>
          <w:kern w:val="2"/>
          <w:lang w:val="en-US" w:eastAsia="en-US"/>
          <w14:ligatures w14:val="standardContextual"/>
        </w:rPr>
        <w:fldChar w:fldCharType="end"/>
      </w:r>
      <w:r w:rsidR="00E325BE" w:rsidRPr="006B7DB2">
        <w:rPr>
          <w:rFonts w:eastAsiaTheme="minorHAnsi"/>
          <w:kern w:val="2"/>
          <w:lang w:val="en-US" w:eastAsia="en-US"/>
          <w14:ligatures w14:val="standardContextual"/>
        </w:rPr>
        <w:t>: Detailed description of strategies used for prompting the model</w:t>
      </w:r>
    </w:p>
    <w:p w14:paraId="035D6F95" w14:textId="1867F2CE" w:rsidR="002A5D2B" w:rsidRDefault="002A5D2B" w:rsidP="00EB4A15">
      <w:pPr>
        <w:spacing w:line="360" w:lineRule="auto"/>
        <w:ind w:left="360"/>
        <w:jc w:val="both"/>
        <w:rPr>
          <w:i/>
          <w:iCs/>
        </w:rPr>
      </w:pPr>
      <w:r w:rsidRPr="00AC51B4">
        <w:rPr>
          <w:i/>
          <w:iCs/>
        </w:rPr>
        <w:t xml:space="preserve">S2. Measurement Setup and Design of MME device </w:t>
      </w:r>
    </w:p>
    <w:p w14:paraId="0E85B597" w14:textId="755D59B8" w:rsidR="006F69EA" w:rsidRDefault="002D395F" w:rsidP="00EB4A15">
      <w:pPr>
        <w:spacing w:line="360" w:lineRule="auto"/>
        <w:ind w:left="360"/>
        <w:jc w:val="both"/>
        <w:rPr>
          <w:i/>
          <w:iCs/>
        </w:rPr>
      </w:pPr>
      <w:r>
        <w:t xml:space="preserve">     </w:t>
      </w:r>
      <w:r w:rsidR="006F69EA">
        <w:t xml:space="preserve">Figure S1. Schematics of measurement setup used for DME and energy harvesting measurements along with </w:t>
      </w:r>
      <w:r w:rsidR="00DF6A19">
        <w:t>structure of device</w:t>
      </w:r>
    </w:p>
    <w:p w14:paraId="116D6D42" w14:textId="77777777" w:rsidR="008A058C" w:rsidRDefault="00E402A1" w:rsidP="008A058C">
      <w:pPr>
        <w:spacing w:line="360" w:lineRule="auto"/>
        <w:ind w:left="360"/>
        <w:jc w:val="both"/>
        <w:rPr>
          <w:i/>
          <w:iCs/>
        </w:rPr>
      </w:pPr>
      <w:r>
        <w:rPr>
          <w:i/>
          <w:iCs/>
        </w:rPr>
        <w:t xml:space="preserve">S3. </w:t>
      </w:r>
      <w:r w:rsidR="004B0417">
        <w:rPr>
          <w:i/>
          <w:iCs/>
        </w:rPr>
        <w:t>Dual Segregation and Manual Refinement</w:t>
      </w:r>
    </w:p>
    <w:p w14:paraId="17462DA5" w14:textId="29C42770" w:rsidR="008A058C" w:rsidRPr="0061648F" w:rsidRDefault="002D395F" w:rsidP="0061648F">
      <w:pPr>
        <w:spacing w:line="360" w:lineRule="auto"/>
        <w:ind w:left="360"/>
        <w:jc w:val="both"/>
      </w:pPr>
      <w:r>
        <w:t xml:space="preserve">     </w:t>
      </w:r>
      <w:r w:rsidR="0061648F" w:rsidRPr="003E6BE4">
        <w:t xml:space="preserve">Table S2 Top ordered multiphase composition predicted with an absolute value of </w:t>
      </w:r>
      <w:r w:rsidR="0061648F" w:rsidRPr="003E6BE4">
        <w:rPr>
          <w:i/>
        </w:rPr>
        <w:t>d</w:t>
      </w:r>
      <w:r w:rsidR="0061648F" w:rsidRPr="003E6BE4">
        <w:rPr>
          <w:i/>
          <w:vertAlign w:val="subscript"/>
        </w:rPr>
        <w:t>33</w:t>
      </w:r>
      <w:r w:rsidR="0061648F" w:rsidRPr="003E6BE4">
        <w:t xml:space="preserve"> and its respective microstructure.</w:t>
      </w:r>
    </w:p>
    <w:p w14:paraId="4387B7CC" w14:textId="5856D436" w:rsidR="00BB319F" w:rsidRPr="008A058C" w:rsidRDefault="002D395F" w:rsidP="008A058C">
      <w:pPr>
        <w:spacing w:line="360" w:lineRule="auto"/>
        <w:ind w:left="360"/>
        <w:jc w:val="both"/>
        <w:rPr>
          <w:i/>
          <w:iCs/>
        </w:rPr>
      </w:pPr>
      <w:r>
        <w:t xml:space="preserve">     </w:t>
      </w:r>
      <w:r w:rsidR="008A058C" w:rsidRPr="003E6BE4">
        <w:t>Table S3. List of compositions with low/moderate d</w:t>
      </w:r>
      <w:r w:rsidR="008A058C" w:rsidRPr="003E6BE4">
        <w:rPr>
          <w:vertAlign w:val="subscript"/>
        </w:rPr>
        <w:t>33</w:t>
      </w:r>
      <w:r w:rsidR="008A058C" w:rsidRPr="003E6BE4">
        <w:t xml:space="preserve">    </w:t>
      </w:r>
    </w:p>
    <w:p w14:paraId="42ED9977" w14:textId="5FC68282" w:rsidR="00821504" w:rsidRPr="00FC3CB2" w:rsidRDefault="002D395F" w:rsidP="00EB4A15">
      <w:pPr>
        <w:spacing w:line="360" w:lineRule="auto"/>
        <w:ind w:left="360"/>
        <w:jc w:val="both"/>
      </w:pPr>
      <w:r>
        <w:t xml:space="preserve">      </w:t>
      </w:r>
      <w:r w:rsidR="007128AC" w:rsidRPr="003E6BE4">
        <w:t>Figure S2. Comparison of C1 and C6 for</w:t>
      </w:r>
      <w:r w:rsidR="007128AC">
        <w:t xml:space="preserve"> </w:t>
      </w:r>
      <w:proofErr w:type="spellStart"/>
      <w:r w:rsidR="007128AC" w:rsidRPr="00FC3CB2">
        <w:rPr>
          <w:i/>
          <w:iCs/>
        </w:rPr>
        <w:t>εr</w:t>
      </w:r>
      <w:proofErr w:type="spellEnd"/>
      <w:r w:rsidR="007128AC" w:rsidRPr="00FC3CB2">
        <w:rPr>
          <w:i/>
          <w:iCs/>
        </w:rPr>
        <w:t xml:space="preserve"> </w:t>
      </w:r>
      <w:r w:rsidR="00FC3CB2">
        <w:rPr>
          <w:i/>
          <w:iCs/>
        </w:rPr>
        <w:t>–</w:t>
      </w:r>
      <w:r w:rsidR="007128AC" w:rsidRPr="00FC3CB2">
        <w:rPr>
          <w:i/>
          <w:iCs/>
        </w:rPr>
        <w:t xml:space="preserve"> </w:t>
      </w:r>
      <w:proofErr w:type="gramStart"/>
      <w:r w:rsidR="007128AC" w:rsidRPr="00FC3CB2">
        <w:rPr>
          <w:i/>
          <w:iCs/>
        </w:rPr>
        <w:t>T</w:t>
      </w:r>
      <w:r w:rsidR="00FC3CB2">
        <w:rPr>
          <w:i/>
          <w:iCs/>
        </w:rPr>
        <w:t xml:space="preserve"> </w:t>
      </w:r>
      <w:r w:rsidR="00FC3CB2">
        <w:t>,</w:t>
      </w:r>
      <w:proofErr w:type="gramEnd"/>
      <w:r w:rsidR="00FC3CB2">
        <w:t xml:space="preserve"> </w:t>
      </w:r>
      <w:r w:rsidR="00FC3CB2" w:rsidRPr="00FC3CB2">
        <w:rPr>
          <w:i/>
          <w:iCs/>
        </w:rPr>
        <w:t>P-E</w:t>
      </w:r>
      <w:r w:rsidR="00FC3CB2">
        <w:rPr>
          <w:i/>
          <w:iCs/>
        </w:rPr>
        <w:t xml:space="preserve"> </w:t>
      </w:r>
      <w:r w:rsidR="00FC3CB2" w:rsidRPr="00FC3CB2">
        <w:t>and</w:t>
      </w:r>
      <w:r w:rsidR="00FC3CB2">
        <w:rPr>
          <w:i/>
          <w:iCs/>
        </w:rPr>
        <w:t xml:space="preserve"> S-E </w:t>
      </w:r>
      <w:r w:rsidR="00FC3CB2" w:rsidRPr="00FC3CB2">
        <w:t>loop</w:t>
      </w:r>
    </w:p>
    <w:p w14:paraId="67D1807B" w14:textId="1972A93B" w:rsidR="00E402A1" w:rsidRDefault="00E402A1" w:rsidP="00EB4A15">
      <w:pPr>
        <w:spacing w:line="360" w:lineRule="auto"/>
        <w:ind w:left="360"/>
        <w:jc w:val="both"/>
        <w:rPr>
          <w:i/>
          <w:iCs/>
        </w:rPr>
      </w:pPr>
      <w:r>
        <w:rPr>
          <w:i/>
          <w:iCs/>
        </w:rPr>
        <w:t xml:space="preserve">S4. </w:t>
      </w:r>
      <w:r w:rsidR="00C53677">
        <w:rPr>
          <w:i/>
          <w:iCs/>
        </w:rPr>
        <w:t>Post -Hoc Analysis of Optimized Composition</w:t>
      </w:r>
    </w:p>
    <w:p w14:paraId="3903FF23" w14:textId="002A8C80" w:rsidR="00241712" w:rsidRDefault="00241712" w:rsidP="00EB4A15">
      <w:pPr>
        <w:spacing w:line="360" w:lineRule="auto"/>
        <w:ind w:left="360"/>
        <w:jc w:val="both"/>
      </w:pPr>
      <w:r>
        <w:t xml:space="preserve">      Figure S3: </w:t>
      </w:r>
      <w:r w:rsidRPr="557380F8">
        <w:rPr>
          <w:color w:val="000000" w:themeColor="text1"/>
        </w:rPr>
        <w:t xml:space="preserve">Three-step assessment of the DeepSeek-V3.2 model’s prediction performance. </w:t>
      </w:r>
      <w:r w:rsidR="003552E1">
        <w:t xml:space="preserve">      </w:t>
      </w:r>
    </w:p>
    <w:p w14:paraId="16E847C7" w14:textId="57080BB4" w:rsidR="003552E1" w:rsidRPr="00627452" w:rsidRDefault="00241712" w:rsidP="00627452">
      <w:pPr>
        <w:spacing w:line="360" w:lineRule="auto"/>
        <w:ind w:left="360"/>
        <w:jc w:val="both"/>
        <w:rPr>
          <w:rFonts w:eastAsiaTheme="minorHAnsi"/>
          <w:color w:val="000000"/>
          <w:kern w:val="2"/>
          <w:lang w:val="en-US" w:eastAsia="en-US"/>
          <w14:ligatures w14:val="standardContextual"/>
        </w:rPr>
      </w:pPr>
      <w:r>
        <w:rPr>
          <w:rFonts w:eastAsiaTheme="minorHAnsi"/>
          <w:kern w:val="2"/>
          <w:lang w:val="en-US" w:eastAsia="en-US"/>
          <w14:ligatures w14:val="standardContextual"/>
        </w:rPr>
        <w:t xml:space="preserve">      </w:t>
      </w:r>
      <w:r w:rsidR="00EF1439" w:rsidRPr="003E6BE4">
        <w:rPr>
          <w:rFonts w:eastAsiaTheme="minorHAnsi"/>
          <w:kern w:val="2"/>
          <w:lang w:val="en-US" w:eastAsia="en-US"/>
          <w14:ligatures w14:val="standardContextual"/>
        </w:rPr>
        <w:t>Figure S4: C</w:t>
      </w:r>
      <w:r w:rsidR="00EF1439" w:rsidRPr="003E6BE4">
        <w:rPr>
          <w:rFonts w:eastAsiaTheme="minorHAnsi"/>
          <w:color w:val="000000"/>
          <w:kern w:val="2"/>
          <w:lang w:val="en-US" w:eastAsia="en-US"/>
          <w14:ligatures w14:val="standardContextual"/>
        </w:rPr>
        <w:t xml:space="preserve">omparison of predicted </w:t>
      </w:r>
      <w:r w:rsidR="00EF1439" w:rsidRPr="000B438F">
        <w:rPr>
          <w:rFonts w:eastAsiaTheme="minorHAnsi"/>
          <w:i/>
          <w:iCs/>
          <w:color w:val="000000"/>
          <w:kern w:val="2"/>
          <w:lang w:val="en-US" w:eastAsia="en-US"/>
          <w14:ligatures w14:val="standardContextual"/>
        </w:rPr>
        <w:t>d</w:t>
      </w:r>
      <w:r w:rsidR="00EF1439" w:rsidRPr="000B438F">
        <w:rPr>
          <w:rFonts w:eastAsiaTheme="minorHAnsi"/>
          <w:i/>
          <w:iCs/>
          <w:color w:val="000000"/>
          <w:kern w:val="2"/>
          <w:vertAlign w:val="subscript"/>
          <w:lang w:val="en-US" w:eastAsia="en-US"/>
          <w14:ligatures w14:val="standardContextual"/>
        </w:rPr>
        <w:t>33</w:t>
      </w:r>
      <w:r w:rsidR="00EF1439" w:rsidRPr="003E6BE4">
        <w:rPr>
          <w:rFonts w:eastAsiaTheme="minorHAnsi"/>
          <w:color w:val="000000"/>
          <w:kern w:val="2"/>
          <w:lang w:val="en-US" w:eastAsia="en-US"/>
          <w14:ligatures w14:val="standardContextual"/>
        </w:rPr>
        <w:t xml:space="preserve"> for C1 and</w:t>
      </w:r>
      <w:r w:rsidR="00EF1439">
        <w:rPr>
          <w:rFonts w:eastAsiaTheme="minorHAnsi"/>
          <w:color w:val="000000"/>
          <w:kern w:val="2"/>
          <w:lang w:val="en-US" w:eastAsia="en-US"/>
          <w14:ligatures w14:val="standardContextual"/>
        </w:rPr>
        <w:t xml:space="preserve"> </w:t>
      </w:r>
      <w:r w:rsidR="00EF1439" w:rsidRPr="003E6BE4">
        <w:rPr>
          <w:rFonts w:eastAsiaTheme="minorHAnsi"/>
          <w:color w:val="000000"/>
          <w:kern w:val="2"/>
          <w:lang w:val="en-US" w:eastAsia="en-US"/>
          <w14:ligatures w14:val="standardContextual"/>
        </w:rPr>
        <w:t>C6 across multiple large language models (LLMs) in</w:t>
      </w:r>
      <w:r w:rsidR="000B438F">
        <w:rPr>
          <w:rFonts w:eastAsiaTheme="minorHAnsi"/>
          <w:color w:val="000000"/>
          <w:kern w:val="2"/>
          <w:lang w:val="en-US" w:eastAsia="en-US"/>
          <w14:ligatures w14:val="standardContextual"/>
        </w:rPr>
        <w:t xml:space="preserve"> </w:t>
      </w:r>
      <w:r w:rsidR="000B438F" w:rsidRPr="003E6BE4">
        <w:rPr>
          <w:rFonts w:eastAsiaTheme="minorHAnsi"/>
          <w:color w:val="000000"/>
          <w:kern w:val="2"/>
          <w:lang w:val="en-US" w:eastAsia="en-US"/>
          <w14:ligatures w14:val="standardContextual"/>
        </w:rPr>
        <w:t>a few-shot learning scenario.</w:t>
      </w:r>
      <w:r w:rsidR="000B438F">
        <w:rPr>
          <w:rFonts w:eastAsiaTheme="minorHAnsi"/>
          <w:color w:val="000000"/>
          <w:kern w:val="2"/>
          <w:lang w:val="en-US" w:eastAsia="en-US"/>
          <w14:ligatures w14:val="standardContextual"/>
        </w:rPr>
        <w:t xml:space="preserve"> </w:t>
      </w:r>
      <w:r w:rsidR="00EF1439" w:rsidRPr="003E6BE4">
        <w:rPr>
          <w:rFonts w:eastAsiaTheme="minorHAnsi"/>
          <w:color w:val="000000"/>
          <w:kern w:val="2"/>
          <w:lang w:val="en-US" w:eastAsia="en-US"/>
          <w14:ligatures w14:val="standardContextual"/>
        </w:rPr>
        <w:t xml:space="preserve"> </w:t>
      </w:r>
      <w:r w:rsidR="000B438F">
        <w:rPr>
          <w:rFonts w:eastAsiaTheme="minorHAnsi"/>
          <w:color w:val="000000"/>
          <w:kern w:val="2"/>
          <w:lang w:val="en-US" w:eastAsia="en-US"/>
          <w14:ligatures w14:val="standardContextual"/>
        </w:rPr>
        <w:t xml:space="preserve">      </w:t>
      </w:r>
    </w:p>
    <w:p w14:paraId="5D5D4CF2" w14:textId="71A2A00D" w:rsidR="00344CE2" w:rsidRDefault="00C53677" w:rsidP="00344CE2">
      <w:pPr>
        <w:spacing w:line="360" w:lineRule="auto"/>
        <w:ind w:left="360"/>
        <w:jc w:val="both"/>
        <w:rPr>
          <w:i/>
          <w:iCs/>
        </w:rPr>
      </w:pPr>
      <w:r>
        <w:rPr>
          <w:i/>
          <w:iCs/>
        </w:rPr>
        <w:lastRenderedPageBreak/>
        <w:t xml:space="preserve">S5. </w:t>
      </w:r>
      <w:r w:rsidR="008B19B3">
        <w:rPr>
          <w:i/>
          <w:iCs/>
        </w:rPr>
        <w:t>Microstructure and Phase Analysis of Optimized Composition</w:t>
      </w:r>
    </w:p>
    <w:p w14:paraId="4F34AD09" w14:textId="76F300B6" w:rsidR="00344CE2" w:rsidRDefault="00300735" w:rsidP="00344CE2">
      <w:pPr>
        <w:spacing w:line="360" w:lineRule="auto"/>
        <w:ind w:left="360"/>
        <w:jc w:val="both"/>
      </w:pPr>
      <w:r>
        <w:t xml:space="preserve">      </w:t>
      </w:r>
      <w:r w:rsidR="00BC231C">
        <w:t>Figure S5</w:t>
      </w:r>
      <w:r w:rsidR="00BC7318">
        <w:t xml:space="preserve">. </w:t>
      </w:r>
      <w:r w:rsidR="00045491" w:rsidRPr="00B07FEE">
        <w:t>Rietveld refinement analysis of random compositions</w:t>
      </w:r>
    </w:p>
    <w:p w14:paraId="32C2268F" w14:textId="6F890287" w:rsidR="00BC231C" w:rsidRDefault="00BC231C" w:rsidP="00344CE2">
      <w:pPr>
        <w:spacing w:line="360" w:lineRule="auto"/>
        <w:ind w:left="360"/>
        <w:jc w:val="both"/>
      </w:pPr>
      <w:r>
        <w:t xml:space="preserve">      Figure S6</w:t>
      </w:r>
      <w:r w:rsidR="00504BF5">
        <w:t xml:space="preserve">. </w:t>
      </w:r>
      <w:r w:rsidR="00504BF5" w:rsidRPr="00B07FEE">
        <w:t>SEM micrograph captured through backscattered detector</w:t>
      </w:r>
    </w:p>
    <w:p w14:paraId="54CC802B" w14:textId="3BF9DF7D" w:rsidR="00BC231C" w:rsidRPr="00300735" w:rsidRDefault="00BC231C" w:rsidP="00344CE2">
      <w:pPr>
        <w:spacing w:line="360" w:lineRule="auto"/>
        <w:ind w:left="360"/>
        <w:jc w:val="both"/>
      </w:pPr>
      <w:r>
        <w:t xml:space="preserve">      Figure S7</w:t>
      </w:r>
      <w:r w:rsidR="00504BF5">
        <w:t xml:space="preserve">. </w:t>
      </w:r>
      <w:r w:rsidR="003552E1" w:rsidRPr="00B07FEE">
        <w:t xml:space="preserve">Impedance </w:t>
      </w:r>
      <w:proofErr w:type="gramStart"/>
      <w:r w:rsidR="003552E1" w:rsidRPr="00B07FEE">
        <w:t>sweep</w:t>
      </w:r>
      <w:proofErr w:type="gramEnd"/>
      <w:r w:rsidR="003552E1" w:rsidRPr="00B07FEE">
        <w:t xml:space="preserve"> and its corresponding phase matching</w:t>
      </w:r>
    </w:p>
    <w:p w14:paraId="1B425AAC" w14:textId="708219F0" w:rsidR="00B76564" w:rsidRPr="0040219C" w:rsidRDefault="008B19B3" w:rsidP="0040219C">
      <w:pPr>
        <w:spacing w:line="360" w:lineRule="auto"/>
        <w:ind w:left="360"/>
        <w:jc w:val="both"/>
        <w:rPr>
          <w:i/>
          <w:iCs/>
        </w:rPr>
      </w:pPr>
      <w:r>
        <w:rPr>
          <w:i/>
          <w:iCs/>
        </w:rPr>
        <w:t xml:space="preserve">S6. </w:t>
      </w:r>
      <w:r w:rsidR="00FA065D">
        <w:rPr>
          <w:i/>
          <w:iCs/>
        </w:rPr>
        <w:t xml:space="preserve">Literature on DME and Energy Harvesting </w:t>
      </w:r>
    </w:p>
    <w:p w14:paraId="15ADF337" w14:textId="47E26CD3" w:rsidR="003A7EA9" w:rsidRDefault="003A7EA9" w:rsidP="00EB4A15">
      <w:pPr>
        <w:spacing w:line="360" w:lineRule="auto"/>
        <w:ind w:left="360"/>
        <w:jc w:val="both"/>
      </w:pPr>
      <w:r>
        <w:t xml:space="preserve">      Table S3. </w:t>
      </w:r>
      <w:r w:rsidR="006010F5" w:rsidRPr="003E6BE4">
        <w:t>Literature reports of Pb-free magnetoelectric composites and their α (DME)</w:t>
      </w:r>
    </w:p>
    <w:p w14:paraId="43328B2A" w14:textId="517FCB61" w:rsidR="006010F5" w:rsidRPr="00B76564" w:rsidRDefault="006010F5" w:rsidP="00EB4A15">
      <w:pPr>
        <w:spacing w:line="360" w:lineRule="auto"/>
        <w:ind w:left="360"/>
        <w:jc w:val="both"/>
      </w:pPr>
      <w:r>
        <w:t xml:space="preserve">      Table S4. </w:t>
      </w:r>
      <w:r w:rsidR="00344CE2" w:rsidRPr="003E6BE4">
        <w:t>Comparison of ME energy harvesting capabilities of Pb-free systems</w:t>
      </w:r>
    </w:p>
    <w:p w14:paraId="168941BC" w14:textId="77777777" w:rsidR="0078186E" w:rsidRPr="00EB4A15" w:rsidRDefault="0078186E" w:rsidP="00EB4A15">
      <w:pPr>
        <w:spacing w:line="360" w:lineRule="auto"/>
        <w:ind w:left="360"/>
        <w:rPr>
          <w:rFonts w:eastAsia="Malgun Gothic"/>
          <w:lang w:val="en-US" w:eastAsia="ko-KR"/>
        </w:rPr>
      </w:pPr>
    </w:p>
    <w:p w14:paraId="63F7DC11" w14:textId="478CC572" w:rsidR="002A5D2B" w:rsidRDefault="002A5D2B">
      <w:pPr>
        <w:ind w:left="720" w:hanging="360"/>
        <w:jc w:val="both"/>
        <w:rPr>
          <w:b/>
        </w:rPr>
      </w:pPr>
      <w:r>
        <w:rPr>
          <w:b/>
        </w:rPr>
        <w:br w:type="page"/>
      </w:r>
    </w:p>
    <w:p w14:paraId="084D7EDC" w14:textId="3A15F888" w:rsidR="00B20C5B" w:rsidRPr="00EB4A15" w:rsidRDefault="00174FC5" w:rsidP="00D3419A">
      <w:pPr>
        <w:spacing w:line="360" w:lineRule="auto"/>
        <w:ind w:left="360"/>
        <w:jc w:val="both"/>
        <w:rPr>
          <w:b/>
          <w:i/>
          <w:iCs/>
        </w:rPr>
      </w:pPr>
      <w:r w:rsidRPr="00EB4A15">
        <w:rPr>
          <w:b/>
          <w:i/>
          <w:iCs/>
        </w:rPr>
        <w:lastRenderedPageBreak/>
        <w:t>S1. Prompt</w:t>
      </w:r>
      <w:r w:rsidR="00B20C5B" w:rsidRPr="00EB4A15">
        <w:rPr>
          <w:b/>
          <w:i/>
          <w:iCs/>
        </w:rPr>
        <w:t>s used for interacting with LLM</w:t>
      </w:r>
      <w:r w:rsidRPr="00EB4A15">
        <w:rPr>
          <w:b/>
          <w:i/>
          <w:iCs/>
        </w:rPr>
        <w:t xml:space="preserve"> </w:t>
      </w:r>
    </w:p>
    <w:p w14:paraId="3D6B2A47" w14:textId="77777777" w:rsidR="002A38FC" w:rsidRPr="002A38FC" w:rsidRDefault="002A38FC" w:rsidP="00D3419A">
      <w:pPr>
        <w:spacing w:line="360" w:lineRule="auto"/>
        <w:ind w:left="360"/>
        <w:jc w:val="both"/>
        <w:rPr>
          <w:b/>
          <w:bCs/>
          <w:i/>
          <w:iCs/>
        </w:rPr>
      </w:pPr>
    </w:p>
    <w:p w14:paraId="1D0AD51F" w14:textId="77777777" w:rsidR="00174FC5" w:rsidRDefault="00174FC5" w:rsidP="00D3419A">
      <w:pPr>
        <w:spacing w:line="360" w:lineRule="auto"/>
        <w:ind w:left="360"/>
        <w:jc w:val="both"/>
        <w:rPr>
          <w:i/>
          <w:iCs/>
        </w:rPr>
      </w:pPr>
      <w:r w:rsidRPr="00B20C5B">
        <w:rPr>
          <w:i/>
          <w:iCs/>
        </w:rPr>
        <w:t xml:space="preserve">S 1.1. </w:t>
      </w:r>
      <w:r w:rsidR="00F73EEE" w:rsidRPr="00B20C5B">
        <w:rPr>
          <w:i/>
          <w:iCs/>
        </w:rPr>
        <w:t>user prompt used for composition generation</w:t>
      </w:r>
    </w:p>
    <w:p w14:paraId="1D58B067" w14:textId="77777777" w:rsidR="002A38FC" w:rsidRPr="00B20C5B" w:rsidRDefault="002A38FC" w:rsidP="00D3419A">
      <w:pPr>
        <w:spacing w:line="360" w:lineRule="auto"/>
        <w:ind w:left="360"/>
        <w:jc w:val="both"/>
        <w:rPr>
          <w:i/>
          <w:iCs/>
        </w:rPr>
      </w:pPr>
    </w:p>
    <w:p w14:paraId="43AC9F47" w14:textId="77777777" w:rsidR="00174FC5" w:rsidRDefault="00F73EEE" w:rsidP="00D3419A">
      <w:pPr>
        <w:spacing w:line="360" w:lineRule="auto"/>
        <w:ind w:left="360"/>
        <w:jc w:val="both"/>
      </w:pPr>
      <w:r w:rsidRPr="00F73EEE">
        <w:t xml:space="preserve">Given the following compositions and their d33 (piezoelectric constant) values: </w:t>
      </w:r>
    </w:p>
    <w:p w14:paraId="4708BA5B" w14:textId="77777777" w:rsidR="00174FC5" w:rsidRDefault="00F73EEE" w:rsidP="00D3419A">
      <w:pPr>
        <w:spacing w:line="360" w:lineRule="auto"/>
        <w:ind w:left="360"/>
        <w:jc w:val="both"/>
      </w:pPr>
      <w:r w:rsidRPr="00F73EEE">
        <w:t>{Examples of 10 compositions: d33 pairs}</w:t>
      </w:r>
    </w:p>
    <w:p w14:paraId="6E1B16E8" w14:textId="77777777" w:rsidR="00174FC5" w:rsidRDefault="00F73EEE" w:rsidP="00D3419A">
      <w:pPr>
        <w:spacing w:line="360" w:lineRule="auto"/>
        <w:ind w:left="360"/>
        <w:jc w:val="both"/>
      </w:pPr>
      <w:r w:rsidRPr="00F73EEE">
        <w:t>'{strategy}' to generate new compositions with the goal of achieving exceptionally high d33 values.</w:t>
      </w:r>
    </w:p>
    <w:p w14:paraId="27EBAC67" w14:textId="77777777" w:rsidR="00174FC5" w:rsidRDefault="00F73EEE" w:rsidP="00D3419A">
      <w:pPr>
        <w:spacing w:line="360" w:lineRule="auto"/>
        <w:ind w:left="360"/>
        <w:jc w:val="both"/>
      </w:pPr>
      <w:r w:rsidRPr="00F73EEE">
        <w:t>Provide exactly {n} new compositions in the following JSON format:</w:t>
      </w:r>
    </w:p>
    <w:p w14:paraId="29841F6E" w14:textId="77777777" w:rsidR="00174FC5" w:rsidRDefault="00F73EEE" w:rsidP="00D3419A">
      <w:pPr>
        <w:spacing w:line="360" w:lineRule="auto"/>
        <w:ind w:left="360"/>
        <w:jc w:val="both"/>
      </w:pPr>
      <w:r w:rsidRPr="00F73EEE">
        <w:rPr>
          <w:i/>
          <w:iCs/>
        </w:rPr>
        <w:t>{{</w:t>
      </w:r>
    </w:p>
    <w:p w14:paraId="2F16A02E" w14:textId="77777777" w:rsidR="00174FC5" w:rsidRDefault="00F73EEE" w:rsidP="00D3419A">
      <w:pPr>
        <w:spacing w:line="360" w:lineRule="auto"/>
        <w:ind w:left="360"/>
        <w:jc w:val="both"/>
      </w:pPr>
      <w:r w:rsidRPr="00183574">
        <w:rPr>
          <w:i/>
          <w:iCs/>
        </w:rPr>
        <w:t>"compositions": [</w:t>
      </w:r>
    </w:p>
    <w:p w14:paraId="047E4F19" w14:textId="77777777" w:rsidR="00B20C5B" w:rsidRDefault="00F73EEE" w:rsidP="00D3419A">
      <w:pPr>
        <w:spacing w:line="360" w:lineRule="auto"/>
        <w:ind w:left="360"/>
        <w:jc w:val="both"/>
      </w:pPr>
      <w:r w:rsidRPr="00183574">
        <w:rPr>
          <w:i/>
          <w:iCs/>
        </w:rPr>
        <w:t>{{</w:t>
      </w:r>
    </w:p>
    <w:p w14:paraId="06153C28" w14:textId="77777777" w:rsidR="00B20C5B" w:rsidRDefault="00F73EEE" w:rsidP="00D3419A">
      <w:pPr>
        <w:spacing w:line="360" w:lineRule="auto"/>
        <w:ind w:left="360"/>
        <w:jc w:val="both"/>
      </w:pPr>
      <w:r w:rsidRPr="00183574">
        <w:rPr>
          <w:i/>
          <w:iCs/>
        </w:rPr>
        <w:t>"d33": "&lt;estimated d33 value as an integer&gt;"</w:t>
      </w:r>
    </w:p>
    <w:p w14:paraId="1969CD8B" w14:textId="77777777" w:rsidR="00B20C5B" w:rsidRDefault="00F73EEE" w:rsidP="00D3419A">
      <w:pPr>
        <w:spacing w:line="360" w:lineRule="auto"/>
        <w:ind w:left="360"/>
        <w:jc w:val="both"/>
      </w:pPr>
      <w:r w:rsidRPr="00183574">
        <w:rPr>
          <w:i/>
          <w:iCs/>
        </w:rPr>
        <w:t>"composition": "&lt;new composition formula&gt;",</w:t>
      </w:r>
    </w:p>
    <w:p w14:paraId="6A3D3611" w14:textId="77777777" w:rsidR="00B20C5B" w:rsidRDefault="00F73EEE" w:rsidP="00D3419A">
      <w:pPr>
        <w:spacing w:line="360" w:lineRule="auto"/>
        <w:ind w:left="360"/>
        <w:jc w:val="both"/>
      </w:pPr>
      <w:r w:rsidRPr="00183574">
        <w:rPr>
          <w:i/>
          <w:iCs/>
        </w:rPr>
        <w:t xml:space="preserve">"reasoning": "&lt;brief explanation for why this composition might lead to a higher d33 value&gt;"  </w:t>
      </w:r>
    </w:p>
    <w:p w14:paraId="1055AA20" w14:textId="77777777" w:rsidR="00B20C5B" w:rsidRDefault="00F73EEE" w:rsidP="00D3419A">
      <w:pPr>
        <w:spacing w:line="360" w:lineRule="auto"/>
        <w:ind w:left="360"/>
        <w:jc w:val="both"/>
      </w:pPr>
      <w:r w:rsidRPr="00183574">
        <w:rPr>
          <w:i/>
          <w:iCs/>
        </w:rPr>
        <w:t>},</w:t>
      </w:r>
    </w:p>
    <w:p w14:paraId="2F99269A" w14:textId="77777777" w:rsidR="00B20C5B" w:rsidRDefault="00F73EEE" w:rsidP="00D3419A">
      <w:pPr>
        <w:spacing w:line="360" w:lineRule="auto"/>
        <w:ind w:left="360"/>
        <w:jc w:val="both"/>
      </w:pPr>
      <w:r w:rsidRPr="001D026A">
        <w:rPr>
          <w:i/>
          <w:iCs/>
        </w:rPr>
        <w:t>...</w:t>
      </w:r>
    </w:p>
    <w:p w14:paraId="4B16C357" w14:textId="1947105B" w:rsidR="00B20C5B" w:rsidRDefault="00F73EEE" w:rsidP="00D3419A">
      <w:pPr>
        <w:spacing w:line="360" w:lineRule="auto"/>
        <w:ind w:left="360"/>
        <w:jc w:val="both"/>
        <w:rPr>
          <w:i/>
          <w:iCs/>
        </w:rPr>
      </w:pPr>
      <w:r w:rsidRPr="001D026A">
        <w:rPr>
          <w:i/>
          <w:iCs/>
        </w:rPr>
        <w:t>}</w:t>
      </w:r>
    </w:p>
    <w:p w14:paraId="1FEEFAF5" w14:textId="77777777" w:rsidR="00BE759F" w:rsidRPr="00BE759F" w:rsidRDefault="00BE759F" w:rsidP="00D3419A">
      <w:pPr>
        <w:spacing w:line="360" w:lineRule="auto"/>
        <w:ind w:left="360"/>
        <w:jc w:val="both"/>
      </w:pPr>
    </w:p>
    <w:p w14:paraId="55476309" w14:textId="77777777" w:rsidR="00BE759F" w:rsidRPr="00B07FEE" w:rsidRDefault="00B20C5B" w:rsidP="00D3419A">
      <w:pPr>
        <w:pStyle w:val="Caption"/>
        <w:spacing w:line="360" w:lineRule="auto"/>
        <w:jc w:val="both"/>
        <w:rPr>
          <w:color w:val="auto"/>
          <w:sz w:val="24"/>
          <w:szCs w:val="24"/>
        </w:rPr>
      </w:pPr>
      <w:r w:rsidRPr="00B07FEE">
        <w:rPr>
          <w:color w:val="auto"/>
          <w:sz w:val="24"/>
          <w:szCs w:val="24"/>
        </w:rPr>
        <w:t>S1.2. system prompt comprising reasoning, rules related to composition generation, and output format requirements.</w:t>
      </w:r>
    </w:p>
    <w:p w14:paraId="413DB4F7" w14:textId="77777777" w:rsidR="00BE759F" w:rsidRPr="00BE759F" w:rsidRDefault="004B2ACA" w:rsidP="00D3419A">
      <w:pPr>
        <w:pStyle w:val="Caption"/>
        <w:spacing w:line="360" w:lineRule="auto"/>
        <w:jc w:val="both"/>
        <w:rPr>
          <w:rFonts w:eastAsiaTheme="minorHAnsi"/>
          <w:i w:val="0"/>
          <w:iCs w:val="0"/>
          <w:sz w:val="24"/>
          <w:szCs w:val="24"/>
        </w:rPr>
      </w:pPr>
      <w:r w:rsidRPr="00BE759F">
        <w:rPr>
          <w:i w:val="0"/>
          <w:iCs w:val="0"/>
          <w:sz w:val="24"/>
          <w:szCs w:val="24"/>
        </w:rPr>
        <w:t>Y</w:t>
      </w:r>
      <w:r w:rsidRPr="00BE759F">
        <w:rPr>
          <w:rFonts w:eastAsiaTheme="minorHAnsi"/>
          <w:i w:val="0"/>
          <w:iCs w:val="0"/>
          <w:sz w:val="24"/>
          <w:szCs w:val="24"/>
        </w:rPr>
        <w:t>ou are an expert in materials science and ceramic engineering that generates new compositions having tailored d33 values based on existing data.</w:t>
      </w:r>
    </w:p>
    <w:p w14:paraId="5B45B2CE" w14:textId="77777777" w:rsidR="00BE759F" w:rsidRPr="00BE759F" w:rsidRDefault="004B2ACA" w:rsidP="00D3419A">
      <w:pPr>
        <w:pStyle w:val="Caption"/>
        <w:spacing w:line="360" w:lineRule="auto"/>
        <w:jc w:val="both"/>
        <w:rPr>
          <w:rFonts w:eastAsiaTheme="minorHAnsi"/>
          <w:i w:val="0"/>
          <w:iCs w:val="0"/>
          <w:sz w:val="24"/>
          <w:szCs w:val="24"/>
        </w:rPr>
      </w:pPr>
      <w:r w:rsidRPr="00BE759F">
        <w:rPr>
          <w:rFonts w:eastAsiaTheme="minorHAnsi"/>
          <w:i w:val="0"/>
          <w:iCs w:val="0"/>
          <w:sz w:val="24"/>
          <w:szCs w:val="24"/>
        </w:rPr>
        <w:t>When generating new compositions, strictly adhere to the following template:</w:t>
      </w:r>
    </w:p>
    <w:p w14:paraId="429E61E9" w14:textId="5302138E" w:rsidR="004B2ACA" w:rsidRPr="00BE759F" w:rsidRDefault="00BE759F" w:rsidP="00D3419A">
      <w:pPr>
        <w:pStyle w:val="Caption"/>
        <w:spacing w:line="360" w:lineRule="auto"/>
        <w:jc w:val="both"/>
        <w:rPr>
          <w:b/>
          <w:i w:val="0"/>
          <w:iCs w:val="0"/>
          <w:sz w:val="24"/>
          <w:szCs w:val="24"/>
        </w:rPr>
      </w:pPr>
      <m:oMathPara>
        <m:oMath>
          <m:r>
            <w:rPr>
              <w:rFonts w:ascii="Cambria Math" w:hAnsi="Cambria Math"/>
              <w:sz w:val="24"/>
              <w:szCs w:val="24"/>
            </w:rPr>
            <m:t>(1-x-y-z-w){(</m:t>
          </m:r>
          <m:sSub>
            <m:sSubPr>
              <m:ctrlPr>
                <w:rPr>
                  <w:rFonts w:ascii="Cambria Math" w:eastAsiaTheme="minorHAnsi" w:hAnsi="Cambria Math"/>
                  <w:i w:val="0"/>
                  <w:iCs w:val="0"/>
                  <w:kern w:val="2"/>
                  <w:sz w:val="24"/>
                  <w:szCs w:val="24"/>
                  <w:lang w:val="en-US" w:eastAsia="en-US"/>
                  <w14:ligatures w14:val="standardContextual"/>
                </w:rPr>
              </m:ctrlPr>
            </m:sSubPr>
            <m:e>
              <m:r>
                <w:rPr>
                  <w:rFonts w:ascii="Cambria Math" w:hAnsi="Cambria Math"/>
                  <w:sz w:val="24"/>
                  <w:szCs w:val="24"/>
                </w:rPr>
                <m:t>K</m:t>
              </m:r>
            </m:e>
            <m:sub>
              <m:r>
                <w:rPr>
                  <w:rFonts w:ascii="Cambria Math" w:hAnsi="Cambria Math"/>
                  <w:sz w:val="24"/>
                  <w:szCs w:val="24"/>
                </w:rPr>
                <m:t>k</m:t>
              </m:r>
            </m:sub>
          </m:sSub>
          <m:r>
            <w:rPr>
              <w:rFonts w:ascii="Cambria Math" w:hAnsi="Cambria Math"/>
              <w:sz w:val="24"/>
              <w:szCs w:val="24"/>
            </w:rPr>
            <m:t>N</m:t>
          </m:r>
          <m:sSub>
            <m:sSubPr>
              <m:ctrlPr>
                <w:rPr>
                  <w:rFonts w:ascii="Cambria Math" w:eastAsiaTheme="minorHAnsi" w:hAnsi="Cambria Math"/>
                  <w:i w:val="0"/>
                  <w:iCs w:val="0"/>
                  <w:kern w:val="2"/>
                  <w:sz w:val="24"/>
                  <w:szCs w:val="24"/>
                  <w:lang w:val="en-US" w:eastAsia="en-US"/>
                  <w14:ligatures w14:val="standardContextual"/>
                </w:rPr>
              </m:ctrlPr>
            </m:sSubPr>
            <m:e>
              <m:r>
                <w:rPr>
                  <w:rFonts w:ascii="Cambria Math" w:hAnsi="Cambria Math"/>
                  <w:sz w:val="24"/>
                  <w:szCs w:val="24"/>
                </w:rPr>
                <m:t>a</m:t>
              </m:r>
            </m:e>
            <m:sub>
              <m:r>
                <w:rPr>
                  <w:rFonts w:ascii="Cambria Math" w:hAnsi="Cambria Math"/>
                  <w:sz w:val="24"/>
                  <w:szCs w:val="24"/>
                </w:rPr>
                <m:t>n</m:t>
              </m:r>
            </m:sub>
          </m:sSub>
          <m:r>
            <w:rPr>
              <w:rFonts w:ascii="Cambria Math" w:hAnsi="Cambria Math"/>
              <w:sz w:val="24"/>
              <w:szCs w:val="24"/>
            </w:rPr>
            <m:t>)(N</m:t>
          </m:r>
          <m:sSub>
            <m:sSubPr>
              <m:ctrlPr>
                <w:rPr>
                  <w:rFonts w:ascii="Cambria Math" w:eastAsiaTheme="minorHAnsi" w:hAnsi="Cambria Math"/>
                  <w:i w:val="0"/>
                  <w:iCs w:val="0"/>
                  <w:kern w:val="2"/>
                  <w:sz w:val="24"/>
                  <w:szCs w:val="24"/>
                  <w:lang w:val="en-US" w:eastAsia="en-US"/>
                  <w14:ligatures w14:val="standardContextual"/>
                </w:rPr>
              </m:ctrlPr>
            </m:sSubPr>
            <m:e>
              <m:r>
                <w:rPr>
                  <w:rFonts w:ascii="Cambria Math" w:hAnsi="Cambria Math"/>
                  <w:sz w:val="24"/>
                  <w:szCs w:val="24"/>
                </w:rPr>
                <m:t>b</m:t>
              </m:r>
            </m:e>
            <m:sub>
              <m:r>
                <w:rPr>
                  <w:rFonts w:ascii="Cambria Math" w:hAnsi="Cambria Math"/>
                  <w:sz w:val="24"/>
                  <w:szCs w:val="24"/>
                </w:rPr>
                <m:t>b</m:t>
              </m:r>
            </m:sub>
          </m:sSub>
          <m:r>
            <w:rPr>
              <w:rFonts w:ascii="Cambria Math" w:hAnsi="Cambria Math"/>
              <w:sz w:val="24"/>
              <w:szCs w:val="24"/>
            </w:rPr>
            <m:t>S</m:t>
          </m:r>
          <m:sSub>
            <m:sSubPr>
              <m:ctrlPr>
                <w:rPr>
                  <w:rFonts w:ascii="Cambria Math" w:eastAsiaTheme="minorHAnsi" w:hAnsi="Cambria Math"/>
                  <w:i w:val="0"/>
                  <w:iCs w:val="0"/>
                  <w:kern w:val="2"/>
                  <w:sz w:val="24"/>
                  <w:szCs w:val="24"/>
                  <w:lang w:val="en-US" w:eastAsia="en-US"/>
                  <w14:ligatures w14:val="standardContextual"/>
                </w:rPr>
              </m:ctrlPr>
            </m:sSubPr>
            <m:e>
              <m:r>
                <w:rPr>
                  <w:rFonts w:ascii="Cambria Math" w:hAnsi="Cambria Math"/>
                  <w:sz w:val="24"/>
                  <w:szCs w:val="24"/>
                </w:rPr>
                <m:t>b</m:t>
              </m:r>
            </m:e>
            <m:sub>
              <m:r>
                <w:rPr>
                  <w:rFonts w:ascii="Cambria Math" w:hAnsi="Cambria Math"/>
                  <w:sz w:val="24"/>
                  <w:szCs w:val="24"/>
                </w:rPr>
                <m:t>s</m:t>
              </m:r>
            </m:sub>
          </m:sSub>
          <m:r>
            <w:rPr>
              <w:rFonts w:ascii="Cambria Math" w:hAnsi="Cambria Math"/>
              <w:sz w:val="24"/>
              <w:szCs w:val="24"/>
            </w:rPr>
            <m:t>)</m:t>
          </m:r>
          <m:sSub>
            <m:sSubPr>
              <m:ctrlPr>
                <w:rPr>
                  <w:rFonts w:ascii="Cambria Math" w:eastAsiaTheme="minorHAnsi" w:hAnsi="Cambria Math"/>
                  <w:i w:val="0"/>
                  <w:iCs w:val="0"/>
                  <w:kern w:val="2"/>
                  <w:sz w:val="24"/>
                  <w:szCs w:val="24"/>
                  <w:lang w:val="en-US" w:eastAsia="en-US"/>
                  <w14:ligatures w14:val="standardContextual"/>
                </w:rPr>
              </m:ctrlPr>
            </m:sSubPr>
            <m:e>
              <m:r>
                <w:rPr>
                  <w:rFonts w:ascii="Cambria Math" w:hAnsi="Cambria Math"/>
                  <w:sz w:val="24"/>
                  <w:szCs w:val="24"/>
                </w:rPr>
                <m:t>O</m:t>
              </m:r>
            </m:e>
            <m:sub>
              <m:r>
                <w:rPr>
                  <w:rFonts w:ascii="Cambria Math" w:hAnsi="Cambria Math"/>
                  <w:sz w:val="24"/>
                  <w:szCs w:val="24"/>
                </w:rPr>
                <m:t>3</m:t>
              </m:r>
            </m:sub>
          </m:sSub>
          <m:r>
            <w:rPr>
              <w:rFonts w:ascii="Cambria Math" w:hAnsi="Cambria Math"/>
              <w:sz w:val="24"/>
              <w:szCs w:val="24"/>
            </w:rPr>
            <m:t>}-x(B</m:t>
          </m:r>
          <m:sSub>
            <m:sSubPr>
              <m:ctrlPr>
                <w:rPr>
                  <w:rFonts w:ascii="Cambria Math" w:eastAsiaTheme="minorHAnsi" w:hAnsi="Cambria Math"/>
                  <w:i w:val="0"/>
                  <w:iCs w:val="0"/>
                  <w:kern w:val="2"/>
                  <w:sz w:val="24"/>
                  <w:szCs w:val="24"/>
                  <w:lang w:val="en-US" w:eastAsia="en-US"/>
                  <w14:ligatures w14:val="standardContextual"/>
                </w:rPr>
              </m:ctrlPr>
            </m:sSubPr>
            <m:e>
              <m:r>
                <w:rPr>
                  <w:rFonts w:ascii="Cambria Math" w:hAnsi="Cambria Math"/>
                  <w:sz w:val="24"/>
                  <w:szCs w:val="24"/>
                </w:rPr>
                <m:t>i</m:t>
              </m:r>
            </m:e>
            <m:sub>
              <m:r>
                <w:rPr>
                  <w:rFonts w:ascii="Cambria Math" w:hAnsi="Cambria Math"/>
                  <w:sz w:val="24"/>
                  <w:szCs w:val="24"/>
                </w:rPr>
                <m:t>b1</m:t>
              </m:r>
            </m:sub>
          </m:sSub>
          <m:r>
            <w:rPr>
              <w:rFonts w:ascii="Cambria Math" w:hAnsi="Cambria Math"/>
              <w:sz w:val="24"/>
              <w:szCs w:val="24"/>
            </w:rPr>
            <m:t>N</m:t>
          </m:r>
          <m:sSub>
            <m:sSubPr>
              <m:ctrlPr>
                <w:rPr>
                  <w:rFonts w:ascii="Cambria Math" w:eastAsiaTheme="minorHAnsi" w:hAnsi="Cambria Math"/>
                  <w:i w:val="0"/>
                  <w:iCs w:val="0"/>
                  <w:kern w:val="2"/>
                  <w:sz w:val="24"/>
                  <w:szCs w:val="24"/>
                  <w:lang w:val="en-US" w:eastAsia="en-US"/>
                  <w14:ligatures w14:val="standardContextual"/>
                </w:rPr>
              </m:ctrlPr>
            </m:sSubPr>
            <m:e>
              <m:r>
                <w:rPr>
                  <w:rFonts w:ascii="Cambria Math" w:hAnsi="Cambria Math"/>
                  <w:sz w:val="24"/>
                  <w:szCs w:val="24"/>
                </w:rPr>
                <m:t>a</m:t>
              </m:r>
            </m:e>
            <m:sub>
              <m:r>
                <w:rPr>
                  <w:rFonts w:ascii="Cambria Math" w:hAnsi="Cambria Math"/>
                  <w:sz w:val="24"/>
                  <w:szCs w:val="24"/>
                </w:rPr>
                <m:t>a2</m:t>
              </m:r>
            </m:sub>
          </m:sSub>
          <m:r>
            <w:rPr>
              <w:rFonts w:ascii="Cambria Math" w:hAnsi="Cambria Math"/>
              <w:sz w:val="24"/>
              <w:szCs w:val="24"/>
            </w:rPr>
            <m:t>)</m:t>
          </m:r>
          <m:sSub>
            <m:sSubPr>
              <m:ctrlPr>
                <w:rPr>
                  <w:rFonts w:ascii="Cambria Math" w:eastAsiaTheme="minorHAnsi" w:hAnsi="Cambria Math"/>
                  <w:i w:val="0"/>
                  <w:iCs w:val="0"/>
                  <w:kern w:val="2"/>
                  <w:sz w:val="24"/>
                  <w:szCs w:val="24"/>
                  <w:lang w:val="en-US" w:eastAsia="en-US"/>
                  <w14:ligatures w14:val="standardContextual"/>
                </w:rPr>
              </m:ctrlPr>
            </m:sSubPr>
            <m:e>
              <m:r>
                <w:rPr>
                  <w:rFonts w:ascii="Cambria Math" w:hAnsi="Cambria Math"/>
                  <w:sz w:val="24"/>
                  <w:szCs w:val="24"/>
                </w:rPr>
                <m:t>K</m:t>
              </m:r>
            </m:e>
            <m:sub>
              <m:r>
                <w:rPr>
                  <w:rFonts w:ascii="Cambria Math" w:hAnsi="Cambria Math"/>
                  <w:sz w:val="24"/>
                  <w:szCs w:val="24"/>
                </w:rPr>
                <m:t>k2</m:t>
              </m:r>
            </m:sub>
          </m:sSub>
          <m:r>
            <w:rPr>
              <w:rFonts w:ascii="Cambria Math" w:hAnsi="Cambria Math"/>
              <w:sz w:val="24"/>
              <w:szCs w:val="24"/>
            </w:rPr>
            <m:t>(Z</m:t>
          </m:r>
          <m:sSub>
            <m:sSubPr>
              <m:ctrlPr>
                <w:rPr>
                  <w:rFonts w:ascii="Cambria Math" w:eastAsiaTheme="minorHAnsi" w:hAnsi="Cambria Math"/>
                  <w:i w:val="0"/>
                  <w:iCs w:val="0"/>
                  <w:kern w:val="2"/>
                  <w:sz w:val="24"/>
                  <w:szCs w:val="24"/>
                  <w:lang w:val="en-US" w:eastAsia="en-US"/>
                  <w14:ligatures w14:val="standardContextual"/>
                </w:rPr>
              </m:ctrlPr>
            </m:sSubPr>
            <m:e>
              <m:r>
                <w:rPr>
                  <w:rFonts w:ascii="Cambria Math" w:hAnsi="Cambria Math"/>
                  <w:sz w:val="24"/>
                  <w:szCs w:val="24"/>
                </w:rPr>
                <m:t>r</m:t>
              </m:r>
            </m:e>
            <m:sub>
              <m:r>
                <w:rPr>
                  <w:rFonts w:ascii="Cambria Math" w:hAnsi="Cambria Math"/>
                  <w:sz w:val="24"/>
                  <w:szCs w:val="24"/>
                </w:rPr>
                <m:t>z</m:t>
              </m:r>
            </m:sub>
          </m:sSub>
          <m:r>
            <w:rPr>
              <w:rFonts w:ascii="Cambria Math" w:hAnsi="Cambria Math"/>
              <w:sz w:val="24"/>
              <w:szCs w:val="24"/>
            </w:rPr>
            <m:t>T</m:t>
          </m:r>
          <m:sSub>
            <m:sSubPr>
              <m:ctrlPr>
                <w:rPr>
                  <w:rFonts w:ascii="Cambria Math" w:eastAsiaTheme="minorHAnsi" w:hAnsi="Cambria Math"/>
                  <w:i w:val="0"/>
                  <w:iCs w:val="0"/>
                  <w:kern w:val="2"/>
                  <w:sz w:val="24"/>
                  <w:szCs w:val="24"/>
                  <w:lang w:val="en-US" w:eastAsia="en-US"/>
                  <w14:ligatures w14:val="standardContextual"/>
                </w:rPr>
              </m:ctrlPr>
            </m:sSubPr>
            <m:e>
              <m:r>
                <w:rPr>
                  <w:rFonts w:ascii="Cambria Math" w:hAnsi="Cambria Math"/>
                  <w:sz w:val="24"/>
                  <w:szCs w:val="24"/>
                </w:rPr>
                <m:t>i</m:t>
              </m:r>
            </m:e>
            <m:sub>
              <m:r>
                <w:rPr>
                  <w:rFonts w:ascii="Cambria Math" w:hAnsi="Cambria Math"/>
                  <w:sz w:val="24"/>
                  <w:szCs w:val="24"/>
                </w:rPr>
                <m:t>t</m:t>
              </m:r>
            </m:sub>
          </m:sSub>
          <m:r>
            <w:rPr>
              <w:rFonts w:ascii="Cambria Math" w:hAnsi="Cambria Math"/>
              <w:sz w:val="24"/>
              <w:szCs w:val="24"/>
            </w:rPr>
            <m:t>H</m:t>
          </m:r>
          <m:sSub>
            <m:sSubPr>
              <m:ctrlPr>
                <w:rPr>
                  <w:rFonts w:ascii="Cambria Math" w:eastAsiaTheme="minorHAnsi" w:hAnsi="Cambria Math"/>
                  <w:i w:val="0"/>
                  <w:iCs w:val="0"/>
                  <w:kern w:val="2"/>
                  <w:sz w:val="24"/>
                  <w:szCs w:val="24"/>
                  <w:lang w:val="en-US" w:eastAsia="en-US"/>
                  <w14:ligatures w14:val="standardContextual"/>
                </w:rPr>
              </m:ctrlPr>
            </m:sSubPr>
            <m:e>
              <m:r>
                <w:rPr>
                  <w:rFonts w:ascii="Cambria Math" w:hAnsi="Cambria Math"/>
                  <w:sz w:val="24"/>
                  <w:szCs w:val="24"/>
                </w:rPr>
                <m:t>f</m:t>
              </m:r>
            </m:e>
            <m:sub>
              <m:r>
                <w:rPr>
                  <w:rFonts w:ascii="Cambria Math" w:hAnsi="Cambria Math"/>
                  <w:sz w:val="24"/>
                  <w:szCs w:val="24"/>
                </w:rPr>
                <m:t>h</m:t>
              </m:r>
            </m:sub>
          </m:sSub>
          <m:r>
            <w:rPr>
              <w:rFonts w:ascii="Cambria Math" w:hAnsi="Cambria Math"/>
              <w:sz w:val="24"/>
              <w:szCs w:val="24"/>
            </w:rPr>
            <m:t>)</m:t>
          </m:r>
          <m:sSub>
            <m:sSubPr>
              <m:ctrlPr>
                <w:rPr>
                  <w:rFonts w:ascii="Cambria Math" w:eastAsiaTheme="minorHAnsi" w:hAnsi="Cambria Math"/>
                  <w:i w:val="0"/>
                  <w:iCs w:val="0"/>
                  <w:kern w:val="2"/>
                  <w:sz w:val="24"/>
                  <w:szCs w:val="24"/>
                  <w:lang w:val="en-US" w:eastAsia="en-US"/>
                  <w14:ligatures w14:val="standardContextual"/>
                </w:rPr>
              </m:ctrlPr>
            </m:sSubPr>
            <m:e>
              <m:r>
                <w:rPr>
                  <w:rFonts w:ascii="Cambria Math" w:hAnsi="Cambria Math"/>
                  <w:sz w:val="24"/>
                  <w:szCs w:val="24"/>
                </w:rPr>
                <m:t>O</m:t>
              </m:r>
            </m:e>
            <m:sub>
              <m:r>
                <w:rPr>
                  <w:rFonts w:ascii="Cambria Math" w:hAnsi="Cambria Math"/>
                  <w:sz w:val="24"/>
                  <w:szCs w:val="24"/>
                </w:rPr>
                <m:t>3</m:t>
              </m:r>
            </m:sub>
          </m:sSub>
          <m:r>
            <w:rPr>
              <w:rFonts w:ascii="Cambria Math" w:hAnsi="Cambria Math"/>
              <w:sz w:val="24"/>
              <w:szCs w:val="24"/>
            </w:rPr>
            <m:t>-y(</m:t>
          </m:r>
          <m:sSub>
            <m:sSubPr>
              <m:ctrlPr>
                <w:rPr>
                  <w:rFonts w:ascii="Cambria Math" w:eastAsiaTheme="minorHAnsi" w:hAnsi="Cambria Math"/>
                  <w:i w:val="0"/>
                  <w:iCs w:val="0"/>
                  <w:kern w:val="2"/>
                  <w:sz w:val="24"/>
                  <w:szCs w:val="24"/>
                  <w:lang w:val="en-US" w:eastAsia="en-US"/>
                  <w14:ligatures w14:val="standardContextual"/>
                </w:rPr>
              </m:ctrlPr>
            </m:sSubPr>
            <m:e>
              <m:r>
                <w:rPr>
                  <w:rFonts w:ascii="Cambria Math" w:hAnsi="Cambria Math"/>
                  <w:sz w:val="24"/>
                  <w:szCs w:val="24"/>
                </w:rPr>
                <m:t>A</m:t>
              </m:r>
            </m:e>
            <m:sub>
              <m:r>
                <w:rPr>
                  <w:rFonts w:ascii="Cambria Math" w:hAnsi="Cambria Math"/>
                  <w:sz w:val="24"/>
                  <w:szCs w:val="24"/>
                </w:rPr>
                <m:t>a1</m:t>
              </m:r>
            </m:sub>
          </m:sSub>
          <m:sSub>
            <m:sSubPr>
              <m:ctrlPr>
                <w:rPr>
                  <w:rFonts w:ascii="Cambria Math" w:eastAsiaTheme="minorHAnsi" w:hAnsi="Cambria Math"/>
                  <w:i w:val="0"/>
                  <w:iCs w:val="0"/>
                  <w:kern w:val="2"/>
                  <w:sz w:val="24"/>
                  <w:szCs w:val="24"/>
                  <w:lang w:val="en-US" w:eastAsia="en-US"/>
                  <w14:ligatures w14:val="standardContextual"/>
                </w:rPr>
              </m:ctrlPr>
            </m:sSubPr>
            <m:e>
              <m:r>
                <w:rPr>
                  <w:rFonts w:ascii="Cambria Math" w:hAnsi="Cambria Math"/>
                  <w:sz w:val="24"/>
                  <w:szCs w:val="24"/>
                </w:rPr>
                <m:t>B</m:t>
              </m:r>
            </m:e>
            <m:sub>
              <m:r>
                <w:rPr>
                  <w:rFonts w:ascii="Cambria Math" w:hAnsi="Cambria Math"/>
                  <w:sz w:val="24"/>
                  <w:szCs w:val="24"/>
                </w:rPr>
                <m:t>b1</m:t>
              </m:r>
            </m:sub>
          </m:sSub>
          <m:r>
            <w:rPr>
              <w:rFonts w:ascii="Cambria Math" w:hAnsi="Cambria Math"/>
              <w:sz w:val="24"/>
              <w:szCs w:val="24"/>
            </w:rPr>
            <m:t>)</m:t>
          </m:r>
          <m:sSub>
            <m:sSubPr>
              <m:ctrlPr>
                <w:rPr>
                  <w:rFonts w:ascii="Cambria Math" w:eastAsiaTheme="minorHAnsi" w:hAnsi="Cambria Math"/>
                  <w:i w:val="0"/>
                  <w:iCs w:val="0"/>
                  <w:kern w:val="2"/>
                  <w:sz w:val="24"/>
                  <w:szCs w:val="24"/>
                  <w:lang w:val="en-US" w:eastAsia="en-US"/>
                  <w14:ligatures w14:val="standardContextual"/>
                </w:rPr>
              </m:ctrlPr>
            </m:sSubPr>
            <m:e>
              <m:r>
                <w:rPr>
                  <w:rFonts w:ascii="Cambria Math" w:hAnsi="Cambria Math"/>
                  <w:sz w:val="24"/>
                  <w:szCs w:val="24"/>
                </w:rPr>
                <m:t>O</m:t>
              </m:r>
            </m:e>
            <m:sub>
              <m:r>
                <w:rPr>
                  <w:rFonts w:ascii="Cambria Math" w:hAnsi="Cambria Math"/>
                  <w:sz w:val="24"/>
                  <w:szCs w:val="24"/>
                </w:rPr>
                <m:t>3</m:t>
              </m:r>
            </m:sub>
          </m:sSub>
          <m:r>
            <w:rPr>
              <w:rFonts w:ascii="Cambria Math" w:hAnsi="Cambria Math"/>
              <w:sz w:val="24"/>
              <w:szCs w:val="24"/>
            </w:rPr>
            <m:t>-z(</m:t>
          </m:r>
          <m:sSub>
            <m:sSubPr>
              <m:ctrlPr>
                <w:rPr>
                  <w:rFonts w:ascii="Cambria Math" w:eastAsiaTheme="minorHAnsi" w:hAnsi="Cambria Math"/>
                  <w:i w:val="0"/>
                  <w:iCs w:val="0"/>
                  <w:kern w:val="2"/>
                  <w:sz w:val="24"/>
                  <w:szCs w:val="24"/>
                  <w:lang w:val="en-US" w:eastAsia="en-US"/>
                  <w14:ligatures w14:val="standardContextual"/>
                </w:rPr>
              </m:ctrlPr>
            </m:sSubPr>
            <m:e>
              <m:r>
                <w:rPr>
                  <w:rFonts w:ascii="Cambria Math" w:hAnsi="Cambria Math"/>
                  <w:sz w:val="24"/>
                  <w:szCs w:val="24"/>
                </w:rPr>
                <m:t>C</m:t>
              </m:r>
            </m:e>
            <m:sub>
              <m:r>
                <w:rPr>
                  <w:rFonts w:ascii="Cambria Math" w:hAnsi="Cambria Math"/>
                  <w:sz w:val="24"/>
                  <w:szCs w:val="24"/>
                </w:rPr>
                <m:t>a3</m:t>
              </m:r>
            </m:sub>
          </m:sSub>
          <m:sSub>
            <m:sSubPr>
              <m:ctrlPr>
                <w:rPr>
                  <w:rFonts w:ascii="Cambria Math" w:eastAsiaTheme="minorHAnsi" w:hAnsi="Cambria Math"/>
                  <w:i w:val="0"/>
                  <w:iCs w:val="0"/>
                  <w:kern w:val="2"/>
                  <w:sz w:val="24"/>
                  <w:szCs w:val="24"/>
                  <w:lang w:val="en-US" w:eastAsia="en-US"/>
                  <w14:ligatures w14:val="standardContextual"/>
                </w:rPr>
              </m:ctrlPr>
            </m:sSubPr>
            <m:e>
              <m:r>
                <w:rPr>
                  <w:rFonts w:ascii="Cambria Math" w:hAnsi="Cambria Math"/>
                  <w:sz w:val="24"/>
                  <w:szCs w:val="24"/>
                </w:rPr>
                <m:t>B</m:t>
              </m:r>
            </m:e>
            <m:sub>
              <m:r>
                <w:rPr>
                  <w:rFonts w:ascii="Cambria Math" w:hAnsi="Cambria Math"/>
                  <w:sz w:val="24"/>
                  <w:szCs w:val="24"/>
                </w:rPr>
                <m:t>b3</m:t>
              </m:r>
            </m:sub>
          </m:sSub>
          <m:r>
            <w:rPr>
              <w:rFonts w:ascii="Cambria Math" w:hAnsi="Cambria Math"/>
              <w:sz w:val="24"/>
              <w:szCs w:val="24"/>
            </w:rPr>
            <m:t>)</m:t>
          </m:r>
          <m:sSub>
            <m:sSubPr>
              <m:ctrlPr>
                <w:rPr>
                  <w:rFonts w:ascii="Cambria Math" w:eastAsiaTheme="minorHAnsi" w:hAnsi="Cambria Math"/>
                  <w:i w:val="0"/>
                  <w:iCs w:val="0"/>
                  <w:kern w:val="2"/>
                  <w:sz w:val="24"/>
                  <w:szCs w:val="24"/>
                  <w:lang w:val="en-US" w:eastAsia="en-US"/>
                  <w14:ligatures w14:val="standardContextual"/>
                </w:rPr>
              </m:ctrlPr>
            </m:sSubPr>
            <m:e>
              <m:r>
                <w:rPr>
                  <w:rFonts w:ascii="Cambria Math" w:hAnsi="Cambria Math"/>
                  <w:sz w:val="24"/>
                  <w:szCs w:val="24"/>
                </w:rPr>
                <m:t>O</m:t>
              </m:r>
            </m:e>
            <m:sub>
              <m:r>
                <w:rPr>
                  <w:rFonts w:ascii="Cambria Math" w:hAnsi="Cambria Math"/>
                  <w:sz w:val="24"/>
                  <w:szCs w:val="24"/>
                </w:rPr>
                <m:t>3</m:t>
              </m:r>
            </m:sub>
          </m:sSub>
          <m:r>
            <w:rPr>
              <w:rFonts w:ascii="Cambria Math" w:hAnsi="Cambria Math"/>
              <w:sz w:val="24"/>
              <w:szCs w:val="24"/>
            </w:rPr>
            <m:t>-w(</m:t>
          </m:r>
          <m:sSub>
            <m:sSubPr>
              <m:ctrlPr>
                <w:rPr>
                  <w:rFonts w:ascii="Cambria Math" w:eastAsiaTheme="minorHAnsi" w:hAnsi="Cambria Math"/>
                  <w:i w:val="0"/>
                  <w:iCs w:val="0"/>
                  <w:kern w:val="2"/>
                  <w:sz w:val="24"/>
                  <w:szCs w:val="24"/>
                  <w:lang w:val="en-US" w:eastAsia="en-US"/>
                  <w14:ligatures w14:val="standardContextual"/>
                </w:rPr>
              </m:ctrlPr>
            </m:sSubPr>
            <m:e>
              <m:r>
                <w:rPr>
                  <w:rFonts w:ascii="Cambria Math" w:hAnsi="Cambria Math"/>
                  <w:sz w:val="24"/>
                  <w:szCs w:val="24"/>
                </w:rPr>
                <m:t>D</m:t>
              </m:r>
            </m:e>
            <m:sub>
              <m:r>
                <w:rPr>
                  <w:rFonts w:ascii="Cambria Math" w:hAnsi="Cambria Math"/>
                  <w:sz w:val="24"/>
                  <w:szCs w:val="24"/>
                </w:rPr>
                <m:t>d</m:t>
              </m:r>
            </m:sub>
          </m:sSub>
          <m:sSub>
            <m:sSubPr>
              <m:ctrlPr>
                <w:rPr>
                  <w:rFonts w:ascii="Cambria Math" w:eastAsiaTheme="minorHAnsi" w:hAnsi="Cambria Math"/>
                  <w:i w:val="0"/>
                  <w:iCs w:val="0"/>
                  <w:kern w:val="2"/>
                  <w:sz w:val="24"/>
                  <w:szCs w:val="24"/>
                  <w:lang w:val="en-US" w:eastAsia="en-US"/>
                  <w14:ligatures w14:val="standardContextual"/>
                </w:rPr>
              </m:ctrlPr>
            </m:sSubPr>
            <m:e>
              <m:r>
                <w:rPr>
                  <w:rFonts w:ascii="Cambria Math" w:hAnsi="Cambria Math"/>
                  <w:sz w:val="24"/>
                  <w:szCs w:val="24"/>
                </w:rPr>
                <m:t>E</m:t>
              </m:r>
            </m:e>
            <m:sub>
              <m:r>
                <w:rPr>
                  <w:rFonts w:ascii="Cambria Math" w:hAnsi="Cambria Math"/>
                  <w:sz w:val="24"/>
                  <w:szCs w:val="24"/>
                </w:rPr>
                <m:t>e</m:t>
              </m:r>
            </m:sub>
          </m:sSub>
          <m:r>
            <w:rPr>
              <w:rFonts w:ascii="Cambria Math" w:hAnsi="Cambria Math"/>
              <w:sz w:val="24"/>
              <w:szCs w:val="24"/>
            </w:rPr>
            <m:t>)</m:t>
          </m:r>
          <m:sSub>
            <m:sSubPr>
              <m:ctrlPr>
                <w:rPr>
                  <w:rFonts w:ascii="Cambria Math" w:eastAsiaTheme="minorHAnsi" w:hAnsi="Cambria Math"/>
                  <w:i w:val="0"/>
                  <w:iCs w:val="0"/>
                  <w:kern w:val="2"/>
                  <w:sz w:val="24"/>
                  <w:szCs w:val="24"/>
                  <w:lang w:val="en-US" w:eastAsia="en-US"/>
                  <w14:ligatures w14:val="standardContextual"/>
                </w:rPr>
              </m:ctrlPr>
            </m:sSubPr>
            <m:e>
              <m:r>
                <w:rPr>
                  <w:rFonts w:ascii="Cambria Math" w:hAnsi="Cambria Math"/>
                  <w:sz w:val="24"/>
                  <w:szCs w:val="24"/>
                </w:rPr>
                <m:t>O</m:t>
              </m:r>
            </m:e>
            <m:sub>
              <m:r>
                <w:rPr>
                  <w:rFonts w:ascii="Cambria Math" w:hAnsi="Cambria Math"/>
                  <w:sz w:val="24"/>
                  <w:szCs w:val="24"/>
                </w:rPr>
                <m:t>3</m:t>
              </m:r>
            </m:sub>
          </m:sSub>
          <m:r>
            <w:rPr>
              <w:rFonts w:ascii="Cambria Math" w:hAnsi="Cambria Math"/>
              <w:sz w:val="24"/>
              <w:szCs w:val="24"/>
            </w:rPr>
            <m:t>-v(</m:t>
          </m:r>
          <m:sSub>
            <m:sSubPr>
              <m:ctrlPr>
                <w:rPr>
                  <w:rFonts w:ascii="Cambria Math" w:eastAsiaTheme="minorHAnsi" w:hAnsi="Cambria Math"/>
                  <w:i w:val="0"/>
                  <w:iCs w:val="0"/>
                  <w:kern w:val="2"/>
                  <w:sz w:val="24"/>
                  <w:szCs w:val="24"/>
                  <w:lang w:val="en-US" w:eastAsia="en-US"/>
                  <w14:ligatures w14:val="standardContextual"/>
                </w:rPr>
              </m:ctrlPr>
            </m:sSubPr>
            <m:e>
              <m:r>
                <w:rPr>
                  <w:rFonts w:ascii="Cambria Math" w:hAnsi="Cambria Math"/>
                  <w:sz w:val="24"/>
                  <w:szCs w:val="24"/>
                </w:rPr>
                <m:t>F</m:t>
              </m:r>
            </m:e>
            <m:sub>
              <m:r>
                <w:rPr>
                  <w:rFonts w:ascii="Cambria Math" w:hAnsi="Cambria Math"/>
                  <w:sz w:val="24"/>
                  <w:szCs w:val="24"/>
                </w:rPr>
                <m:t>metal</m:t>
              </m:r>
            </m:sub>
          </m:sSub>
          <m:r>
            <w:rPr>
              <w:rFonts w:ascii="Cambria Math" w:hAnsi="Cambria Math"/>
              <w:sz w:val="24"/>
              <w:szCs w:val="24"/>
            </w:rPr>
            <m:t>)</m:t>
          </m:r>
          <m:sSub>
            <m:sSubPr>
              <m:ctrlPr>
                <w:rPr>
                  <w:rFonts w:ascii="Cambria Math" w:eastAsiaTheme="minorHAnsi" w:hAnsi="Cambria Math"/>
                  <w:i w:val="0"/>
                  <w:iCs w:val="0"/>
                  <w:kern w:val="2"/>
                  <w:sz w:val="24"/>
                  <w:szCs w:val="24"/>
                  <w:lang w:val="en-US" w:eastAsia="en-US"/>
                  <w14:ligatures w14:val="standardContextual"/>
                </w:rPr>
              </m:ctrlPr>
            </m:sSubPr>
            <m:e>
              <m:r>
                <w:rPr>
                  <w:rFonts w:ascii="Cambria Math" w:hAnsi="Cambria Math"/>
                  <w:sz w:val="24"/>
                  <w:szCs w:val="24"/>
                </w:rPr>
                <m:t>O</m:t>
              </m:r>
            </m:e>
            <m:sub>
              <m:r>
                <w:rPr>
                  <w:rFonts w:ascii="Cambria Math" w:hAnsi="Cambria Math"/>
                  <w:sz w:val="24"/>
                  <w:szCs w:val="24"/>
                </w:rPr>
                <m:t>x</m:t>
              </m:r>
            </m:sub>
          </m:sSub>
        </m:oMath>
      </m:oMathPara>
    </w:p>
    <w:p w14:paraId="511EF3EC" w14:textId="77777777" w:rsidR="004B2ACA" w:rsidRPr="009935D5" w:rsidRDefault="004B2ACA" w:rsidP="009935D5">
      <w:pPr>
        <w:keepNext/>
        <w:spacing w:line="360" w:lineRule="auto"/>
      </w:pPr>
      <w:r w:rsidRPr="009935D5">
        <w:lastRenderedPageBreak/>
        <w:t>Where:</w:t>
      </w:r>
    </w:p>
    <w:p w14:paraId="2B807B21" w14:textId="77777777" w:rsidR="004B2ACA" w:rsidRPr="004B2ACA" w:rsidRDefault="004B2ACA" w:rsidP="00D3419A">
      <w:pPr>
        <w:pStyle w:val="ListParagraph"/>
        <w:keepNext/>
        <w:numPr>
          <w:ilvl w:val="0"/>
          <w:numId w:val="5"/>
        </w:numPr>
        <w:spacing w:line="360" w:lineRule="auto"/>
        <w:rPr>
          <w:rFonts w:ascii="Times New Roman" w:hAnsi="Times New Roman" w:cs="Times New Roman"/>
        </w:rPr>
      </w:pPr>
      <w:r w:rsidRPr="004B2ACA">
        <w:rPr>
          <w:rFonts w:ascii="Times New Roman" w:hAnsi="Times New Roman" w:cs="Times New Roman"/>
        </w:rPr>
        <w:t xml:space="preserve">x, y, z, </w:t>
      </w:r>
      <w:proofErr w:type="spellStart"/>
      <w:r w:rsidRPr="004B2ACA">
        <w:rPr>
          <w:rFonts w:ascii="Times New Roman" w:hAnsi="Times New Roman" w:cs="Times New Roman"/>
        </w:rPr>
        <w:t>w are</w:t>
      </w:r>
      <w:proofErr w:type="spellEnd"/>
      <w:r w:rsidRPr="004B2ACA">
        <w:rPr>
          <w:rFonts w:ascii="Times New Roman" w:hAnsi="Times New Roman" w:cs="Times New Roman"/>
        </w:rPr>
        <w:t xml:space="preserve"> coefficients </w:t>
      </w:r>
      <w:r w:rsidRPr="004B2ACA">
        <w:rPr>
          <w:rFonts w:ascii="Times New Roman" w:hAnsi="Times New Roman" w:cs="Times New Roman"/>
          <w:i/>
          <w:iCs/>
        </w:rPr>
        <w:t>(x + y + z + w ≤ 0.05)</w:t>
      </w:r>
    </w:p>
    <w:p w14:paraId="7B006505" w14:textId="77777777" w:rsidR="004B2ACA" w:rsidRPr="004B2ACA" w:rsidRDefault="004B2ACA" w:rsidP="00D3419A">
      <w:pPr>
        <w:pStyle w:val="ListParagraph"/>
        <w:keepNext/>
        <w:numPr>
          <w:ilvl w:val="0"/>
          <w:numId w:val="5"/>
        </w:numPr>
        <w:spacing w:line="360" w:lineRule="auto"/>
        <w:rPr>
          <w:rFonts w:ascii="Times New Roman" w:hAnsi="Times New Roman" w:cs="Times New Roman"/>
        </w:rPr>
      </w:pPr>
      <w:r w:rsidRPr="004B2ACA">
        <w:rPr>
          <w:rFonts w:ascii="Times New Roman" w:hAnsi="Times New Roman" w:cs="Times New Roman"/>
        </w:rPr>
        <w:t xml:space="preserve">k, </w:t>
      </w:r>
      <w:proofErr w:type="spellStart"/>
      <w:r w:rsidRPr="004B2ACA">
        <w:rPr>
          <w:rFonts w:ascii="Times New Roman" w:hAnsi="Times New Roman" w:cs="Times New Roman"/>
        </w:rPr>
        <w:t>na</w:t>
      </w:r>
      <w:proofErr w:type="spellEnd"/>
      <w:r w:rsidRPr="004B2ACA">
        <w:rPr>
          <w:rFonts w:ascii="Times New Roman" w:hAnsi="Times New Roman" w:cs="Times New Roman"/>
        </w:rPr>
        <w:t xml:space="preserve">, </w:t>
      </w:r>
      <w:proofErr w:type="spellStart"/>
      <w:r w:rsidRPr="004B2ACA">
        <w:rPr>
          <w:rFonts w:ascii="Times New Roman" w:hAnsi="Times New Roman" w:cs="Times New Roman"/>
        </w:rPr>
        <w:t>nb</w:t>
      </w:r>
      <w:proofErr w:type="spellEnd"/>
      <w:r w:rsidRPr="004B2ACA">
        <w:rPr>
          <w:rFonts w:ascii="Times New Roman" w:hAnsi="Times New Roman" w:cs="Times New Roman"/>
        </w:rPr>
        <w:t xml:space="preserve">, sb are molar fractions in the main KNN phase </w:t>
      </w:r>
      <w:r w:rsidRPr="004B2ACA">
        <w:rPr>
          <w:rFonts w:ascii="Times New Roman" w:hAnsi="Times New Roman" w:cs="Times New Roman"/>
          <w:i/>
          <w:iCs/>
        </w:rPr>
        <w:t xml:space="preserve">(k + </w:t>
      </w:r>
      <w:proofErr w:type="spellStart"/>
      <w:r w:rsidRPr="004B2ACA">
        <w:rPr>
          <w:rFonts w:ascii="Times New Roman" w:hAnsi="Times New Roman" w:cs="Times New Roman"/>
          <w:i/>
          <w:iCs/>
        </w:rPr>
        <w:t>na</w:t>
      </w:r>
      <w:proofErr w:type="spellEnd"/>
      <w:r w:rsidRPr="004B2ACA">
        <w:rPr>
          <w:rFonts w:ascii="Times New Roman" w:hAnsi="Times New Roman" w:cs="Times New Roman"/>
          <w:i/>
          <w:iCs/>
        </w:rPr>
        <w:t xml:space="preserve"> = 1, </w:t>
      </w:r>
      <w:proofErr w:type="spellStart"/>
      <w:r w:rsidRPr="004B2ACA">
        <w:rPr>
          <w:rFonts w:ascii="Times New Roman" w:hAnsi="Times New Roman" w:cs="Times New Roman"/>
          <w:i/>
          <w:iCs/>
        </w:rPr>
        <w:t>nb</w:t>
      </w:r>
      <w:proofErr w:type="spellEnd"/>
      <w:r w:rsidRPr="004B2ACA">
        <w:rPr>
          <w:rFonts w:ascii="Times New Roman" w:hAnsi="Times New Roman" w:cs="Times New Roman"/>
          <w:i/>
          <w:iCs/>
        </w:rPr>
        <w:t xml:space="preserve"> + sb = 1)</w:t>
      </w:r>
    </w:p>
    <w:p w14:paraId="59306E52" w14:textId="77777777" w:rsidR="004B2ACA" w:rsidRPr="004B2ACA" w:rsidRDefault="004B2ACA" w:rsidP="00D3419A">
      <w:pPr>
        <w:pStyle w:val="ListParagraph"/>
        <w:keepNext/>
        <w:numPr>
          <w:ilvl w:val="0"/>
          <w:numId w:val="5"/>
        </w:numPr>
        <w:spacing w:line="360" w:lineRule="auto"/>
        <w:rPr>
          <w:rFonts w:ascii="Times New Roman" w:hAnsi="Times New Roman" w:cs="Times New Roman"/>
        </w:rPr>
      </w:pPr>
      <w:r w:rsidRPr="004B2ACA">
        <w:rPr>
          <w:rFonts w:ascii="Times New Roman" w:hAnsi="Times New Roman" w:cs="Times New Roman"/>
        </w:rPr>
        <w:t xml:space="preserve">b1, na2, k2 are molar fractions in the secondary phase </w:t>
      </w:r>
      <w:r w:rsidRPr="004B2ACA">
        <w:rPr>
          <w:rFonts w:ascii="Times New Roman" w:hAnsi="Times New Roman" w:cs="Times New Roman"/>
          <w:i/>
          <w:iCs/>
        </w:rPr>
        <w:t>(b1 + na2 + k2 = 1)</w:t>
      </w:r>
    </w:p>
    <w:p w14:paraId="32052338" w14:textId="77777777" w:rsidR="004B2ACA" w:rsidRPr="004B2ACA" w:rsidRDefault="004B2ACA" w:rsidP="00D3419A">
      <w:pPr>
        <w:pStyle w:val="ListParagraph"/>
        <w:keepNext/>
        <w:numPr>
          <w:ilvl w:val="0"/>
          <w:numId w:val="5"/>
        </w:numPr>
        <w:spacing w:line="360" w:lineRule="auto"/>
        <w:rPr>
          <w:rFonts w:ascii="Times New Roman" w:hAnsi="Times New Roman" w:cs="Times New Roman"/>
        </w:rPr>
      </w:pPr>
      <w:r w:rsidRPr="004B2ACA">
        <w:rPr>
          <w:rFonts w:ascii="Times New Roman" w:hAnsi="Times New Roman" w:cs="Times New Roman"/>
        </w:rPr>
        <w:t xml:space="preserve">m is a coefficient for the secondary phase </w:t>
      </w:r>
      <w:r w:rsidRPr="004B2ACA">
        <w:rPr>
          <w:rFonts w:ascii="Times New Roman" w:hAnsi="Times New Roman" w:cs="Times New Roman"/>
          <w:i/>
          <w:iCs/>
        </w:rPr>
        <w:t>(often 0.5)</w:t>
      </w:r>
    </w:p>
    <w:p w14:paraId="0A24F69C" w14:textId="77777777" w:rsidR="004B2ACA" w:rsidRPr="004B2ACA" w:rsidRDefault="004B2ACA" w:rsidP="00D3419A">
      <w:pPr>
        <w:pStyle w:val="ListParagraph"/>
        <w:keepNext/>
        <w:numPr>
          <w:ilvl w:val="0"/>
          <w:numId w:val="5"/>
        </w:numPr>
        <w:spacing w:line="360" w:lineRule="auto"/>
        <w:rPr>
          <w:rFonts w:ascii="Times New Roman" w:hAnsi="Times New Roman" w:cs="Times New Roman"/>
        </w:rPr>
      </w:pPr>
      <w:proofErr w:type="spellStart"/>
      <w:r w:rsidRPr="004B2ACA">
        <w:rPr>
          <w:rFonts w:ascii="Times New Roman" w:hAnsi="Times New Roman" w:cs="Times New Roman"/>
        </w:rPr>
        <w:t>zr</w:t>
      </w:r>
      <w:proofErr w:type="spellEnd"/>
      <w:r w:rsidRPr="004B2ACA">
        <w:rPr>
          <w:rFonts w:ascii="Times New Roman" w:hAnsi="Times New Roman" w:cs="Times New Roman"/>
        </w:rPr>
        <w:t xml:space="preserve">, </w:t>
      </w:r>
      <w:proofErr w:type="spellStart"/>
      <w:r w:rsidRPr="004B2ACA">
        <w:rPr>
          <w:rFonts w:ascii="Times New Roman" w:hAnsi="Times New Roman" w:cs="Times New Roman"/>
        </w:rPr>
        <w:t>ti</w:t>
      </w:r>
      <w:proofErr w:type="spellEnd"/>
      <w:r w:rsidRPr="004B2ACA">
        <w:rPr>
          <w:rFonts w:ascii="Times New Roman" w:hAnsi="Times New Roman" w:cs="Times New Roman"/>
        </w:rPr>
        <w:t xml:space="preserve">, hf are molar fractions of Zr/Ti/Hf in the secondary phase </w:t>
      </w:r>
      <w:r w:rsidRPr="004B2ACA">
        <w:rPr>
          <w:rFonts w:ascii="Times New Roman" w:hAnsi="Times New Roman" w:cs="Times New Roman"/>
          <w:i/>
          <w:iCs/>
        </w:rPr>
        <w:t>(</w:t>
      </w:r>
      <w:proofErr w:type="spellStart"/>
      <w:r w:rsidRPr="004B2ACA">
        <w:rPr>
          <w:rFonts w:ascii="Times New Roman" w:hAnsi="Times New Roman" w:cs="Times New Roman"/>
          <w:i/>
          <w:iCs/>
        </w:rPr>
        <w:t>zr</w:t>
      </w:r>
      <w:proofErr w:type="spellEnd"/>
      <w:r w:rsidRPr="004B2ACA">
        <w:rPr>
          <w:rFonts w:ascii="Times New Roman" w:hAnsi="Times New Roman" w:cs="Times New Roman"/>
          <w:i/>
          <w:iCs/>
        </w:rPr>
        <w:t xml:space="preserve"> + </w:t>
      </w:r>
      <w:proofErr w:type="spellStart"/>
      <w:r w:rsidRPr="004B2ACA">
        <w:rPr>
          <w:rFonts w:ascii="Times New Roman" w:hAnsi="Times New Roman" w:cs="Times New Roman"/>
          <w:i/>
          <w:iCs/>
        </w:rPr>
        <w:t>ti</w:t>
      </w:r>
      <w:proofErr w:type="spellEnd"/>
      <w:r w:rsidRPr="004B2ACA">
        <w:rPr>
          <w:rFonts w:ascii="Times New Roman" w:hAnsi="Times New Roman" w:cs="Times New Roman"/>
          <w:i/>
          <w:iCs/>
        </w:rPr>
        <w:t xml:space="preserve"> + hf = 1)</w:t>
      </w:r>
    </w:p>
    <w:p w14:paraId="47157B4A" w14:textId="77777777" w:rsidR="004B2ACA" w:rsidRPr="004B2ACA" w:rsidRDefault="004B2ACA" w:rsidP="00D3419A">
      <w:pPr>
        <w:pStyle w:val="ListParagraph"/>
        <w:keepNext/>
        <w:numPr>
          <w:ilvl w:val="0"/>
          <w:numId w:val="5"/>
        </w:numPr>
        <w:spacing w:line="360" w:lineRule="auto"/>
        <w:rPr>
          <w:rFonts w:ascii="Times New Roman" w:hAnsi="Times New Roman" w:cs="Times New Roman"/>
        </w:rPr>
      </w:pPr>
      <w:r w:rsidRPr="004B2ACA">
        <w:rPr>
          <w:rFonts w:ascii="Times New Roman" w:hAnsi="Times New Roman" w:cs="Times New Roman"/>
        </w:rPr>
        <w:t xml:space="preserve">A, B are elements in an additional perovskite phase </w:t>
      </w:r>
      <w:r w:rsidRPr="004B2ACA">
        <w:rPr>
          <w:rFonts w:ascii="Times New Roman" w:hAnsi="Times New Roman" w:cs="Times New Roman"/>
          <w:i/>
          <w:iCs/>
        </w:rPr>
        <w:t>(e.g., Ba, Ca, Sr)</w:t>
      </w:r>
    </w:p>
    <w:p w14:paraId="1E279DB3" w14:textId="77777777" w:rsidR="004B2ACA" w:rsidRPr="004B2ACA" w:rsidRDefault="004B2ACA" w:rsidP="00D3419A">
      <w:pPr>
        <w:pStyle w:val="ListParagraph"/>
        <w:keepNext/>
        <w:numPr>
          <w:ilvl w:val="0"/>
          <w:numId w:val="5"/>
        </w:numPr>
        <w:spacing w:line="360" w:lineRule="auto"/>
        <w:rPr>
          <w:rFonts w:ascii="Times New Roman" w:hAnsi="Times New Roman" w:cs="Times New Roman"/>
        </w:rPr>
      </w:pPr>
      <w:r w:rsidRPr="004B2ACA">
        <w:rPr>
          <w:rFonts w:ascii="Times New Roman" w:hAnsi="Times New Roman" w:cs="Times New Roman"/>
        </w:rPr>
        <w:t xml:space="preserve">D, E are elements for dopants in perovskite form </w:t>
      </w:r>
      <w:r w:rsidRPr="004B2ACA">
        <w:rPr>
          <w:rFonts w:ascii="Times New Roman" w:hAnsi="Times New Roman" w:cs="Times New Roman"/>
          <w:i/>
          <w:iCs/>
        </w:rPr>
        <w:t>(e.g., Mn, Mg, Zn)</w:t>
      </w:r>
    </w:p>
    <w:p w14:paraId="70D9B15E" w14:textId="77777777" w:rsidR="004B2ACA" w:rsidRPr="002A38FC" w:rsidRDefault="004B2ACA" w:rsidP="00D3419A">
      <w:pPr>
        <w:pStyle w:val="ListParagraph"/>
        <w:keepNext/>
        <w:numPr>
          <w:ilvl w:val="0"/>
          <w:numId w:val="5"/>
        </w:numPr>
        <w:spacing w:line="360" w:lineRule="auto"/>
        <w:rPr>
          <w:rFonts w:ascii="Times New Roman" w:hAnsi="Times New Roman" w:cs="Times New Roman"/>
        </w:rPr>
      </w:pPr>
      <w:r w:rsidRPr="004B2ACA">
        <w:rPr>
          <w:rFonts w:ascii="Times New Roman" w:hAnsi="Times New Roman" w:cs="Times New Roman"/>
        </w:rPr>
        <w:t xml:space="preserve">F is a dopant in oxide form, limited to </w:t>
      </w:r>
      <w:proofErr w:type="spellStart"/>
      <w:r w:rsidRPr="004B2ACA">
        <w:rPr>
          <w:rFonts w:ascii="Times New Roman" w:hAnsi="Times New Roman" w:cs="Times New Roman"/>
        </w:rPr>
        <w:t>Fe₂O</w:t>
      </w:r>
      <w:proofErr w:type="spellEnd"/>
      <w:r w:rsidRPr="004B2ACA">
        <w:rPr>
          <w:rFonts w:ascii="Times New Roman" w:hAnsi="Times New Roman" w:cs="Times New Roman"/>
        </w:rPr>
        <w:t xml:space="preserve">₃, </w:t>
      </w:r>
      <w:proofErr w:type="spellStart"/>
      <w:r w:rsidRPr="004B2ACA">
        <w:rPr>
          <w:rFonts w:ascii="Times New Roman" w:hAnsi="Times New Roman" w:cs="Times New Roman"/>
        </w:rPr>
        <w:t>MnO</w:t>
      </w:r>
      <w:proofErr w:type="spellEnd"/>
      <w:r w:rsidRPr="004B2ACA">
        <w:rPr>
          <w:rFonts w:ascii="Times New Roman" w:hAnsi="Times New Roman" w:cs="Times New Roman"/>
        </w:rPr>
        <w:t xml:space="preserve">₂, or </w:t>
      </w:r>
      <w:proofErr w:type="spellStart"/>
      <w:r w:rsidRPr="004B2ACA">
        <w:rPr>
          <w:rFonts w:ascii="Times New Roman" w:hAnsi="Times New Roman" w:cs="Times New Roman"/>
        </w:rPr>
        <w:t>CuO</w:t>
      </w:r>
      <w:proofErr w:type="spellEnd"/>
    </w:p>
    <w:p w14:paraId="3F6373BA" w14:textId="77777777" w:rsidR="006C35F9" w:rsidRPr="006C35F9" w:rsidRDefault="006C35F9" w:rsidP="00D3419A">
      <w:pPr>
        <w:keepNext/>
        <w:spacing w:line="360" w:lineRule="auto"/>
        <w:jc w:val="both"/>
        <w:rPr>
          <w:rFonts w:eastAsiaTheme="minorHAnsi"/>
          <w:lang w:val="en-US"/>
        </w:rPr>
      </w:pPr>
      <w:r w:rsidRPr="006C35F9">
        <w:rPr>
          <w:rFonts w:eastAsiaTheme="minorHAnsi"/>
          <w:lang w:val="en-US"/>
        </w:rPr>
        <w:t>IMPORTANT:</w:t>
      </w:r>
    </w:p>
    <w:p w14:paraId="655B74A5" w14:textId="77777777" w:rsidR="006C35F9" w:rsidRPr="006C35F9" w:rsidRDefault="006C35F9" w:rsidP="00D3419A">
      <w:pPr>
        <w:keepNext/>
        <w:numPr>
          <w:ilvl w:val="0"/>
          <w:numId w:val="6"/>
        </w:numPr>
        <w:spacing w:line="360" w:lineRule="auto"/>
        <w:jc w:val="both"/>
        <w:rPr>
          <w:rFonts w:eastAsiaTheme="minorHAnsi"/>
          <w:lang w:val="en-US"/>
        </w:rPr>
      </w:pPr>
      <w:r w:rsidRPr="006C35F9">
        <w:rPr>
          <w:rFonts w:eastAsiaTheme="minorHAnsi"/>
          <w:lang w:val="en-US"/>
        </w:rPr>
        <w:t>Ensure (1 − x − y − z − w) ≥ 0.95 to maintain densification.</w:t>
      </w:r>
    </w:p>
    <w:p w14:paraId="0096C220" w14:textId="77777777" w:rsidR="006C35F9" w:rsidRPr="006C35F9" w:rsidRDefault="006C35F9" w:rsidP="00D3419A">
      <w:pPr>
        <w:keepNext/>
        <w:numPr>
          <w:ilvl w:val="0"/>
          <w:numId w:val="6"/>
        </w:numPr>
        <w:spacing w:line="360" w:lineRule="auto"/>
        <w:jc w:val="both"/>
        <w:rPr>
          <w:rFonts w:eastAsiaTheme="minorHAnsi"/>
          <w:lang w:val="en-US"/>
        </w:rPr>
      </w:pPr>
      <w:r w:rsidRPr="006C35F9">
        <w:rPr>
          <w:rFonts w:eastAsiaTheme="minorHAnsi"/>
          <w:lang w:val="en-US"/>
        </w:rPr>
        <w:t>Most components should be in perovskite form (ABO₃), except for the specified oxides.</w:t>
      </w:r>
    </w:p>
    <w:p w14:paraId="32A1F37B" w14:textId="77777777" w:rsidR="006C35F9" w:rsidRPr="006C35F9" w:rsidRDefault="006C35F9" w:rsidP="00D3419A">
      <w:pPr>
        <w:keepNext/>
        <w:numPr>
          <w:ilvl w:val="0"/>
          <w:numId w:val="6"/>
        </w:numPr>
        <w:spacing w:line="360" w:lineRule="auto"/>
        <w:jc w:val="both"/>
        <w:rPr>
          <w:rFonts w:eastAsiaTheme="minorHAnsi"/>
          <w:lang w:val="en-US"/>
        </w:rPr>
      </w:pPr>
      <w:r w:rsidRPr="006C35F9">
        <w:rPr>
          <w:rFonts w:eastAsiaTheme="minorHAnsi"/>
          <w:lang w:val="en-US"/>
        </w:rPr>
        <w:t xml:space="preserve">Only </w:t>
      </w:r>
      <w:proofErr w:type="spellStart"/>
      <w:r w:rsidRPr="006C35F9">
        <w:rPr>
          <w:rFonts w:eastAsiaTheme="minorHAnsi"/>
          <w:lang w:val="en-US"/>
        </w:rPr>
        <w:t>Fe₂O</w:t>
      </w:r>
      <w:proofErr w:type="spellEnd"/>
      <w:r w:rsidRPr="006C35F9">
        <w:rPr>
          <w:rFonts w:eastAsiaTheme="minorHAnsi"/>
          <w:lang w:val="en-US"/>
        </w:rPr>
        <w:t xml:space="preserve">₃, </w:t>
      </w:r>
      <w:proofErr w:type="spellStart"/>
      <w:r w:rsidRPr="006C35F9">
        <w:rPr>
          <w:rFonts w:eastAsiaTheme="minorHAnsi"/>
          <w:lang w:val="en-US"/>
        </w:rPr>
        <w:t>MnO</w:t>
      </w:r>
      <w:proofErr w:type="spellEnd"/>
      <w:r w:rsidRPr="006C35F9">
        <w:rPr>
          <w:rFonts w:eastAsiaTheme="minorHAnsi"/>
          <w:lang w:val="en-US"/>
        </w:rPr>
        <w:t xml:space="preserve">₂, and </w:t>
      </w:r>
      <w:proofErr w:type="spellStart"/>
      <w:r w:rsidRPr="006C35F9">
        <w:rPr>
          <w:rFonts w:eastAsiaTheme="minorHAnsi"/>
          <w:lang w:val="en-US"/>
        </w:rPr>
        <w:t>CuO</w:t>
      </w:r>
      <w:proofErr w:type="spellEnd"/>
      <w:r w:rsidRPr="006C35F9">
        <w:rPr>
          <w:rFonts w:eastAsiaTheme="minorHAnsi"/>
          <w:lang w:val="en-US"/>
        </w:rPr>
        <w:t xml:space="preserve"> can be used in their oxide form as the F component.</w:t>
      </w:r>
    </w:p>
    <w:p w14:paraId="0A0695D2" w14:textId="77777777" w:rsidR="006C35F9" w:rsidRPr="006C35F9" w:rsidRDefault="006C35F9" w:rsidP="00D3419A">
      <w:pPr>
        <w:keepNext/>
        <w:numPr>
          <w:ilvl w:val="0"/>
          <w:numId w:val="6"/>
        </w:numPr>
        <w:spacing w:line="360" w:lineRule="auto"/>
        <w:jc w:val="both"/>
        <w:rPr>
          <w:rFonts w:eastAsiaTheme="minorHAnsi"/>
          <w:lang w:val="en-US"/>
        </w:rPr>
      </w:pPr>
      <w:r w:rsidRPr="006C35F9">
        <w:rPr>
          <w:rFonts w:eastAsiaTheme="minorHAnsi"/>
          <w:lang w:val="en-US"/>
        </w:rPr>
        <w:t xml:space="preserve">When using oxide dopants (F), use v as the coefficient </w:t>
      </w:r>
      <w:r w:rsidRPr="006C35F9">
        <w:rPr>
          <w:rFonts w:eastAsiaTheme="minorHAnsi"/>
          <w:i/>
          <w:iCs/>
          <w:lang w:val="en-US"/>
        </w:rPr>
        <w:t>(e.g., 0.01Fe₂O₃)</w:t>
      </w:r>
      <w:r w:rsidRPr="006C35F9">
        <w:rPr>
          <w:rFonts w:eastAsiaTheme="minorHAnsi"/>
          <w:lang w:val="en-US"/>
        </w:rPr>
        <w:t>.</w:t>
      </w:r>
    </w:p>
    <w:p w14:paraId="39AE59FE" w14:textId="77777777" w:rsidR="006C35F9" w:rsidRPr="006C35F9" w:rsidRDefault="006C35F9" w:rsidP="00D3419A">
      <w:pPr>
        <w:keepNext/>
        <w:numPr>
          <w:ilvl w:val="0"/>
          <w:numId w:val="6"/>
        </w:numPr>
        <w:spacing w:line="360" w:lineRule="auto"/>
        <w:jc w:val="both"/>
        <w:rPr>
          <w:rFonts w:eastAsiaTheme="minorHAnsi"/>
          <w:lang w:val="en-US"/>
        </w:rPr>
      </w:pPr>
      <w:r w:rsidRPr="006C35F9">
        <w:rPr>
          <w:rFonts w:eastAsiaTheme="minorHAnsi"/>
          <w:lang w:val="en-US"/>
        </w:rPr>
        <w:t xml:space="preserve">Ensure perovskite structure (ABO₃) is </w:t>
      </w:r>
      <w:proofErr w:type="gramStart"/>
      <w:r w:rsidRPr="006C35F9">
        <w:rPr>
          <w:rFonts w:eastAsiaTheme="minorHAnsi"/>
          <w:lang w:val="en-US"/>
        </w:rPr>
        <w:t>preserved, and</w:t>
      </w:r>
      <w:proofErr w:type="gramEnd"/>
      <w:r w:rsidRPr="006C35F9">
        <w:rPr>
          <w:rFonts w:eastAsiaTheme="minorHAnsi"/>
          <w:lang w:val="en-US"/>
        </w:rPr>
        <w:t xml:space="preserve"> avoid any obvious typos such as a missing coefficient or incorrect summations </w:t>
      </w:r>
      <w:r w:rsidRPr="006C35F9">
        <w:rPr>
          <w:rFonts w:eastAsiaTheme="minorHAnsi"/>
          <w:i/>
          <w:iCs/>
          <w:lang w:val="en-US"/>
        </w:rPr>
        <w:t>(e.g., “−0.5” leading to ambiguity)</w:t>
      </w:r>
      <w:r w:rsidRPr="006C35F9">
        <w:rPr>
          <w:rFonts w:eastAsiaTheme="minorHAnsi"/>
          <w:lang w:val="en-US"/>
        </w:rPr>
        <w:t>.</w:t>
      </w:r>
    </w:p>
    <w:p w14:paraId="61627346" w14:textId="0975236A" w:rsidR="00A900E7" w:rsidRDefault="006C35F9" w:rsidP="00D3419A">
      <w:pPr>
        <w:keepNext/>
        <w:spacing w:line="360" w:lineRule="auto"/>
        <w:jc w:val="both"/>
        <w:rPr>
          <w:rFonts w:eastAsiaTheme="minorHAnsi"/>
          <w:lang w:val="en-US"/>
        </w:rPr>
      </w:pPr>
      <w:r w:rsidRPr="006C35F9">
        <w:rPr>
          <w:rFonts w:eastAsiaTheme="minorHAnsi"/>
          <w:lang w:val="en-US"/>
        </w:rPr>
        <w:t>Provide your response in the exact JSON format specified in the user's prompt, including the composition, estimated d33 value, and reasoning for each suggestion.</w:t>
      </w:r>
    </w:p>
    <w:p w14:paraId="6DDC5287" w14:textId="77777777" w:rsidR="00A900E7" w:rsidRDefault="00A900E7">
      <w:pPr>
        <w:ind w:left="720" w:hanging="360"/>
        <w:jc w:val="both"/>
        <w:rPr>
          <w:rFonts w:eastAsiaTheme="minorHAnsi"/>
          <w:lang w:val="en-US"/>
        </w:rPr>
      </w:pPr>
      <w:r>
        <w:rPr>
          <w:rFonts w:eastAsiaTheme="minorHAnsi"/>
          <w:lang w:val="en-US"/>
        </w:rPr>
        <w:br w:type="page"/>
      </w:r>
    </w:p>
    <w:p w14:paraId="539EAD8F" w14:textId="77777777" w:rsidR="009935D5" w:rsidRPr="00A900E7" w:rsidRDefault="009935D5" w:rsidP="00D3419A">
      <w:pPr>
        <w:keepNext/>
        <w:spacing w:line="360" w:lineRule="auto"/>
        <w:jc w:val="both"/>
        <w:rPr>
          <w:rFonts w:eastAsiaTheme="minorHAnsi"/>
          <w:lang w:val="en-US"/>
        </w:rPr>
      </w:pPr>
    </w:p>
    <w:p w14:paraId="529C6347" w14:textId="29B60B53" w:rsidR="005811CA" w:rsidRPr="0063165C" w:rsidRDefault="005811CA" w:rsidP="00D3419A">
      <w:pPr>
        <w:pStyle w:val="Caption"/>
        <w:keepNext/>
        <w:spacing w:line="360" w:lineRule="auto"/>
        <w:jc w:val="both"/>
        <w:rPr>
          <w:rFonts w:eastAsiaTheme="minorHAnsi"/>
          <w:bCs/>
          <w:color w:val="auto"/>
          <w:kern w:val="2"/>
          <w:sz w:val="24"/>
          <w:szCs w:val="24"/>
          <w:lang w:val="en-US" w:eastAsia="en-US"/>
          <w14:ligatures w14:val="standardContextual"/>
        </w:rPr>
      </w:pPr>
      <w:r w:rsidRPr="0063165C">
        <w:rPr>
          <w:rFonts w:eastAsiaTheme="minorHAnsi"/>
          <w:bCs/>
          <w:i w:val="0"/>
          <w:iCs w:val="0"/>
          <w:color w:val="auto"/>
          <w:kern w:val="2"/>
          <w:sz w:val="24"/>
          <w:szCs w:val="24"/>
          <w:lang w:val="en-US" w:eastAsia="en-US"/>
          <w14:ligatures w14:val="standardContextual"/>
        </w:rPr>
        <w:t xml:space="preserve">Table </w:t>
      </w:r>
      <w:r w:rsidR="009E3802" w:rsidRPr="0063165C">
        <w:rPr>
          <w:bCs/>
          <w:i w:val="0"/>
          <w:iCs w:val="0"/>
          <w:color w:val="auto"/>
          <w:sz w:val="24"/>
          <w:szCs w:val="24"/>
        </w:rPr>
        <w:t>S</w:t>
      </w:r>
      <w:r w:rsidRPr="0063165C">
        <w:rPr>
          <w:rFonts w:eastAsiaTheme="minorHAnsi"/>
          <w:bCs/>
          <w:i w:val="0"/>
          <w:iCs w:val="0"/>
          <w:color w:val="auto"/>
          <w:kern w:val="2"/>
          <w:sz w:val="24"/>
          <w:szCs w:val="24"/>
          <w:lang w:val="en-US" w:eastAsia="en-US"/>
          <w14:ligatures w14:val="standardContextual"/>
        </w:rPr>
        <w:fldChar w:fldCharType="begin"/>
      </w:r>
      <w:r w:rsidRPr="0063165C">
        <w:rPr>
          <w:rFonts w:eastAsiaTheme="minorHAnsi"/>
          <w:bCs/>
          <w:i w:val="0"/>
          <w:iCs w:val="0"/>
          <w:color w:val="auto"/>
          <w:kern w:val="2"/>
          <w:sz w:val="24"/>
          <w:szCs w:val="24"/>
          <w:lang w:val="en-US" w:eastAsia="en-US"/>
          <w14:ligatures w14:val="standardContextual"/>
        </w:rPr>
        <w:instrText xml:space="preserve"> SEQ Table \* ARABIC </w:instrText>
      </w:r>
      <w:r w:rsidRPr="0063165C">
        <w:rPr>
          <w:rFonts w:eastAsiaTheme="minorHAnsi"/>
          <w:bCs/>
          <w:i w:val="0"/>
          <w:iCs w:val="0"/>
          <w:color w:val="auto"/>
          <w:kern w:val="2"/>
          <w:sz w:val="24"/>
          <w:szCs w:val="24"/>
          <w:lang w:val="en-US" w:eastAsia="en-US"/>
          <w14:ligatures w14:val="standardContextual"/>
        </w:rPr>
        <w:fldChar w:fldCharType="separate"/>
      </w:r>
      <w:r w:rsidRPr="0063165C">
        <w:rPr>
          <w:rFonts w:eastAsiaTheme="minorHAnsi"/>
          <w:bCs/>
          <w:i w:val="0"/>
          <w:iCs w:val="0"/>
          <w:noProof/>
          <w:color w:val="auto"/>
          <w:kern w:val="2"/>
          <w:sz w:val="24"/>
          <w:szCs w:val="24"/>
          <w:lang w:val="en-US" w:eastAsia="en-US"/>
          <w14:ligatures w14:val="standardContextual"/>
        </w:rPr>
        <w:t>1</w:t>
      </w:r>
      <w:r w:rsidRPr="0063165C">
        <w:rPr>
          <w:rFonts w:eastAsiaTheme="minorHAnsi"/>
          <w:bCs/>
          <w:i w:val="0"/>
          <w:iCs w:val="0"/>
          <w:color w:val="auto"/>
          <w:kern w:val="2"/>
          <w:sz w:val="24"/>
          <w:szCs w:val="24"/>
          <w:lang w:val="en-US" w:eastAsia="en-US"/>
          <w14:ligatures w14:val="standardContextual"/>
        </w:rPr>
        <w:fldChar w:fldCharType="end"/>
      </w:r>
      <w:r w:rsidRPr="0063165C">
        <w:rPr>
          <w:rFonts w:eastAsiaTheme="minorHAnsi"/>
          <w:bCs/>
          <w:i w:val="0"/>
          <w:iCs w:val="0"/>
          <w:color w:val="auto"/>
          <w:kern w:val="2"/>
          <w:sz w:val="24"/>
          <w:szCs w:val="24"/>
          <w:lang w:val="en-US" w:eastAsia="en-US"/>
          <w14:ligatures w14:val="standardContextual"/>
        </w:rPr>
        <w:t>: Detailed description of strategies used for prompting the model</w:t>
      </w:r>
    </w:p>
    <w:tbl>
      <w:tblPr>
        <w:tblStyle w:val="ListTable2"/>
        <w:tblW w:w="10903" w:type="dxa"/>
        <w:jc w:val="center"/>
        <w:shd w:val="clear" w:color="auto" w:fill="FFFFFF" w:themeFill="background1"/>
        <w:tblLook w:val="0420" w:firstRow="1" w:lastRow="0" w:firstColumn="0" w:lastColumn="0" w:noHBand="0" w:noVBand="1"/>
      </w:tblPr>
      <w:tblGrid>
        <w:gridCol w:w="1376"/>
        <w:gridCol w:w="9527"/>
      </w:tblGrid>
      <w:tr w:rsidR="00BE0BF0" w:rsidRPr="003E6BE4" w14:paraId="56DE9CC4" w14:textId="77777777" w:rsidTr="0063165C">
        <w:trPr>
          <w:cnfStyle w:val="100000000000" w:firstRow="1" w:lastRow="0" w:firstColumn="0" w:lastColumn="0" w:oddVBand="0" w:evenVBand="0" w:oddHBand="0" w:evenHBand="0" w:firstRowFirstColumn="0" w:firstRowLastColumn="0" w:lastRowFirstColumn="0" w:lastRowLastColumn="0"/>
          <w:trHeight w:val="571"/>
          <w:jc w:val="center"/>
        </w:trPr>
        <w:tc>
          <w:tcPr>
            <w:tcW w:w="1060" w:type="dxa"/>
            <w:shd w:val="clear" w:color="auto" w:fill="FFFFFF" w:themeFill="background1"/>
            <w:hideMark/>
          </w:tcPr>
          <w:p w14:paraId="55B9DFF9" w14:textId="77777777" w:rsidR="00BE0BF0" w:rsidRPr="0063165C" w:rsidRDefault="00BE0BF0" w:rsidP="0063165C">
            <w:pPr>
              <w:spacing w:line="360" w:lineRule="auto"/>
              <w:ind w:left="360"/>
              <w:jc w:val="center"/>
              <w:rPr>
                <w:b w:val="0"/>
                <w:bCs w:val="0"/>
              </w:rPr>
            </w:pPr>
            <w:r w:rsidRPr="0063165C">
              <w:rPr>
                <w:b w:val="0"/>
                <w:bCs w:val="0"/>
              </w:rPr>
              <w:t>Strategy</w:t>
            </w:r>
          </w:p>
        </w:tc>
        <w:tc>
          <w:tcPr>
            <w:tcW w:w="9843" w:type="dxa"/>
            <w:shd w:val="clear" w:color="auto" w:fill="FFFFFF" w:themeFill="background1"/>
            <w:hideMark/>
          </w:tcPr>
          <w:p w14:paraId="56D224E7" w14:textId="77777777" w:rsidR="00BE0BF0" w:rsidRPr="0063165C" w:rsidRDefault="00BE0BF0" w:rsidP="0063165C">
            <w:pPr>
              <w:spacing w:line="360" w:lineRule="auto"/>
              <w:ind w:left="360"/>
              <w:jc w:val="center"/>
              <w:rPr>
                <w:b w:val="0"/>
                <w:bCs w:val="0"/>
              </w:rPr>
            </w:pPr>
            <w:r w:rsidRPr="0063165C">
              <w:rPr>
                <w:b w:val="0"/>
                <w:bCs w:val="0"/>
              </w:rPr>
              <w:t>Description</w:t>
            </w:r>
          </w:p>
        </w:tc>
      </w:tr>
      <w:tr w:rsidR="00BE0BF0" w:rsidRPr="003E6BE4" w14:paraId="1B46A46B" w14:textId="77777777" w:rsidTr="0063165C">
        <w:trPr>
          <w:cnfStyle w:val="000000100000" w:firstRow="0" w:lastRow="0" w:firstColumn="0" w:lastColumn="0" w:oddVBand="0" w:evenVBand="0" w:oddHBand="1" w:evenHBand="0" w:firstRowFirstColumn="0" w:firstRowLastColumn="0" w:lastRowFirstColumn="0" w:lastRowLastColumn="0"/>
          <w:trHeight w:val="325"/>
          <w:jc w:val="center"/>
        </w:trPr>
        <w:tc>
          <w:tcPr>
            <w:tcW w:w="1060" w:type="dxa"/>
            <w:shd w:val="clear" w:color="auto" w:fill="FFFFFF" w:themeFill="background1"/>
            <w:hideMark/>
          </w:tcPr>
          <w:p w14:paraId="3530E5CB" w14:textId="77777777" w:rsidR="00BE0BF0" w:rsidRPr="003E6BE4" w:rsidRDefault="00BE0BF0" w:rsidP="0063165C">
            <w:pPr>
              <w:spacing w:line="360" w:lineRule="auto"/>
              <w:ind w:left="360"/>
              <w:jc w:val="center"/>
            </w:pPr>
            <w:r w:rsidRPr="003E6BE4">
              <w:t>S1</w:t>
            </w:r>
          </w:p>
        </w:tc>
        <w:tc>
          <w:tcPr>
            <w:tcW w:w="9843" w:type="dxa"/>
            <w:shd w:val="clear" w:color="auto" w:fill="FFFFFF" w:themeFill="background1"/>
            <w:hideMark/>
          </w:tcPr>
          <w:p w14:paraId="2FEC6760" w14:textId="77777777" w:rsidR="00BE0BF0" w:rsidRPr="003E6BE4" w:rsidRDefault="00BE0BF0" w:rsidP="0063165C">
            <w:pPr>
              <w:spacing w:line="360" w:lineRule="auto"/>
              <w:ind w:left="360"/>
              <w:jc w:val="center"/>
            </w:pPr>
            <w:r w:rsidRPr="003E6BE4">
              <w:t xml:space="preserve">introduce new elements that can potentially increase </w:t>
            </w:r>
            <w:r w:rsidRPr="003E6BE4">
              <w:rPr>
                <w:i/>
              </w:rPr>
              <w:t>d</w:t>
            </w:r>
            <w:r w:rsidRPr="003E6BE4">
              <w:rPr>
                <w:i/>
                <w:vertAlign w:val="subscript"/>
              </w:rPr>
              <w:t>33</w:t>
            </w:r>
          </w:p>
        </w:tc>
      </w:tr>
      <w:tr w:rsidR="00BE0BF0" w:rsidRPr="003E6BE4" w14:paraId="504CB141" w14:textId="77777777" w:rsidTr="0063165C">
        <w:trPr>
          <w:trHeight w:val="325"/>
          <w:jc w:val="center"/>
        </w:trPr>
        <w:tc>
          <w:tcPr>
            <w:tcW w:w="1060" w:type="dxa"/>
            <w:shd w:val="clear" w:color="auto" w:fill="FFFFFF" w:themeFill="background1"/>
            <w:hideMark/>
          </w:tcPr>
          <w:p w14:paraId="001E6ED9" w14:textId="77777777" w:rsidR="00BE0BF0" w:rsidRPr="003E6BE4" w:rsidRDefault="00BE0BF0" w:rsidP="0063165C">
            <w:pPr>
              <w:spacing w:line="360" w:lineRule="auto"/>
              <w:ind w:left="360"/>
              <w:jc w:val="center"/>
            </w:pPr>
            <w:r w:rsidRPr="003E6BE4">
              <w:t>S2</w:t>
            </w:r>
          </w:p>
        </w:tc>
        <w:tc>
          <w:tcPr>
            <w:tcW w:w="9843" w:type="dxa"/>
            <w:shd w:val="clear" w:color="auto" w:fill="FFFFFF" w:themeFill="background1"/>
            <w:hideMark/>
          </w:tcPr>
          <w:p w14:paraId="2A8F235F" w14:textId="77777777" w:rsidR="00BE0BF0" w:rsidRPr="003E6BE4" w:rsidRDefault="00BE0BF0" w:rsidP="0063165C">
            <w:pPr>
              <w:spacing w:line="360" w:lineRule="auto"/>
              <w:ind w:left="360"/>
              <w:jc w:val="center"/>
            </w:pPr>
            <w:r w:rsidRPr="003E6BE4">
              <w:t xml:space="preserve">optimize the existing compositions for higher </w:t>
            </w:r>
            <w:r w:rsidRPr="003E6BE4">
              <w:rPr>
                <w:i/>
              </w:rPr>
              <w:t>d</w:t>
            </w:r>
            <w:r w:rsidRPr="003E6BE4">
              <w:rPr>
                <w:i/>
                <w:vertAlign w:val="subscript"/>
              </w:rPr>
              <w:t>33</w:t>
            </w:r>
            <w:r w:rsidRPr="003E6BE4">
              <w:t xml:space="preserve"> by modifying K/Na ratios</w:t>
            </w:r>
          </w:p>
        </w:tc>
      </w:tr>
      <w:tr w:rsidR="00BE0BF0" w:rsidRPr="003E6BE4" w14:paraId="414F7D54" w14:textId="77777777" w:rsidTr="0063165C">
        <w:trPr>
          <w:cnfStyle w:val="000000100000" w:firstRow="0" w:lastRow="0" w:firstColumn="0" w:lastColumn="0" w:oddVBand="0" w:evenVBand="0" w:oddHBand="1" w:evenHBand="0" w:firstRowFirstColumn="0" w:firstRowLastColumn="0" w:lastRowFirstColumn="0" w:lastRowLastColumn="0"/>
          <w:trHeight w:val="325"/>
          <w:jc w:val="center"/>
        </w:trPr>
        <w:tc>
          <w:tcPr>
            <w:tcW w:w="1060" w:type="dxa"/>
            <w:shd w:val="clear" w:color="auto" w:fill="FFFFFF" w:themeFill="background1"/>
            <w:hideMark/>
          </w:tcPr>
          <w:p w14:paraId="2938E641" w14:textId="77777777" w:rsidR="00BE0BF0" w:rsidRPr="003E6BE4" w:rsidRDefault="00BE0BF0" w:rsidP="0063165C">
            <w:pPr>
              <w:spacing w:line="360" w:lineRule="auto"/>
              <w:ind w:left="360"/>
              <w:jc w:val="center"/>
            </w:pPr>
            <w:r w:rsidRPr="003E6BE4">
              <w:t>S3</w:t>
            </w:r>
          </w:p>
        </w:tc>
        <w:tc>
          <w:tcPr>
            <w:tcW w:w="9843" w:type="dxa"/>
            <w:shd w:val="clear" w:color="auto" w:fill="FFFFFF" w:themeFill="background1"/>
            <w:hideMark/>
          </w:tcPr>
          <w:p w14:paraId="06E604B6" w14:textId="77777777" w:rsidR="00BE0BF0" w:rsidRPr="003E6BE4" w:rsidRDefault="00BE0BF0" w:rsidP="0063165C">
            <w:pPr>
              <w:spacing w:line="360" w:lineRule="auto"/>
              <w:ind w:left="360"/>
              <w:jc w:val="center"/>
            </w:pPr>
            <w:r w:rsidRPr="003E6BE4">
              <w:t xml:space="preserve">explore the addition of rare earth elements for enhanced </w:t>
            </w:r>
            <w:r w:rsidRPr="003E6BE4">
              <w:rPr>
                <w:i/>
              </w:rPr>
              <w:t>d</w:t>
            </w:r>
            <w:r w:rsidRPr="003E6BE4">
              <w:rPr>
                <w:i/>
                <w:vertAlign w:val="subscript"/>
              </w:rPr>
              <w:t>33</w:t>
            </w:r>
          </w:p>
        </w:tc>
      </w:tr>
      <w:tr w:rsidR="00BE0BF0" w:rsidRPr="003E6BE4" w14:paraId="533AEA26" w14:textId="77777777" w:rsidTr="0063165C">
        <w:trPr>
          <w:trHeight w:val="417"/>
          <w:jc w:val="center"/>
        </w:trPr>
        <w:tc>
          <w:tcPr>
            <w:tcW w:w="1060" w:type="dxa"/>
            <w:shd w:val="clear" w:color="auto" w:fill="FFFFFF" w:themeFill="background1"/>
            <w:hideMark/>
          </w:tcPr>
          <w:p w14:paraId="2187D6BC" w14:textId="77777777" w:rsidR="00BE0BF0" w:rsidRPr="003E6BE4" w:rsidRDefault="00BE0BF0" w:rsidP="0063165C">
            <w:pPr>
              <w:spacing w:line="360" w:lineRule="auto"/>
              <w:ind w:left="360"/>
              <w:jc w:val="center"/>
            </w:pPr>
            <w:r w:rsidRPr="003E6BE4">
              <w:t>S4</w:t>
            </w:r>
          </w:p>
        </w:tc>
        <w:tc>
          <w:tcPr>
            <w:tcW w:w="9843" w:type="dxa"/>
            <w:shd w:val="clear" w:color="auto" w:fill="FFFFFF" w:themeFill="background1"/>
            <w:hideMark/>
          </w:tcPr>
          <w:p w14:paraId="7345AE41" w14:textId="77777777" w:rsidR="00BE0BF0" w:rsidRPr="003E6BE4" w:rsidRDefault="00BE0BF0" w:rsidP="0063165C">
            <w:pPr>
              <w:spacing w:line="360" w:lineRule="auto"/>
              <w:ind w:left="360"/>
              <w:jc w:val="center"/>
            </w:pPr>
            <w:r w:rsidRPr="003E6BE4">
              <w:t xml:space="preserve">modify the crystal structure subtly for better </w:t>
            </w:r>
            <w:r w:rsidRPr="003E6BE4">
              <w:rPr>
                <w:i/>
              </w:rPr>
              <w:t>d</w:t>
            </w:r>
            <w:r w:rsidRPr="003E6BE4">
              <w:rPr>
                <w:i/>
                <w:vertAlign w:val="subscript"/>
              </w:rPr>
              <w:t>33</w:t>
            </w:r>
          </w:p>
        </w:tc>
      </w:tr>
      <w:tr w:rsidR="00BE0BF0" w:rsidRPr="003E6BE4" w14:paraId="792AB04E" w14:textId="77777777" w:rsidTr="0063165C">
        <w:trPr>
          <w:cnfStyle w:val="000000100000" w:firstRow="0" w:lastRow="0" w:firstColumn="0" w:lastColumn="0" w:oddVBand="0" w:evenVBand="0" w:oddHBand="1" w:evenHBand="0" w:firstRowFirstColumn="0" w:firstRowLastColumn="0" w:lastRowFirstColumn="0" w:lastRowLastColumn="0"/>
          <w:jc w:val="center"/>
        </w:trPr>
        <w:tc>
          <w:tcPr>
            <w:tcW w:w="1060" w:type="dxa"/>
            <w:shd w:val="clear" w:color="auto" w:fill="FFFFFF" w:themeFill="background1"/>
            <w:hideMark/>
          </w:tcPr>
          <w:p w14:paraId="16359B6F" w14:textId="77777777" w:rsidR="00BE0BF0" w:rsidRPr="003E6BE4" w:rsidRDefault="00BE0BF0" w:rsidP="0063165C">
            <w:pPr>
              <w:spacing w:line="360" w:lineRule="auto"/>
              <w:ind w:left="360"/>
              <w:jc w:val="center"/>
            </w:pPr>
            <w:r w:rsidRPr="003E6BE4">
              <w:t>S5</w:t>
            </w:r>
          </w:p>
        </w:tc>
        <w:tc>
          <w:tcPr>
            <w:tcW w:w="9843" w:type="dxa"/>
            <w:shd w:val="clear" w:color="auto" w:fill="FFFFFF" w:themeFill="background1"/>
            <w:hideMark/>
          </w:tcPr>
          <w:p w14:paraId="2198ACD2" w14:textId="77777777" w:rsidR="00BE0BF0" w:rsidRPr="003E6BE4" w:rsidRDefault="00BE0BF0" w:rsidP="0063165C">
            <w:pPr>
              <w:spacing w:line="360" w:lineRule="auto"/>
              <w:ind w:left="360"/>
              <w:jc w:val="center"/>
            </w:pPr>
            <w:r w:rsidRPr="003E6BE4">
              <w:t xml:space="preserve">Addition and optimization of dopants in appropriate amounts to induce local structure heterogeneity for </w:t>
            </w:r>
            <w:proofErr w:type="spellStart"/>
            <w:r w:rsidRPr="003E6BE4">
              <w:t>relaxor</w:t>
            </w:r>
            <w:proofErr w:type="spellEnd"/>
            <w:r w:rsidRPr="003E6BE4">
              <w:t xml:space="preserve"> </w:t>
            </w:r>
            <w:proofErr w:type="spellStart"/>
            <w:r w:rsidRPr="003E6BE4">
              <w:t>behavior</w:t>
            </w:r>
            <w:proofErr w:type="spellEnd"/>
          </w:p>
        </w:tc>
      </w:tr>
      <w:tr w:rsidR="00BE0BF0" w:rsidRPr="003E6BE4" w14:paraId="759B599E" w14:textId="77777777" w:rsidTr="0063165C">
        <w:trPr>
          <w:jc w:val="center"/>
        </w:trPr>
        <w:tc>
          <w:tcPr>
            <w:tcW w:w="1060" w:type="dxa"/>
            <w:shd w:val="clear" w:color="auto" w:fill="FFFFFF" w:themeFill="background1"/>
            <w:hideMark/>
          </w:tcPr>
          <w:p w14:paraId="75BA8D21" w14:textId="77777777" w:rsidR="00BE0BF0" w:rsidRPr="003E6BE4" w:rsidRDefault="00BE0BF0" w:rsidP="0063165C">
            <w:pPr>
              <w:spacing w:line="360" w:lineRule="auto"/>
              <w:ind w:left="360"/>
              <w:jc w:val="center"/>
            </w:pPr>
            <w:r w:rsidRPr="003E6BE4">
              <w:t>S6</w:t>
            </w:r>
          </w:p>
        </w:tc>
        <w:tc>
          <w:tcPr>
            <w:tcW w:w="9843" w:type="dxa"/>
            <w:shd w:val="clear" w:color="auto" w:fill="FFFFFF" w:themeFill="background1"/>
            <w:hideMark/>
          </w:tcPr>
          <w:p w14:paraId="10C5214E" w14:textId="77777777" w:rsidR="00BE0BF0" w:rsidRPr="003E6BE4" w:rsidRDefault="00BE0BF0" w:rsidP="0063165C">
            <w:pPr>
              <w:spacing w:line="360" w:lineRule="auto"/>
              <w:ind w:left="360"/>
              <w:jc w:val="center"/>
            </w:pPr>
            <w:r w:rsidRPr="003E6BE4">
              <w:t xml:space="preserve">Experiment with new compositions that significantly diverge from existing ones for potentially higher </w:t>
            </w:r>
            <w:r w:rsidRPr="003E6BE4">
              <w:rPr>
                <w:i/>
              </w:rPr>
              <w:t>d</w:t>
            </w:r>
            <w:r w:rsidRPr="003E6BE4">
              <w:rPr>
                <w:i/>
                <w:vertAlign w:val="subscript"/>
              </w:rPr>
              <w:t>33</w:t>
            </w:r>
          </w:p>
        </w:tc>
      </w:tr>
      <w:tr w:rsidR="00BE0BF0" w:rsidRPr="003E6BE4" w14:paraId="54B04BF0" w14:textId="77777777" w:rsidTr="0063165C">
        <w:trPr>
          <w:cnfStyle w:val="000000100000" w:firstRow="0" w:lastRow="0" w:firstColumn="0" w:lastColumn="0" w:oddVBand="0" w:evenVBand="0" w:oddHBand="1" w:evenHBand="0" w:firstRowFirstColumn="0" w:firstRowLastColumn="0" w:lastRowFirstColumn="0" w:lastRowLastColumn="0"/>
          <w:trHeight w:val="657"/>
          <w:jc w:val="center"/>
        </w:trPr>
        <w:tc>
          <w:tcPr>
            <w:tcW w:w="1060" w:type="dxa"/>
            <w:shd w:val="clear" w:color="auto" w:fill="FFFFFF" w:themeFill="background1"/>
            <w:hideMark/>
          </w:tcPr>
          <w:p w14:paraId="63C9E9A6" w14:textId="77777777" w:rsidR="00BE0BF0" w:rsidRPr="003E6BE4" w:rsidRDefault="00BE0BF0" w:rsidP="0063165C">
            <w:pPr>
              <w:spacing w:line="360" w:lineRule="auto"/>
              <w:ind w:left="360"/>
              <w:jc w:val="center"/>
            </w:pPr>
            <w:r w:rsidRPr="003E6BE4">
              <w:t>S7</w:t>
            </w:r>
          </w:p>
        </w:tc>
        <w:tc>
          <w:tcPr>
            <w:tcW w:w="9843" w:type="dxa"/>
            <w:shd w:val="clear" w:color="auto" w:fill="FFFFFF" w:themeFill="background1"/>
            <w:hideMark/>
          </w:tcPr>
          <w:p w14:paraId="54156AD5" w14:textId="77777777" w:rsidR="00BE0BF0" w:rsidRPr="003E6BE4" w:rsidRDefault="00BE0BF0" w:rsidP="0063165C">
            <w:pPr>
              <w:spacing w:line="360" w:lineRule="auto"/>
              <w:ind w:left="360"/>
              <w:jc w:val="center"/>
            </w:pPr>
            <w:r w:rsidRPr="003E6BE4">
              <w:t xml:space="preserve">Required phase fractions: (20 – </w:t>
            </w:r>
            <w:proofErr w:type="gramStart"/>
            <w:r w:rsidRPr="003E6BE4">
              <w:t>30)%</w:t>
            </w:r>
            <w:proofErr w:type="gramEnd"/>
            <w:r w:rsidRPr="003E6BE4">
              <w:t xml:space="preserve"> R3m, (40 – 50) % Amm2 and (38 – </w:t>
            </w:r>
            <w:proofErr w:type="gramStart"/>
            <w:r w:rsidRPr="003E6BE4">
              <w:t>40)%</w:t>
            </w:r>
            <w:proofErr w:type="gramEnd"/>
            <w:r w:rsidRPr="003E6BE4">
              <w:t xml:space="preserve"> P4mm</w:t>
            </w:r>
          </w:p>
        </w:tc>
      </w:tr>
    </w:tbl>
    <w:p w14:paraId="435E5ACD" w14:textId="77777777" w:rsidR="00BE0BF0" w:rsidRPr="00B07FEE" w:rsidRDefault="00BE0BF0" w:rsidP="00B07FEE">
      <w:pPr>
        <w:spacing w:line="360" w:lineRule="auto"/>
        <w:rPr>
          <w:b/>
          <w:bCs/>
        </w:rPr>
      </w:pPr>
    </w:p>
    <w:p w14:paraId="6D9E0AE1" w14:textId="77777777" w:rsidR="00B44834" w:rsidRDefault="00B44834" w:rsidP="00D3419A">
      <w:pPr>
        <w:pStyle w:val="ListParagraph"/>
        <w:spacing w:line="360" w:lineRule="auto"/>
        <w:ind w:firstLine="0"/>
        <w:rPr>
          <w:rFonts w:ascii="Times New Roman" w:hAnsi="Times New Roman" w:cs="Times New Roman"/>
          <w:b/>
          <w:bCs/>
          <w:sz w:val="24"/>
          <w:szCs w:val="24"/>
        </w:rPr>
      </w:pPr>
    </w:p>
    <w:p w14:paraId="7901A6A4" w14:textId="77777777" w:rsidR="00A900E7" w:rsidRDefault="00A900E7">
      <w:pPr>
        <w:ind w:left="720" w:hanging="360"/>
        <w:jc w:val="both"/>
        <w:rPr>
          <w:rFonts w:eastAsiaTheme="minorHAnsi"/>
          <w:i/>
          <w:iCs/>
          <w:kern w:val="2"/>
          <w:lang w:val="en-US" w:eastAsia="en-US"/>
          <w14:ligatures w14:val="standardContextual"/>
        </w:rPr>
      </w:pPr>
      <w:r>
        <w:rPr>
          <w:i/>
          <w:iCs/>
        </w:rPr>
        <w:br w:type="page"/>
      </w:r>
    </w:p>
    <w:p w14:paraId="5966CD8F" w14:textId="267D9FCC" w:rsidR="006B7DB2" w:rsidRPr="002804F6" w:rsidRDefault="006D0076" w:rsidP="002804F6">
      <w:pPr>
        <w:pStyle w:val="ListParagraph"/>
        <w:spacing w:line="360" w:lineRule="auto"/>
        <w:ind w:firstLine="0"/>
        <w:rPr>
          <w:rFonts w:ascii="Times New Roman" w:hAnsi="Times New Roman" w:cs="Times New Roman"/>
          <w:b/>
          <w:i/>
          <w:iCs/>
          <w:sz w:val="24"/>
          <w:szCs w:val="24"/>
        </w:rPr>
      </w:pPr>
      <w:r w:rsidRPr="00EB4A15">
        <w:rPr>
          <w:rFonts w:ascii="Times New Roman" w:hAnsi="Times New Roman" w:cs="Times New Roman"/>
          <w:b/>
          <w:i/>
          <w:iCs/>
          <w:sz w:val="24"/>
          <w:szCs w:val="24"/>
        </w:rPr>
        <w:lastRenderedPageBreak/>
        <w:t xml:space="preserve">S2. Measurement Setup </w:t>
      </w:r>
      <w:r w:rsidR="00BD116E" w:rsidRPr="00EB4A15">
        <w:rPr>
          <w:rFonts w:ascii="Times New Roman" w:hAnsi="Times New Roman" w:cs="Times New Roman"/>
          <w:b/>
          <w:i/>
          <w:iCs/>
          <w:sz w:val="24"/>
          <w:szCs w:val="24"/>
        </w:rPr>
        <w:t xml:space="preserve">and Design of MME device </w:t>
      </w:r>
    </w:p>
    <w:p w14:paraId="0F49EA4A" w14:textId="3AFB5B4C" w:rsidR="0036332E" w:rsidRPr="0036332E" w:rsidRDefault="00E97D7F" w:rsidP="00724D2F">
      <w:pPr>
        <w:spacing w:line="360" w:lineRule="auto"/>
        <w:ind w:left="360"/>
        <w:jc w:val="center"/>
        <w:rPr>
          <w:b/>
          <w:bCs/>
          <w:i/>
          <w:iCs/>
          <w:lang w:val="en-US"/>
        </w:rPr>
      </w:pPr>
      <w:r>
        <w:rPr>
          <w:noProof/>
        </w:rPr>
        <w:drawing>
          <wp:inline distT="0" distB="0" distL="0" distR="0" wp14:anchorId="352F93FD" wp14:editId="3307EFA4">
            <wp:extent cx="6480000" cy="5071590"/>
            <wp:effectExtent l="0" t="0" r="0" b="0"/>
            <wp:docPr id="86147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146" r="10649"/>
                    <a:stretch>
                      <a:fillRect/>
                    </a:stretch>
                  </pic:blipFill>
                  <pic:spPr bwMode="auto">
                    <a:xfrm>
                      <a:off x="0" y="0"/>
                      <a:ext cx="6480000" cy="5071590"/>
                    </a:xfrm>
                    <a:prstGeom prst="rect">
                      <a:avLst/>
                    </a:prstGeom>
                    <a:noFill/>
                    <a:ln>
                      <a:noFill/>
                    </a:ln>
                    <a:extLst>
                      <a:ext uri="{53640926-AAD7-44D8-BBD7-CCE9431645EC}">
                        <a14:shadowObscured xmlns:a14="http://schemas.microsoft.com/office/drawing/2010/main"/>
                      </a:ext>
                    </a:extLst>
                  </pic:spPr>
                </pic:pic>
              </a:graphicData>
            </a:graphic>
          </wp:inline>
        </w:drawing>
      </w:r>
    </w:p>
    <w:p w14:paraId="33BE1D74" w14:textId="77777777" w:rsidR="00155026" w:rsidRDefault="00155026" w:rsidP="00D3419A">
      <w:pPr>
        <w:spacing w:line="360" w:lineRule="auto"/>
        <w:jc w:val="both"/>
        <w:rPr>
          <w:b/>
          <w:bCs/>
          <w:i/>
          <w:iCs/>
        </w:rPr>
      </w:pPr>
    </w:p>
    <w:p w14:paraId="3ABE31E1" w14:textId="480DFEB8" w:rsidR="006D0076" w:rsidRDefault="006B7DB2" w:rsidP="00B618B8">
      <w:pPr>
        <w:spacing w:line="360" w:lineRule="auto"/>
        <w:jc w:val="center"/>
      </w:pPr>
      <w:r>
        <w:t>Figure S</w:t>
      </w:r>
      <w:r w:rsidR="00AA012E">
        <w:t>1</w:t>
      </w:r>
      <w:r>
        <w:t xml:space="preserve">. </w:t>
      </w:r>
      <w:r w:rsidR="0036332E">
        <w:t xml:space="preserve">(a) </w:t>
      </w:r>
      <w:r>
        <w:t xml:space="preserve">Schematics of </w:t>
      </w:r>
      <w:r w:rsidR="006D0076">
        <w:t>measurement setup used for DME and energy harvesting</w:t>
      </w:r>
      <w:r w:rsidR="0036332E">
        <w:t xml:space="preserve">, </w:t>
      </w:r>
      <w:r w:rsidR="00D3419A">
        <w:t xml:space="preserve">(b) </w:t>
      </w:r>
      <w:r w:rsidR="00E97D7F">
        <w:t xml:space="preserve">detailed </w:t>
      </w:r>
      <w:r w:rsidR="00D3419A">
        <w:t>s</w:t>
      </w:r>
      <w:r w:rsidR="0036332E" w:rsidRPr="003E6BE4">
        <w:t xml:space="preserve">chematics of </w:t>
      </w:r>
      <w:r w:rsidR="00D3419A">
        <w:t>c</w:t>
      </w:r>
      <w:r w:rsidR="0036332E" w:rsidRPr="003E6BE4">
        <w:t>eramic embedded on Ni strip,</w:t>
      </w:r>
      <w:r w:rsidR="00E97D7F">
        <w:t xml:space="preserve"> position of proof mass and total</w:t>
      </w:r>
      <w:r w:rsidR="0036332E" w:rsidRPr="003E6BE4">
        <w:t xml:space="preserve"> dimension of Ni strip used</w:t>
      </w:r>
      <w:r w:rsidR="00E97D7F">
        <w:t>,</w:t>
      </w:r>
      <w:r w:rsidR="0036332E" w:rsidRPr="003E6BE4">
        <w:t xml:space="preserve"> </w:t>
      </w:r>
      <w:r w:rsidR="00E97D7F">
        <w:t xml:space="preserve">(c) </w:t>
      </w:r>
      <w:r w:rsidR="0036332E" w:rsidRPr="003E6BE4">
        <w:t>real time photo of ME laminate prepared</w:t>
      </w:r>
    </w:p>
    <w:p w14:paraId="61B30D9D" w14:textId="13A84DD2" w:rsidR="006B7DB2" w:rsidRPr="006B7DB2" w:rsidRDefault="006D0076" w:rsidP="00D3419A">
      <w:pPr>
        <w:spacing w:line="360" w:lineRule="auto"/>
        <w:ind w:left="360"/>
        <w:jc w:val="both"/>
      </w:pPr>
      <w:r>
        <w:t xml:space="preserve">  </w:t>
      </w:r>
    </w:p>
    <w:p w14:paraId="1C26CDE4" w14:textId="77777777" w:rsidR="00A900E7" w:rsidRDefault="00A900E7">
      <w:pPr>
        <w:ind w:left="720" w:hanging="360"/>
        <w:jc w:val="both"/>
        <w:rPr>
          <w:i/>
          <w:iCs/>
        </w:rPr>
      </w:pPr>
      <w:r>
        <w:rPr>
          <w:i/>
          <w:iCs/>
        </w:rPr>
        <w:br w:type="page"/>
      </w:r>
    </w:p>
    <w:p w14:paraId="2CCC9B1B" w14:textId="4F62CB87" w:rsidR="00583179" w:rsidRPr="00EB4A15" w:rsidRDefault="00A77B1F" w:rsidP="00D3419A">
      <w:pPr>
        <w:spacing w:line="360" w:lineRule="auto"/>
        <w:ind w:left="360"/>
        <w:jc w:val="both"/>
        <w:rPr>
          <w:b/>
          <w:i/>
          <w:iCs/>
        </w:rPr>
      </w:pPr>
      <w:r w:rsidRPr="00EB4A15">
        <w:rPr>
          <w:b/>
          <w:i/>
          <w:iCs/>
        </w:rPr>
        <w:lastRenderedPageBreak/>
        <w:t>S</w:t>
      </w:r>
      <w:r w:rsidR="00BD116E" w:rsidRPr="00EB4A15">
        <w:rPr>
          <w:b/>
          <w:i/>
          <w:iCs/>
        </w:rPr>
        <w:t>3</w:t>
      </w:r>
      <w:r w:rsidRPr="00EB4A15">
        <w:rPr>
          <w:b/>
          <w:i/>
          <w:iCs/>
        </w:rPr>
        <w:t xml:space="preserve">. </w:t>
      </w:r>
      <w:r w:rsidR="00A15F30" w:rsidRPr="00EB4A15">
        <w:rPr>
          <w:b/>
          <w:i/>
          <w:iCs/>
        </w:rPr>
        <w:t xml:space="preserve">Dual Segregation and </w:t>
      </w:r>
      <w:r w:rsidR="00A907E9" w:rsidRPr="00EB4A15">
        <w:rPr>
          <w:b/>
          <w:i/>
          <w:iCs/>
        </w:rPr>
        <w:t>Manual Refinement</w:t>
      </w:r>
      <w:r w:rsidR="00200239" w:rsidRPr="00EB4A15">
        <w:rPr>
          <w:b/>
          <w:i/>
          <w:iCs/>
        </w:rPr>
        <w:t xml:space="preserve"> </w:t>
      </w:r>
    </w:p>
    <w:p w14:paraId="78078190" w14:textId="77777777" w:rsidR="00A77B1F" w:rsidRDefault="00A77B1F" w:rsidP="00D3419A">
      <w:pPr>
        <w:spacing w:line="360" w:lineRule="auto"/>
        <w:ind w:left="360"/>
        <w:jc w:val="both"/>
      </w:pPr>
    </w:p>
    <w:p w14:paraId="137E9375" w14:textId="6AC00AB2" w:rsidR="006C3ACF" w:rsidRPr="003E6BE4" w:rsidRDefault="006A1A97" w:rsidP="00D3419A">
      <w:pPr>
        <w:spacing w:line="360" w:lineRule="auto"/>
        <w:ind w:left="360"/>
        <w:jc w:val="both"/>
      </w:pPr>
      <w:r w:rsidRPr="003E6BE4">
        <w:t xml:space="preserve">A broad distribution of </w:t>
      </w:r>
      <w:r w:rsidR="006C3ACF" w:rsidRPr="003E6BE4">
        <w:t>favourable</w:t>
      </w:r>
      <w:r w:rsidRPr="003E6BE4">
        <w:t xml:space="preserve"> and </w:t>
      </w:r>
      <w:r w:rsidR="006C3ACF" w:rsidRPr="003E6BE4">
        <w:t>unfavourable</w:t>
      </w:r>
      <w:r w:rsidRPr="003E6BE4">
        <w:t xml:space="preserve"> </w:t>
      </w:r>
      <w:r w:rsidR="00A913F7" w:rsidRPr="003E6BE4">
        <w:t>compositions</w:t>
      </w:r>
      <w:r w:rsidRPr="003E6BE4">
        <w:t xml:space="preserve"> </w:t>
      </w:r>
      <w:r w:rsidR="00E525FF" w:rsidRPr="003E6BE4">
        <w:t>is</w:t>
      </w:r>
      <w:r w:rsidRPr="003E6BE4">
        <w:t xml:space="preserve"> listed in table </w:t>
      </w:r>
      <w:r w:rsidR="005320A3" w:rsidRPr="003E6BE4">
        <w:t>S2</w:t>
      </w:r>
      <w:r w:rsidRPr="003E6BE4">
        <w:t xml:space="preserve"> and table </w:t>
      </w:r>
      <w:r w:rsidR="005320A3" w:rsidRPr="003E6BE4">
        <w:t>S3</w:t>
      </w:r>
      <w:r w:rsidR="00E525FF" w:rsidRPr="003E6BE4">
        <w:t>,</w:t>
      </w:r>
      <w:r w:rsidR="007676BC" w:rsidRPr="003E6BE4">
        <w:t xml:space="preserve"> respectively. </w:t>
      </w:r>
    </w:p>
    <w:p w14:paraId="00589DEC" w14:textId="65CC11D6" w:rsidR="00A859B0" w:rsidRDefault="006C3ACF" w:rsidP="00D3419A">
      <w:pPr>
        <w:spacing w:line="360" w:lineRule="auto"/>
        <w:ind w:left="360"/>
        <w:jc w:val="both"/>
      </w:pPr>
      <w:r w:rsidRPr="003E6BE4">
        <w:t xml:space="preserve">Table S2 summarizes the confident multiphase composition and its estimation of properties. The compositions were </w:t>
      </w:r>
      <w:r w:rsidR="00C51F7F" w:rsidRPr="003E6BE4">
        <w:t>analysed</w:t>
      </w:r>
      <w:r w:rsidRPr="003E6BE4">
        <w:t xml:space="preserve"> based on several key factors: proximity to the morphotropic phase boundary (MPB), optimized dopant concentrations, and the presence of additives known to enhance piezoelectric properties.</w:t>
      </w:r>
      <w:r w:rsidRPr="003E6BE4">
        <w:fldChar w:fldCharType="begin" w:fldLock="1"/>
      </w:r>
      <w:r w:rsidRPr="003E6BE4">
        <w:instrText>ADDIN CSL_CITATION {"citationItems":[{"id":"ITEM-1","itemData":{"DOI":"10.1021/CR5006809/ASSET/IMAGES/LARGE/CR-2014-006809_0023.JPEG","ISSN":"15206890","PMID":"25792114","author":[{"dropping-particle":"","family":"Wu","given":"Jiagang","non-dropping-particle":"","parse-names":false,"suffix":""},{"dropping-particle":"","family":"Xiao","given":"Dingquan","non-dropping-particle":"","parse-names":false,"suffix":""},{"dropping-particle":"","family":"Zhu","given":"Jianguo","non-dropping-particle":"","parse-names":false,"suffix":""}],"container-title":"Chemical Reviews","id":"ITEM-1","issue":"7","issued":{"date-parts":[["2015","4","8"]]},"page":"2559-2595","publisher":"American Chemical Society","title":"Potassium-sodium niobate lead-free piezoelectric materials: Past, present, and future of phase boundaries","type":"article-journal","volume":"115"},"uris":["http://www.mendeley.com/documents/?uuid=9d72245f-30ac-396f-9537-aef64f7baa9c"]}],"mendeley":{"formattedCitation":"&lt;sup&gt;1&lt;/sup&gt;","plainTextFormattedCitation":"1","previouslyFormattedCitation":"&lt;sup&gt;1&lt;/sup&gt;"},"properties":{"noteIndex":0},"schema":"https://github.com/citation-style-language/schema/raw/master/csl-citation.json"}</w:instrText>
      </w:r>
      <w:r w:rsidRPr="003E6BE4">
        <w:fldChar w:fldCharType="separate"/>
      </w:r>
      <w:r w:rsidRPr="003E6BE4">
        <w:rPr>
          <w:noProof/>
          <w:vertAlign w:val="superscript"/>
        </w:rPr>
        <w:t>1</w:t>
      </w:r>
      <w:r w:rsidRPr="003E6BE4">
        <w:fldChar w:fldCharType="end"/>
      </w:r>
      <w:r w:rsidRPr="003E6BE4">
        <w:t xml:space="preserve"> The K/Na ratio and Nb/Sb ratio were critically examined to ensure optimal phase coexistence.</w:t>
      </w:r>
      <w:r w:rsidR="00315327" w:rsidRPr="003E6BE4">
        <w:t xml:space="preserve"> The role of Bi-based additives in creating beneficial heterogeneous structures was considered. The effects of minor additives and sintering aids, such as Fe</w:t>
      </w:r>
      <w:r w:rsidR="00315327" w:rsidRPr="003E6BE4">
        <w:rPr>
          <w:vertAlign w:val="subscript"/>
        </w:rPr>
        <w:t>2</w:t>
      </w:r>
      <w:r w:rsidR="00315327" w:rsidRPr="003E6BE4">
        <w:t>O</w:t>
      </w:r>
      <w:r w:rsidR="00315327" w:rsidRPr="003E6BE4">
        <w:rPr>
          <w:vertAlign w:val="subscript"/>
        </w:rPr>
        <w:t>3</w:t>
      </w:r>
      <w:r w:rsidR="00315327" w:rsidRPr="003E6BE4">
        <w:t>, MnZrO</w:t>
      </w:r>
      <w:r w:rsidR="00315327" w:rsidRPr="003E6BE4">
        <w:rPr>
          <w:vertAlign w:val="subscript"/>
        </w:rPr>
        <w:t>3</w:t>
      </w:r>
      <w:r w:rsidR="00315327" w:rsidRPr="003E6BE4">
        <w:t>, and various AZrO</w:t>
      </w:r>
      <w:r w:rsidR="00315327" w:rsidRPr="003E6BE4">
        <w:rPr>
          <w:vertAlign w:val="subscript"/>
        </w:rPr>
        <w:t>3</w:t>
      </w:r>
      <w:r w:rsidR="00315327" w:rsidRPr="003E6BE4">
        <w:t xml:space="preserve"> compounds, on domain wall mobility and phase transition behaviour were evaluated.</w:t>
      </w:r>
    </w:p>
    <w:p w14:paraId="6E83AB1A" w14:textId="77777777" w:rsidR="00B44834" w:rsidRPr="00B44834" w:rsidRDefault="00B44834" w:rsidP="00D3419A">
      <w:pPr>
        <w:spacing w:line="360" w:lineRule="auto"/>
        <w:ind w:left="360"/>
        <w:jc w:val="both"/>
      </w:pPr>
    </w:p>
    <w:p w14:paraId="245BAC11" w14:textId="77777777" w:rsidR="00A900E7" w:rsidRDefault="00A900E7">
      <w:pPr>
        <w:ind w:left="720" w:hanging="360"/>
        <w:jc w:val="both"/>
      </w:pPr>
      <w:r>
        <w:br w:type="page"/>
      </w:r>
    </w:p>
    <w:p w14:paraId="15EBE069" w14:textId="17B5611F" w:rsidR="00291986" w:rsidRPr="0063165C" w:rsidRDefault="00291986" w:rsidP="00D3419A">
      <w:pPr>
        <w:spacing w:line="360" w:lineRule="auto"/>
        <w:ind w:left="360"/>
        <w:jc w:val="both"/>
        <w:rPr>
          <w:bCs/>
        </w:rPr>
      </w:pPr>
      <w:r w:rsidRPr="0063165C">
        <w:rPr>
          <w:bCs/>
        </w:rPr>
        <w:lastRenderedPageBreak/>
        <w:t xml:space="preserve">Table </w:t>
      </w:r>
      <w:r w:rsidR="00E94A52" w:rsidRPr="0063165C">
        <w:rPr>
          <w:bCs/>
        </w:rPr>
        <w:t>S</w:t>
      </w:r>
      <w:r w:rsidR="005320A3" w:rsidRPr="0063165C">
        <w:rPr>
          <w:bCs/>
        </w:rPr>
        <w:t>2</w:t>
      </w:r>
      <w:r w:rsidRPr="0063165C">
        <w:rPr>
          <w:bCs/>
        </w:rPr>
        <w:t xml:space="preserve"> Top </w:t>
      </w:r>
      <w:r w:rsidR="00D83D86" w:rsidRPr="0063165C">
        <w:rPr>
          <w:bCs/>
        </w:rPr>
        <w:t>o</w:t>
      </w:r>
      <w:r w:rsidRPr="0063165C">
        <w:rPr>
          <w:bCs/>
        </w:rPr>
        <w:t xml:space="preserve">rdered </w:t>
      </w:r>
      <w:r w:rsidR="00D83D86" w:rsidRPr="0063165C">
        <w:rPr>
          <w:bCs/>
        </w:rPr>
        <w:t>multiphase c</w:t>
      </w:r>
      <w:r w:rsidRPr="0063165C">
        <w:rPr>
          <w:bCs/>
        </w:rPr>
        <w:t>omposition</w:t>
      </w:r>
      <w:r w:rsidR="00911697" w:rsidRPr="0063165C">
        <w:rPr>
          <w:bCs/>
        </w:rPr>
        <w:t xml:space="preserve"> </w:t>
      </w:r>
      <w:r w:rsidR="00D83D86" w:rsidRPr="0063165C">
        <w:rPr>
          <w:bCs/>
        </w:rPr>
        <w:t>p</w:t>
      </w:r>
      <w:r w:rsidR="00911697" w:rsidRPr="0063165C">
        <w:rPr>
          <w:bCs/>
        </w:rPr>
        <w:t>redicted with an absol</w:t>
      </w:r>
      <w:r w:rsidR="00094DCD" w:rsidRPr="0063165C">
        <w:rPr>
          <w:bCs/>
        </w:rPr>
        <w:t xml:space="preserve">ute value of </w:t>
      </w:r>
      <w:r w:rsidR="00094DCD" w:rsidRPr="0063165C">
        <w:rPr>
          <w:bCs/>
          <w:i/>
        </w:rPr>
        <w:t>d</w:t>
      </w:r>
      <w:r w:rsidR="00094DCD" w:rsidRPr="0063165C">
        <w:rPr>
          <w:bCs/>
          <w:i/>
          <w:vertAlign w:val="subscript"/>
        </w:rPr>
        <w:t>33</w:t>
      </w:r>
      <w:r w:rsidR="00C3635F" w:rsidRPr="0063165C">
        <w:rPr>
          <w:bCs/>
        </w:rPr>
        <w:t xml:space="preserve"> and</w:t>
      </w:r>
      <w:r w:rsidR="00094DCD" w:rsidRPr="0063165C">
        <w:rPr>
          <w:bCs/>
        </w:rPr>
        <w:t xml:space="preserve"> </w:t>
      </w:r>
      <w:r w:rsidR="009C05D0" w:rsidRPr="0063165C">
        <w:rPr>
          <w:bCs/>
        </w:rPr>
        <w:t xml:space="preserve">its respective </w:t>
      </w:r>
      <w:r w:rsidR="00094DCD" w:rsidRPr="0063165C">
        <w:rPr>
          <w:bCs/>
        </w:rPr>
        <w:t>microstructure</w:t>
      </w:r>
      <w:r w:rsidR="00E525FF" w:rsidRPr="0063165C">
        <w:rPr>
          <w:bCs/>
        </w:rPr>
        <w:t>.</w:t>
      </w:r>
    </w:p>
    <w:p w14:paraId="37318C8F" w14:textId="77777777" w:rsidR="00315327" w:rsidRPr="003E6BE4" w:rsidRDefault="00315327" w:rsidP="00D3419A">
      <w:pPr>
        <w:spacing w:line="360" w:lineRule="auto"/>
        <w:ind w:left="360"/>
        <w:jc w:val="both"/>
      </w:pPr>
    </w:p>
    <w:tbl>
      <w:tblPr>
        <w:tblStyle w:val="ListTable6Colorful"/>
        <w:tblW w:w="10908" w:type="dxa"/>
        <w:jc w:val="center"/>
        <w:shd w:val="clear" w:color="auto" w:fill="FFFFFF" w:themeFill="background1"/>
        <w:tblLook w:val="04A0" w:firstRow="1" w:lastRow="0" w:firstColumn="1" w:lastColumn="0" w:noHBand="0" w:noVBand="1"/>
      </w:tblPr>
      <w:tblGrid>
        <w:gridCol w:w="653"/>
        <w:gridCol w:w="4406"/>
        <w:gridCol w:w="1447"/>
        <w:gridCol w:w="2039"/>
        <w:gridCol w:w="2363"/>
      </w:tblGrid>
      <w:tr w:rsidR="00200239" w:rsidRPr="003E6BE4" w14:paraId="0218ACFD" w14:textId="77777777" w:rsidTr="0031532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3" w:type="dxa"/>
            <w:shd w:val="clear" w:color="auto" w:fill="FFFFFF" w:themeFill="background1"/>
          </w:tcPr>
          <w:p w14:paraId="157E76EE" w14:textId="77777777" w:rsidR="00200239" w:rsidRPr="003E6BE4" w:rsidRDefault="00200239" w:rsidP="00D3419A">
            <w:pPr>
              <w:spacing w:line="360" w:lineRule="auto"/>
              <w:jc w:val="both"/>
            </w:pPr>
          </w:p>
        </w:tc>
        <w:tc>
          <w:tcPr>
            <w:tcW w:w="4406" w:type="dxa"/>
            <w:shd w:val="clear" w:color="auto" w:fill="FFFFFF" w:themeFill="background1"/>
          </w:tcPr>
          <w:p w14:paraId="2FA5392A" w14:textId="77777777" w:rsidR="00200239" w:rsidRPr="0063165C" w:rsidRDefault="00200239" w:rsidP="00861FCE">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63165C">
              <w:rPr>
                <w:b w:val="0"/>
                <w:bCs w:val="0"/>
              </w:rPr>
              <w:t>Composition</w:t>
            </w:r>
          </w:p>
        </w:tc>
        <w:tc>
          <w:tcPr>
            <w:tcW w:w="1447" w:type="dxa"/>
            <w:shd w:val="clear" w:color="auto" w:fill="FFFFFF" w:themeFill="background1"/>
          </w:tcPr>
          <w:p w14:paraId="708EDCA4" w14:textId="77777777" w:rsidR="00200239" w:rsidRPr="0063165C" w:rsidRDefault="00200239" w:rsidP="00861FCE">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63165C">
              <w:rPr>
                <w:b w:val="0"/>
                <w:bCs w:val="0"/>
              </w:rPr>
              <w:t xml:space="preserve">Predicted </w:t>
            </w:r>
            <w:r w:rsidRPr="0063165C">
              <w:rPr>
                <w:b w:val="0"/>
                <w:bCs w:val="0"/>
                <w:i/>
                <w:iCs/>
              </w:rPr>
              <w:t>d</w:t>
            </w:r>
            <w:r w:rsidRPr="0063165C">
              <w:rPr>
                <w:b w:val="0"/>
                <w:bCs w:val="0"/>
                <w:i/>
                <w:iCs/>
                <w:vertAlign w:val="subscript"/>
              </w:rPr>
              <w:t>33</w:t>
            </w:r>
          </w:p>
        </w:tc>
        <w:tc>
          <w:tcPr>
            <w:tcW w:w="2039" w:type="dxa"/>
            <w:shd w:val="clear" w:color="auto" w:fill="FFFFFF" w:themeFill="background1"/>
          </w:tcPr>
          <w:p w14:paraId="33B37E5C" w14:textId="727799DC" w:rsidR="00200239" w:rsidRPr="0063165C" w:rsidRDefault="00A55B4A" w:rsidP="00861FCE">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63165C">
              <w:rPr>
                <w:b w:val="0"/>
                <w:bCs w:val="0"/>
              </w:rPr>
              <w:t>Grain Size</w:t>
            </w:r>
          </w:p>
        </w:tc>
        <w:tc>
          <w:tcPr>
            <w:tcW w:w="2363" w:type="dxa"/>
            <w:shd w:val="clear" w:color="auto" w:fill="FFFFFF" w:themeFill="background1"/>
          </w:tcPr>
          <w:p w14:paraId="08034FCA" w14:textId="77777777" w:rsidR="00200239" w:rsidRPr="0063165C" w:rsidRDefault="00200239" w:rsidP="00861FCE">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63165C">
              <w:rPr>
                <w:b w:val="0"/>
                <w:bCs w:val="0"/>
              </w:rPr>
              <w:t>Interpretation</w:t>
            </w:r>
          </w:p>
        </w:tc>
      </w:tr>
      <w:tr w:rsidR="00A55B4A" w:rsidRPr="003E6BE4" w14:paraId="5E3ECCBD" w14:textId="77777777" w:rsidTr="003153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3" w:type="dxa"/>
            <w:shd w:val="clear" w:color="auto" w:fill="FFFFFF" w:themeFill="background1"/>
          </w:tcPr>
          <w:p w14:paraId="07B106A8" w14:textId="77777777" w:rsidR="00200239" w:rsidRPr="003E6BE4" w:rsidRDefault="00200239" w:rsidP="00D3419A">
            <w:pPr>
              <w:spacing w:line="360" w:lineRule="auto"/>
              <w:jc w:val="both"/>
              <w:rPr>
                <w:b w:val="0"/>
              </w:rPr>
            </w:pPr>
            <w:r w:rsidRPr="003E6BE4">
              <w:rPr>
                <w:b w:val="0"/>
              </w:rPr>
              <w:t>C1</w:t>
            </w:r>
          </w:p>
        </w:tc>
        <w:tc>
          <w:tcPr>
            <w:tcW w:w="4406" w:type="dxa"/>
            <w:shd w:val="clear" w:color="auto" w:fill="FFFFFF" w:themeFill="background1"/>
          </w:tcPr>
          <w:p w14:paraId="2D591CF9" w14:textId="77777777" w:rsidR="00200239" w:rsidRPr="003E6BE4" w:rsidRDefault="00200239" w:rsidP="00861FCE">
            <w:pPr>
              <w:spacing w:line="360" w:lineRule="auto"/>
              <w:jc w:val="center"/>
              <w:cnfStyle w:val="000000100000" w:firstRow="0" w:lastRow="0" w:firstColumn="0" w:lastColumn="0" w:oddVBand="0" w:evenVBand="0" w:oddHBand="1" w:evenHBand="0" w:firstRowFirstColumn="0" w:firstRowLastColumn="0" w:lastRowFirstColumn="0" w:lastRowLastColumn="0"/>
            </w:pPr>
            <w:r w:rsidRPr="003E6BE4">
              <w:t>0.96(K</w:t>
            </w:r>
            <w:r w:rsidRPr="003E6BE4">
              <w:rPr>
                <w:vertAlign w:val="subscript"/>
              </w:rPr>
              <w:t>0.5</w:t>
            </w:r>
            <w:r w:rsidRPr="003E6BE4">
              <w:t>Na</w:t>
            </w:r>
            <w:r w:rsidRPr="003E6BE4">
              <w:rPr>
                <w:vertAlign w:val="subscript"/>
              </w:rPr>
              <w:t>0.</w:t>
            </w:r>
            <w:proofErr w:type="gramStart"/>
            <w:r w:rsidRPr="003E6BE4">
              <w:rPr>
                <w:vertAlign w:val="subscript"/>
              </w:rPr>
              <w:t>5</w:t>
            </w:r>
            <w:r w:rsidRPr="003E6BE4">
              <w:t>)(</w:t>
            </w:r>
            <w:proofErr w:type="gramEnd"/>
            <w:r w:rsidRPr="003E6BE4">
              <w:t>Nb</w:t>
            </w:r>
            <w:r w:rsidRPr="003E6BE4">
              <w:rPr>
                <w:vertAlign w:val="subscript"/>
              </w:rPr>
              <w:t>0.94</w:t>
            </w:r>
            <w:r w:rsidRPr="003E6BE4">
              <w:t>Sb</w:t>
            </w:r>
            <w:r w:rsidRPr="003E6BE4">
              <w:rPr>
                <w:vertAlign w:val="subscript"/>
              </w:rPr>
              <w:t>0.</w:t>
            </w:r>
            <w:proofErr w:type="gramStart"/>
            <w:r w:rsidRPr="003E6BE4">
              <w:rPr>
                <w:vertAlign w:val="subscript"/>
              </w:rPr>
              <w:t>06</w:t>
            </w:r>
            <w:r w:rsidRPr="003E6BE4">
              <w:t>)O</w:t>
            </w:r>
            <w:proofErr w:type="gramEnd"/>
            <w:r w:rsidRPr="003E6BE4">
              <w:rPr>
                <w:vertAlign w:val="subscript"/>
              </w:rPr>
              <w:t>3</w:t>
            </w:r>
            <w:r w:rsidRPr="003E6BE4">
              <w:t xml:space="preserve"> – 0.03(Bi</w:t>
            </w:r>
            <w:r w:rsidRPr="003E6BE4">
              <w:rPr>
                <w:vertAlign w:val="subscript"/>
              </w:rPr>
              <w:t>0.5</w:t>
            </w:r>
            <w:r w:rsidRPr="003E6BE4">
              <w:t>Na</w:t>
            </w:r>
            <w:r w:rsidRPr="003E6BE4">
              <w:rPr>
                <w:vertAlign w:val="subscript"/>
              </w:rPr>
              <w:t>0.4</w:t>
            </w:r>
            <w:r w:rsidRPr="003E6BE4">
              <w:t>K</w:t>
            </w:r>
            <w:r w:rsidRPr="003E6BE4">
              <w:rPr>
                <w:vertAlign w:val="subscript"/>
              </w:rPr>
              <w:t>0.</w:t>
            </w:r>
            <w:proofErr w:type="gramStart"/>
            <w:r w:rsidRPr="003E6BE4">
              <w:rPr>
                <w:vertAlign w:val="subscript"/>
              </w:rPr>
              <w:t>1</w:t>
            </w:r>
            <w:r w:rsidRPr="003E6BE4">
              <w:t>)(</w:t>
            </w:r>
            <w:proofErr w:type="gramEnd"/>
            <w:r w:rsidRPr="003E6BE4">
              <w:t>Zr</w:t>
            </w:r>
            <w:r w:rsidRPr="003E6BE4">
              <w:rPr>
                <w:vertAlign w:val="subscript"/>
              </w:rPr>
              <w:t>0.96</w:t>
            </w:r>
            <w:r w:rsidRPr="003E6BE4">
              <w:t>Ti</w:t>
            </w:r>
            <w:r w:rsidRPr="003E6BE4">
              <w:rPr>
                <w:vertAlign w:val="subscript"/>
              </w:rPr>
              <w:t>0.</w:t>
            </w:r>
            <w:proofErr w:type="gramStart"/>
            <w:r w:rsidRPr="003E6BE4">
              <w:rPr>
                <w:vertAlign w:val="subscript"/>
              </w:rPr>
              <w:t>04</w:t>
            </w:r>
            <w:r w:rsidRPr="003E6BE4">
              <w:t>)O</w:t>
            </w:r>
            <w:proofErr w:type="gramEnd"/>
            <w:r w:rsidRPr="003E6BE4">
              <w:rPr>
                <w:vertAlign w:val="subscript"/>
              </w:rPr>
              <w:t xml:space="preserve">3 </w:t>
            </w:r>
            <w:r w:rsidRPr="003E6BE4">
              <w:t>– 0.01(Sr</w:t>
            </w:r>
            <w:r w:rsidRPr="003E6BE4">
              <w:rPr>
                <w:vertAlign w:val="subscript"/>
              </w:rPr>
              <w:t>0.7</w:t>
            </w:r>
            <w:r w:rsidRPr="003E6BE4">
              <w:t>Ca</w:t>
            </w:r>
            <w:r w:rsidRPr="003E6BE4">
              <w:rPr>
                <w:vertAlign w:val="subscript"/>
              </w:rPr>
              <w:t>0.</w:t>
            </w:r>
            <w:proofErr w:type="gramStart"/>
            <w:r w:rsidRPr="003E6BE4">
              <w:rPr>
                <w:vertAlign w:val="subscript"/>
              </w:rPr>
              <w:t>3</w:t>
            </w:r>
            <w:r w:rsidRPr="003E6BE4">
              <w:t>)ZrO</w:t>
            </w:r>
            <w:proofErr w:type="gramEnd"/>
            <w:r w:rsidRPr="003E6BE4">
              <w:rPr>
                <w:vertAlign w:val="subscript"/>
              </w:rPr>
              <w:t>3</w:t>
            </w:r>
            <w:r w:rsidRPr="003E6BE4">
              <w:t xml:space="preserve"> - 0.2Fe</w:t>
            </w:r>
            <w:r w:rsidRPr="003E6BE4">
              <w:rPr>
                <w:vertAlign w:val="subscript"/>
              </w:rPr>
              <w:t>2</w:t>
            </w:r>
            <w:r w:rsidRPr="003E6BE4">
              <w:t>O</w:t>
            </w:r>
            <w:r w:rsidRPr="003E6BE4">
              <w:rPr>
                <w:vertAlign w:val="subscript"/>
              </w:rPr>
              <w:t>3</w:t>
            </w:r>
          </w:p>
        </w:tc>
        <w:tc>
          <w:tcPr>
            <w:tcW w:w="1447" w:type="dxa"/>
            <w:shd w:val="clear" w:color="auto" w:fill="FFFFFF" w:themeFill="background1"/>
          </w:tcPr>
          <w:p w14:paraId="4EB940EE" w14:textId="77777777" w:rsidR="00200239" w:rsidRPr="003E6BE4" w:rsidRDefault="00200239" w:rsidP="00861FCE">
            <w:pPr>
              <w:spacing w:line="360" w:lineRule="auto"/>
              <w:jc w:val="center"/>
              <w:cnfStyle w:val="000000100000" w:firstRow="0" w:lastRow="0" w:firstColumn="0" w:lastColumn="0" w:oddVBand="0" w:evenVBand="0" w:oddHBand="1" w:evenHBand="0" w:firstRowFirstColumn="0" w:firstRowLastColumn="0" w:lastRowFirstColumn="0" w:lastRowLastColumn="0"/>
            </w:pPr>
            <w:r w:rsidRPr="003E6BE4">
              <w:t xml:space="preserve">660 </w:t>
            </w:r>
            <w:proofErr w:type="spellStart"/>
            <w:r w:rsidRPr="003E6BE4">
              <w:t>pC</w:t>
            </w:r>
            <w:proofErr w:type="spellEnd"/>
            <w:r w:rsidRPr="003E6BE4">
              <w:t>/N</w:t>
            </w:r>
          </w:p>
        </w:tc>
        <w:tc>
          <w:tcPr>
            <w:tcW w:w="2039" w:type="dxa"/>
            <w:shd w:val="clear" w:color="auto" w:fill="FFFFFF" w:themeFill="background1"/>
          </w:tcPr>
          <w:p w14:paraId="33FCDC2A" w14:textId="77777777" w:rsidR="00200239" w:rsidRPr="003E6BE4" w:rsidRDefault="00200239" w:rsidP="00861FCE">
            <w:pPr>
              <w:spacing w:line="360" w:lineRule="auto"/>
              <w:jc w:val="center"/>
              <w:cnfStyle w:val="000000100000" w:firstRow="0" w:lastRow="0" w:firstColumn="0" w:lastColumn="0" w:oddVBand="0" w:evenVBand="0" w:oddHBand="1" w:evenHBand="0" w:firstRowFirstColumn="0" w:firstRowLastColumn="0" w:lastRowFirstColumn="0" w:lastRowLastColumn="0"/>
            </w:pPr>
            <w:r w:rsidRPr="003E6BE4">
              <w:t>4-8 µm,</w:t>
            </w:r>
          </w:p>
          <w:p w14:paraId="0697166C" w14:textId="0B2F5156" w:rsidR="00200239" w:rsidRPr="003E6BE4" w:rsidRDefault="00200239" w:rsidP="00861FCE">
            <w:pPr>
              <w:spacing w:line="360" w:lineRule="auto"/>
              <w:jc w:val="center"/>
              <w:cnfStyle w:val="000000100000" w:firstRow="0" w:lastRow="0" w:firstColumn="0" w:lastColumn="0" w:oddVBand="0" w:evenVBand="0" w:oddHBand="1" w:evenHBand="0" w:firstRowFirstColumn="0" w:firstRowLastColumn="0" w:lastRowFirstColumn="0" w:lastRowLastColumn="0"/>
            </w:pPr>
          </w:p>
        </w:tc>
        <w:tc>
          <w:tcPr>
            <w:tcW w:w="2363" w:type="dxa"/>
            <w:shd w:val="clear" w:color="auto" w:fill="FFFFFF" w:themeFill="background1"/>
          </w:tcPr>
          <w:p w14:paraId="6D43D492" w14:textId="02EA18DA" w:rsidR="00200239" w:rsidRPr="003E6BE4" w:rsidRDefault="00200239" w:rsidP="00861FCE">
            <w:pPr>
              <w:spacing w:line="360" w:lineRule="auto"/>
              <w:jc w:val="center"/>
              <w:cnfStyle w:val="000000100000" w:firstRow="0" w:lastRow="0" w:firstColumn="0" w:lastColumn="0" w:oddVBand="0" w:evenVBand="0" w:oddHBand="1" w:evenHBand="0" w:firstRowFirstColumn="0" w:firstRowLastColumn="0" w:lastRowFirstColumn="0" w:lastRowLastColumn="0"/>
            </w:pPr>
            <w:r w:rsidRPr="003E6BE4">
              <w:t>Balanced MPB</w:t>
            </w:r>
            <w:r w:rsidR="00A55B4A" w:rsidRPr="003E6BE4">
              <w:t>,</w:t>
            </w:r>
            <w:r w:rsidRPr="003E6BE4">
              <w:t xml:space="preserve"> </w:t>
            </w:r>
            <w:r w:rsidR="00A55B4A" w:rsidRPr="003E6BE4">
              <w:t xml:space="preserve">and </w:t>
            </w:r>
            <w:r w:rsidRPr="003E6BE4">
              <w:t>unique (Sr</w:t>
            </w:r>
            <w:r w:rsidRPr="003E6BE4">
              <w:rPr>
                <w:vertAlign w:val="subscript"/>
              </w:rPr>
              <w:t>0.7</w:t>
            </w:r>
            <w:r w:rsidRPr="003E6BE4">
              <w:t>Ca</w:t>
            </w:r>
            <w:r w:rsidRPr="003E6BE4">
              <w:rPr>
                <w:vertAlign w:val="subscript"/>
              </w:rPr>
              <w:t>0.</w:t>
            </w:r>
            <w:proofErr w:type="gramStart"/>
            <w:r w:rsidRPr="003E6BE4">
              <w:rPr>
                <w:vertAlign w:val="subscript"/>
              </w:rPr>
              <w:t>3</w:t>
            </w:r>
            <w:r w:rsidRPr="003E6BE4">
              <w:t>)ZrO</w:t>
            </w:r>
            <w:proofErr w:type="gramEnd"/>
            <w:r w:rsidRPr="003E6BE4">
              <w:rPr>
                <w:vertAlign w:val="subscript"/>
              </w:rPr>
              <w:t>3</w:t>
            </w:r>
          </w:p>
        </w:tc>
      </w:tr>
      <w:tr w:rsidR="00A55B4A" w:rsidRPr="003E6BE4" w14:paraId="29D41B82" w14:textId="77777777" w:rsidTr="00315327">
        <w:trPr>
          <w:jc w:val="center"/>
        </w:trPr>
        <w:tc>
          <w:tcPr>
            <w:cnfStyle w:val="001000000000" w:firstRow="0" w:lastRow="0" w:firstColumn="1" w:lastColumn="0" w:oddVBand="0" w:evenVBand="0" w:oddHBand="0" w:evenHBand="0" w:firstRowFirstColumn="0" w:firstRowLastColumn="0" w:lastRowFirstColumn="0" w:lastRowLastColumn="0"/>
            <w:tcW w:w="653" w:type="dxa"/>
            <w:shd w:val="clear" w:color="auto" w:fill="FFFFFF" w:themeFill="background1"/>
          </w:tcPr>
          <w:p w14:paraId="2A41577D" w14:textId="77777777" w:rsidR="00200239" w:rsidRPr="003E6BE4" w:rsidRDefault="00200239" w:rsidP="00D3419A">
            <w:pPr>
              <w:spacing w:line="360" w:lineRule="auto"/>
              <w:jc w:val="both"/>
              <w:rPr>
                <w:b w:val="0"/>
              </w:rPr>
            </w:pPr>
            <w:r w:rsidRPr="003E6BE4">
              <w:rPr>
                <w:b w:val="0"/>
              </w:rPr>
              <w:t>C2</w:t>
            </w:r>
          </w:p>
        </w:tc>
        <w:tc>
          <w:tcPr>
            <w:tcW w:w="4406" w:type="dxa"/>
            <w:shd w:val="clear" w:color="auto" w:fill="FFFFFF" w:themeFill="background1"/>
          </w:tcPr>
          <w:p w14:paraId="27C60E4F" w14:textId="77777777" w:rsidR="00200239" w:rsidRPr="003E6BE4" w:rsidRDefault="00200239" w:rsidP="00861FCE">
            <w:pPr>
              <w:spacing w:line="360" w:lineRule="auto"/>
              <w:jc w:val="center"/>
              <w:cnfStyle w:val="000000000000" w:firstRow="0" w:lastRow="0" w:firstColumn="0" w:lastColumn="0" w:oddVBand="0" w:evenVBand="0" w:oddHBand="0" w:evenHBand="0" w:firstRowFirstColumn="0" w:firstRowLastColumn="0" w:lastRowFirstColumn="0" w:lastRowLastColumn="0"/>
            </w:pPr>
            <w:r w:rsidRPr="003E6BE4">
              <w:t>0.957(K</w:t>
            </w:r>
            <w:r w:rsidRPr="003E6BE4">
              <w:rPr>
                <w:vertAlign w:val="subscript"/>
              </w:rPr>
              <w:t>0.47</w:t>
            </w:r>
            <w:r w:rsidRPr="003E6BE4">
              <w:t>Na</w:t>
            </w:r>
            <w:r w:rsidRPr="003E6BE4">
              <w:rPr>
                <w:vertAlign w:val="subscript"/>
              </w:rPr>
              <w:t>0.</w:t>
            </w:r>
            <w:proofErr w:type="gramStart"/>
            <w:r w:rsidRPr="003E6BE4">
              <w:rPr>
                <w:vertAlign w:val="subscript"/>
              </w:rPr>
              <w:t>53</w:t>
            </w:r>
            <w:r w:rsidRPr="003E6BE4">
              <w:t>)(</w:t>
            </w:r>
            <w:proofErr w:type="gramEnd"/>
            <w:r w:rsidRPr="003E6BE4">
              <w:t>Nb</w:t>
            </w:r>
            <w:r w:rsidRPr="003E6BE4">
              <w:rPr>
                <w:vertAlign w:val="subscript"/>
              </w:rPr>
              <w:t>0.94</w:t>
            </w:r>
            <w:r w:rsidRPr="003E6BE4">
              <w:t>Sb</w:t>
            </w:r>
            <w:r w:rsidRPr="003E6BE4">
              <w:rPr>
                <w:vertAlign w:val="subscript"/>
              </w:rPr>
              <w:t>0.</w:t>
            </w:r>
            <w:proofErr w:type="gramStart"/>
            <w:r w:rsidRPr="003E6BE4">
              <w:rPr>
                <w:vertAlign w:val="subscript"/>
              </w:rPr>
              <w:t>06</w:t>
            </w:r>
            <w:r w:rsidRPr="003E6BE4">
              <w:t>)O</w:t>
            </w:r>
            <w:proofErr w:type="gramEnd"/>
            <w:r w:rsidRPr="003E6BE4">
              <w:rPr>
                <w:vertAlign w:val="subscript"/>
              </w:rPr>
              <w:t>3</w:t>
            </w:r>
            <w:r w:rsidRPr="003E6BE4">
              <w:t xml:space="preserve"> – 0.038(Bi</w:t>
            </w:r>
            <w:r w:rsidRPr="003E6BE4">
              <w:rPr>
                <w:vertAlign w:val="subscript"/>
              </w:rPr>
              <w:t>0.6</w:t>
            </w:r>
            <w:r w:rsidRPr="003E6BE4">
              <w:t>Na</w:t>
            </w:r>
            <w:r w:rsidRPr="003E6BE4">
              <w:rPr>
                <w:vertAlign w:val="subscript"/>
              </w:rPr>
              <w:t>0.3</w:t>
            </w:r>
            <w:r w:rsidRPr="003E6BE4">
              <w:t>K</w:t>
            </w:r>
            <w:r w:rsidRPr="003E6BE4">
              <w:rPr>
                <w:vertAlign w:val="subscript"/>
              </w:rPr>
              <w:t>0.</w:t>
            </w:r>
            <w:proofErr w:type="gramStart"/>
            <w:r w:rsidRPr="003E6BE4">
              <w:rPr>
                <w:vertAlign w:val="subscript"/>
              </w:rPr>
              <w:t>1</w:t>
            </w:r>
            <w:r w:rsidRPr="003E6BE4">
              <w:t>)(</w:t>
            </w:r>
            <w:proofErr w:type="gramEnd"/>
            <w:r w:rsidRPr="003E6BE4">
              <w:t>Zr</w:t>
            </w:r>
            <w:r w:rsidRPr="003E6BE4">
              <w:rPr>
                <w:vertAlign w:val="subscript"/>
              </w:rPr>
              <w:t>0.95</w:t>
            </w:r>
            <w:r w:rsidRPr="003E6BE4">
              <w:t>Ti</w:t>
            </w:r>
            <w:r w:rsidRPr="003E6BE4">
              <w:rPr>
                <w:vertAlign w:val="subscript"/>
              </w:rPr>
              <w:t>0.</w:t>
            </w:r>
            <w:proofErr w:type="gramStart"/>
            <w:r w:rsidRPr="003E6BE4">
              <w:rPr>
                <w:vertAlign w:val="subscript"/>
              </w:rPr>
              <w:t>05</w:t>
            </w:r>
            <w:r w:rsidRPr="003E6BE4">
              <w:t>)O</w:t>
            </w:r>
            <w:proofErr w:type="gramEnd"/>
            <w:r w:rsidRPr="003E6BE4">
              <w:rPr>
                <w:vertAlign w:val="subscript"/>
              </w:rPr>
              <w:t xml:space="preserve">3 </w:t>
            </w:r>
            <w:r w:rsidRPr="003E6BE4">
              <w:t>– 0.005BaZrO</w:t>
            </w:r>
            <w:r w:rsidRPr="003E6BE4">
              <w:rPr>
                <w:vertAlign w:val="subscript"/>
              </w:rPr>
              <w:t>3</w:t>
            </w:r>
            <w:r w:rsidRPr="003E6BE4">
              <w:t xml:space="preserve"> – 0.005MnZrO</w:t>
            </w:r>
            <w:r w:rsidRPr="003E6BE4">
              <w:rPr>
                <w:vertAlign w:val="subscript"/>
              </w:rPr>
              <w:t>3</w:t>
            </w:r>
            <w:r w:rsidRPr="003E6BE4">
              <w:t xml:space="preserve"> – 0.2Fe</w:t>
            </w:r>
            <w:r w:rsidRPr="003E6BE4">
              <w:rPr>
                <w:vertAlign w:val="subscript"/>
              </w:rPr>
              <w:t>2</w:t>
            </w:r>
            <w:r w:rsidRPr="003E6BE4">
              <w:t>O</w:t>
            </w:r>
            <w:r w:rsidRPr="003E6BE4">
              <w:rPr>
                <w:vertAlign w:val="subscript"/>
              </w:rPr>
              <w:t>3</w:t>
            </w:r>
          </w:p>
        </w:tc>
        <w:tc>
          <w:tcPr>
            <w:tcW w:w="1447" w:type="dxa"/>
            <w:shd w:val="clear" w:color="auto" w:fill="FFFFFF" w:themeFill="background1"/>
          </w:tcPr>
          <w:p w14:paraId="741FB381" w14:textId="77777777" w:rsidR="00200239" w:rsidRPr="003E6BE4" w:rsidRDefault="00200239" w:rsidP="00861FCE">
            <w:pPr>
              <w:spacing w:line="360" w:lineRule="auto"/>
              <w:jc w:val="center"/>
              <w:cnfStyle w:val="000000000000" w:firstRow="0" w:lastRow="0" w:firstColumn="0" w:lastColumn="0" w:oddVBand="0" w:evenVBand="0" w:oddHBand="0" w:evenHBand="0" w:firstRowFirstColumn="0" w:firstRowLastColumn="0" w:lastRowFirstColumn="0" w:lastRowLastColumn="0"/>
            </w:pPr>
            <w:r w:rsidRPr="003E6BE4">
              <w:t>665pC/N</w:t>
            </w:r>
          </w:p>
        </w:tc>
        <w:tc>
          <w:tcPr>
            <w:tcW w:w="2039" w:type="dxa"/>
            <w:shd w:val="clear" w:color="auto" w:fill="FFFFFF" w:themeFill="background1"/>
          </w:tcPr>
          <w:p w14:paraId="7F364EA6" w14:textId="77777777" w:rsidR="00200239" w:rsidRPr="003E6BE4" w:rsidRDefault="00200239" w:rsidP="00861FCE">
            <w:pPr>
              <w:spacing w:line="360" w:lineRule="auto"/>
              <w:jc w:val="center"/>
              <w:cnfStyle w:val="000000000000" w:firstRow="0" w:lastRow="0" w:firstColumn="0" w:lastColumn="0" w:oddVBand="0" w:evenVBand="0" w:oddHBand="0" w:evenHBand="0" w:firstRowFirstColumn="0" w:firstRowLastColumn="0" w:lastRowFirstColumn="0" w:lastRowLastColumn="0"/>
            </w:pPr>
            <w:r w:rsidRPr="003E6BE4">
              <w:t>9-14 µm</w:t>
            </w:r>
          </w:p>
          <w:p w14:paraId="617440FF" w14:textId="77777777" w:rsidR="00200239" w:rsidRPr="003E6BE4" w:rsidRDefault="00200239" w:rsidP="00861FCE">
            <w:pPr>
              <w:spacing w:line="360" w:lineRule="auto"/>
              <w:jc w:val="center"/>
              <w:cnfStyle w:val="000000000000" w:firstRow="0" w:lastRow="0" w:firstColumn="0" w:lastColumn="0" w:oddVBand="0" w:evenVBand="0" w:oddHBand="0" w:evenHBand="0" w:firstRowFirstColumn="0" w:firstRowLastColumn="0" w:lastRowFirstColumn="0" w:lastRowLastColumn="0"/>
            </w:pPr>
          </w:p>
        </w:tc>
        <w:tc>
          <w:tcPr>
            <w:tcW w:w="2363" w:type="dxa"/>
            <w:shd w:val="clear" w:color="auto" w:fill="FFFFFF" w:themeFill="background1"/>
          </w:tcPr>
          <w:p w14:paraId="43EE58DE" w14:textId="24D3745F" w:rsidR="00200239" w:rsidRPr="003E6BE4" w:rsidRDefault="003B68D2" w:rsidP="00861FCE">
            <w:pPr>
              <w:spacing w:line="360" w:lineRule="auto"/>
              <w:jc w:val="center"/>
              <w:cnfStyle w:val="000000000000" w:firstRow="0" w:lastRow="0" w:firstColumn="0" w:lastColumn="0" w:oddVBand="0" w:evenVBand="0" w:oddHBand="0" w:evenHBand="0" w:firstRowFirstColumn="0" w:firstRowLastColumn="0" w:lastRowFirstColumn="0" w:lastRowLastColumn="0"/>
            </w:pPr>
            <w:r w:rsidRPr="003E6BE4">
              <w:t>Non-</w:t>
            </w:r>
            <w:r w:rsidR="00200239" w:rsidRPr="003E6BE4">
              <w:t xml:space="preserve">stoichiometry </w:t>
            </w:r>
            <w:r w:rsidR="00AE7E93" w:rsidRPr="003E6BE4">
              <w:t xml:space="preserve">and electroneutrality of </w:t>
            </w:r>
            <w:r w:rsidR="00200239" w:rsidRPr="003E6BE4">
              <w:t>MnZrO</w:t>
            </w:r>
            <w:r w:rsidR="00200239" w:rsidRPr="003E6BE4">
              <w:rPr>
                <w:vertAlign w:val="subscript"/>
              </w:rPr>
              <w:t>3</w:t>
            </w:r>
          </w:p>
        </w:tc>
      </w:tr>
      <w:tr w:rsidR="00A55B4A" w:rsidRPr="003E6BE4" w14:paraId="152E14CE" w14:textId="77777777" w:rsidTr="003153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3" w:type="dxa"/>
            <w:shd w:val="clear" w:color="auto" w:fill="FFFFFF" w:themeFill="background1"/>
          </w:tcPr>
          <w:p w14:paraId="4930226B" w14:textId="77777777" w:rsidR="00200239" w:rsidRPr="003E6BE4" w:rsidRDefault="00200239" w:rsidP="00D3419A">
            <w:pPr>
              <w:spacing w:line="360" w:lineRule="auto"/>
              <w:jc w:val="both"/>
              <w:rPr>
                <w:b w:val="0"/>
              </w:rPr>
            </w:pPr>
            <w:r w:rsidRPr="003E6BE4">
              <w:rPr>
                <w:b w:val="0"/>
              </w:rPr>
              <w:t>C3</w:t>
            </w:r>
          </w:p>
        </w:tc>
        <w:tc>
          <w:tcPr>
            <w:tcW w:w="4406" w:type="dxa"/>
            <w:shd w:val="clear" w:color="auto" w:fill="FFFFFF" w:themeFill="background1"/>
          </w:tcPr>
          <w:p w14:paraId="56A534B1" w14:textId="69C820EF" w:rsidR="00200239" w:rsidRPr="003E6BE4" w:rsidRDefault="00200239" w:rsidP="00861FCE">
            <w:pPr>
              <w:spacing w:line="360" w:lineRule="auto"/>
              <w:jc w:val="center"/>
              <w:cnfStyle w:val="000000100000" w:firstRow="0" w:lastRow="0" w:firstColumn="0" w:lastColumn="0" w:oddVBand="0" w:evenVBand="0" w:oddHBand="1" w:evenHBand="0" w:firstRowFirstColumn="0" w:firstRowLastColumn="0" w:lastRowFirstColumn="0" w:lastRowLastColumn="0"/>
            </w:pPr>
            <w:r w:rsidRPr="003E6BE4">
              <w:t>0.96(K</w:t>
            </w:r>
            <w:r w:rsidRPr="003E6BE4">
              <w:rPr>
                <w:vertAlign w:val="subscript"/>
              </w:rPr>
              <w:t>0.48</w:t>
            </w:r>
            <w:r w:rsidRPr="003E6BE4">
              <w:t>Na</w:t>
            </w:r>
            <w:r w:rsidRPr="003E6BE4">
              <w:rPr>
                <w:vertAlign w:val="subscript"/>
              </w:rPr>
              <w:t>0.</w:t>
            </w:r>
            <w:proofErr w:type="gramStart"/>
            <w:r w:rsidRPr="003E6BE4">
              <w:rPr>
                <w:vertAlign w:val="subscript"/>
              </w:rPr>
              <w:t>52</w:t>
            </w:r>
            <w:r w:rsidRPr="003E6BE4">
              <w:t>)(</w:t>
            </w:r>
            <w:proofErr w:type="gramEnd"/>
            <w:r w:rsidRPr="003E6BE4">
              <w:t>Nb</w:t>
            </w:r>
            <w:r w:rsidRPr="003E6BE4">
              <w:rPr>
                <w:vertAlign w:val="subscript"/>
              </w:rPr>
              <w:t>0.93</w:t>
            </w:r>
            <w:r w:rsidRPr="003E6BE4">
              <w:t>Sb</w:t>
            </w:r>
            <w:r w:rsidRPr="003E6BE4">
              <w:rPr>
                <w:vertAlign w:val="subscript"/>
              </w:rPr>
              <w:t>0.</w:t>
            </w:r>
            <w:proofErr w:type="gramStart"/>
            <w:r w:rsidRPr="003E6BE4">
              <w:rPr>
                <w:vertAlign w:val="subscript"/>
              </w:rPr>
              <w:t>07</w:t>
            </w:r>
            <w:r w:rsidRPr="003E6BE4">
              <w:t>)O</w:t>
            </w:r>
            <w:proofErr w:type="gramEnd"/>
            <w:r w:rsidRPr="003E6BE4">
              <w:rPr>
                <w:vertAlign w:val="subscript"/>
              </w:rPr>
              <w:t>3</w:t>
            </w:r>
            <w:r w:rsidRPr="003E6BE4">
              <w:t xml:space="preserve"> – 0.04(Bi</w:t>
            </w:r>
            <w:r w:rsidRPr="003E6BE4">
              <w:rPr>
                <w:vertAlign w:val="subscript"/>
              </w:rPr>
              <w:t>0.55</w:t>
            </w:r>
            <w:r w:rsidRPr="003E6BE4">
              <w:t>Na</w:t>
            </w:r>
            <w:r w:rsidRPr="003E6BE4">
              <w:rPr>
                <w:vertAlign w:val="subscript"/>
              </w:rPr>
              <w:t>0.35</w:t>
            </w:r>
            <w:r w:rsidRPr="003E6BE4">
              <w:t>K</w:t>
            </w:r>
            <w:r w:rsidRPr="003E6BE4">
              <w:rPr>
                <w:vertAlign w:val="subscript"/>
              </w:rPr>
              <w:t>0.</w:t>
            </w:r>
            <w:proofErr w:type="gramStart"/>
            <w:r w:rsidRPr="003E6BE4">
              <w:rPr>
                <w:vertAlign w:val="subscript"/>
              </w:rPr>
              <w:t>1</w:t>
            </w:r>
            <w:r w:rsidRPr="003E6BE4">
              <w:t>)(</w:t>
            </w:r>
            <w:proofErr w:type="gramEnd"/>
            <w:r w:rsidRPr="003E6BE4">
              <w:t>Zr</w:t>
            </w:r>
            <w:r w:rsidRPr="003E6BE4">
              <w:rPr>
                <w:vertAlign w:val="subscript"/>
              </w:rPr>
              <w:t>0.95</w:t>
            </w:r>
            <w:r w:rsidRPr="003E6BE4">
              <w:t>Ti</w:t>
            </w:r>
            <w:r w:rsidRPr="003E6BE4">
              <w:rPr>
                <w:vertAlign w:val="subscript"/>
              </w:rPr>
              <w:t>0.</w:t>
            </w:r>
            <w:proofErr w:type="gramStart"/>
            <w:r w:rsidRPr="003E6BE4">
              <w:rPr>
                <w:vertAlign w:val="subscript"/>
              </w:rPr>
              <w:t>05</w:t>
            </w:r>
            <w:r w:rsidRPr="003E6BE4">
              <w:t>)O</w:t>
            </w:r>
            <w:proofErr w:type="gramEnd"/>
            <w:r w:rsidRPr="003E6BE4">
              <w:rPr>
                <w:vertAlign w:val="subscript"/>
              </w:rPr>
              <w:t>3</w:t>
            </w:r>
          </w:p>
        </w:tc>
        <w:tc>
          <w:tcPr>
            <w:tcW w:w="1447" w:type="dxa"/>
            <w:shd w:val="clear" w:color="auto" w:fill="FFFFFF" w:themeFill="background1"/>
          </w:tcPr>
          <w:p w14:paraId="1AE351A1" w14:textId="77777777" w:rsidR="00200239" w:rsidRPr="003E6BE4" w:rsidRDefault="00200239" w:rsidP="00861FCE">
            <w:pPr>
              <w:spacing w:line="360" w:lineRule="auto"/>
              <w:jc w:val="center"/>
              <w:cnfStyle w:val="000000100000" w:firstRow="0" w:lastRow="0" w:firstColumn="0" w:lastColumn="0" w:oddVBand="0" w:evenVBand="0" w:oddHBand="1" w:evenHBand="0" w:firstRowFirstColumn="0" w:firstRowLastColumn="0" w:lastRowFirstColumn="0" w:lastRowLastColumn="0"/>
            </w:pPr>
            <w:r w:rsidRPr="003E6BE4">
              <w:t>670pC/N</w:t>
            </w:r>
          </w:p>
        </w:tc>
        <w:tc>
          <w:tcPr>
            <w:tcW w:w="2039" w:type="dxa"/>
            <w:shd w:val="clear" w:color="auto" w:fill="FFFFFF" w:themeFill="background1"/>
          </w:tcPr>
          <w:p w14:paraId="1DBF5379" w14:textId="77777777" w:rsidR="00200239" w:rsidRPr="003E6BE4" w:rsidRDefault="00200239" w:rsidP="00861FCE">
            <w:pPr>
              <w:spacing w:line="360" w:lineRule="auto"/>
              <w:jc w:val="center"/>
              <w:cnfStyle w:val="000000100000" w:firstRow="0" w:lastRow="0" w:firstColumn="0" w:lastColumn="0" w:oddVBand="0" w:evenVBand="0" w:oddHBand="1" w:evenHBand="0" w:firstRowFirstColumn="0" w:firstRowLastColumn="0" w:lastRowFirstColumn="0" w:lastRowLastColumn="0"/>
            </w:pPr>
            <w:r w:rsidRPr="003E6BE4">
              <w:t>8-12 µm</w:t>
            </w:r>
          </w:p>
        </w:tc>
        <w:tc>
          <w:tcPr>
            <w:tcW w:w="2363" w:type="dxa"/>
            <w:shd w:val="clear" w:color="auto" w:fill="FFFFFF" w:themeFill="background1"/>
          </w:tcPr>
          <w:p w14:paraId="4FF21575" w14:textId="1BD7C31C" w:rsidR="00200239" w:rsidRPr="003E6BE4" w:rsidRDefault="00200239" w:rsidP="00861FCE">
            <w:pPr>
              <w:spacing w:line="360" w:lineRule="auto"/>
              <w:jc w:val="center"/>
              <w:cnfStyle w:val="000000100000" w:firstRow="0" w:lastRow="0" w:firstColumn="0" w:lastColumn="0" w:oddVBand="0" w:evenVBand="0" w:oddHBand="1" w:evenHBand="0" w:firstRowFirstColumn="0" w:firstRowLastColumn="0" w:lastRowFirstColumn="0" w:lastRowLastColumn="0"/>
            </w:pPr>
            <w:r w:rsidRPr="003E6BE4">
              <w:t>Bi &gt; 0.5</w:t>
            </w:r>
            <w:r w:rsidR="00AE7E93" w:rsidRPr="003E6BE4">
              <w:t xml:space="preserve">; </w:t>
            </w:r>
            <w:proofErr w:type="spellStart"/>
            <w:r w:rsidR="00AE7E93" w:rsidRPr="003E6BE4">
              <w:t>χ</w:t>
            </w:r>
            <w:r w:rsidR="00AE7E93" w:rsidRPr="003E6BE4">
              <w:rPr>
                <w:vertAlign w:val="subscript"/>
              </w:rPr>
              <w:t>A</w:t>
            </w:r>
            <w:proofErr w:type="spellEnd"/>
            <w:r w:rsidR="00AE7E93" w:rsidRPr="003E6BE4">
              <w:rPr>
                <w:vertAlign w:val="subscript"/>
              </w:rPr>
              <w:t>-O</w:t>
            </w:r>
            <w:r w:rsidR="00AE7E93" w:rsidRPr="003E6BE4">
              <w:t xml:space="preserve"> bond</w:t>
            </w:r>
            <w:r w:rsidRPr="003E6BE4">
              <w:t xml:space="preserve"> </w:t>
            </w:r>
            <w:r w:rsidR="00AE7E93" w:rsidRPr="003E6BE4">
              <w:t>will be affected</w:t>
            </w:r>
          </w:p>
        </w:tc>
      </w:tr>
      <w:tr w:rsidR="00A55B4A" w:rsidRPr="003E6BE4" w14:paraId="02A3BFD5" w14:textId="77777777" w:rsidTr="00315327">
        <w:trPr>
          <w:jc w:val="center"/>
        </w:trPr>
        <w:tc>
          <w:tcPr>
            <w:cnfStyle w:val="001000000000" w:firstRow="0" w:lastRow="0" w:firstColumn="1" w:lastColumn="0" w:oddVBand="0" w:evenVBand="0" w:oddHBand="0" w:evenHBand="0" w:firstRowFirstColumn="0" w:firstRowLastColumn="0" w:lastRowFirstColumn="0" w:lastRowLastColumn="0"/>
            <w:tcW w:w="653" w:type="dxa"/>
            <w:shd w:val="clear" w:color="auto" w:fill="FFFFFF" w:themeFill="background1"/>
          </w:tcPr>
          <w:p w14:paraId="23E0DA82" w14:textId="77777777" w:rsidR="00200239" w:rsidRPr="003E6BE4" w:rsidRDefault="00200239" w:rsidP="00D3419A">
            <w:pPr>
              <w:spacing w:line="360" w:lineRule="auto"/>
              <w:jc w:val="both"/>
              <w:rPr>
                <w:b w:val="0"/>
              </w:rPr>
            </w:pPr>
            <w:r w:rsidRPr="003E6BE4">
              <w:rPr>
                <w:b w:val="0"/>
              </w:rPr>
              <w:t>C4</w:t>
            </w:r>
          </w:p>
        </w:tc>
        <w:tc>
          <w:tcPr>
            <w:tcW w:w="4406" w:type="dxa"/>
            <w:shd w:val="clear" w:color="auto" w:fill="FFFFFF" w:themeFill="background1"/>
          </w:tcPr>
          <w:p w14:paraId="042B857F" w14:textId="77777777" w:rsidR="00200239" w:rsidRPr="003E6BE4" w:rsidRDefault="00200239" w:rsidP="00861FCE">
            <w:pPr>
              <w:spacing w:line="360" w:lineRule="auto"/>
              <w:jc w:val="center"/>
              <w:cnfStyle w:val="000000000000" w:firstRow="0" w:lastRow="0" w:firstColumn="0" w:lastColumn="0" w:oddVBand="0" w:evenVBand="0" w:oddHBand="0" w:evenHBand="0" w:firstRowFirstColumn="0" w:firstRowLastColumn="0" w:lastRowFirstColumn="0" w:lastRowLastColumn="0"/>
            </w:pPr>
            <w:r w:rsidRPr="003E6BE4">
              <w:t>0.956(K</w:t>
            </w:r>
            <w:r w:rsidRPr="003E6BE4">
              <w:rPr>
                <w:vertAlign w:val="subscript"/>
              </w:rPr>
              <w:t>0.48</w:t>
            </w:r>
            <w:r w:rsidRPr="003E6BE4">
              <w:t>Na</w:t>
            </w:r>
            <w:r w:rsidRPr="003E6BE4">
              <w:rPr>
                <w:vertAlign w:val="subscript"/>
              </w:rPr>
              <w:t>0.</w:t>
            </w:r>
            <w:proofErr w:type="gramStart"/>
            <w:r w:rsidRPr="003E6BE4">
              <w:rPr>
                <w:vertAlign w:val="subscript"/>
              </w:rPr>
              <w:t>52</w:t>
            </w:r>
            <w:r w:rsidRPr="003E6BE4">
              <w:t>)(</w:t>
            </w:r>
            <w:proofErr w:type="gramEnd"/>
            <w:r w:rsidRPr="003E6BE4">
              <w:t>Nb</w:t>
            </w:r>
            <w:r w:rsidRPr="003E6BE4">
              <w:rPr>
                <w:vertAlign w:val="subscript"/>
              </w:rPr>
              <w:t>0.93</w:t>
            </w:r>
            <w:r w:rsidRPr="003E6BE4">
              <w:t>Sb</w:t>
            </w:r>
            <w:r w:rsidRPr="003E6BE4">
              <w:rPr>
                <w:vertAlign w:val="subscript"/>
              </w:rPr>
              <w:t>0.</w:t>
            </w:r>
            <w:proofErr w:type="gramStart"/>
            <w:r w:rsidRPr="003E6BE4">
              <w:rPr>
                <w:vertAlign w:val="subscript"/>
              </w:rPr>
              <w:t>07</w:t>
            </w:r>
            <w:r w:rsidRPr="003E6BE4">
              <w:t>)O</w:t>
            </w:r>
            <w:proofErr w:type="gramEnd"/>
            <w:r w:rsidRPr="003E6BE4">
              <w:rPr>
                <w:vertAlign w:val="subscript"/>
              </w:rPr>
              <w:t>3</w:t>
            </w:r>
            <w:r w:rsidRPr="003E6BE4">
              <w:t xml:space="preserve"> – 0.039(Bi</w:t>
            </w:r>
            <w:r w:rsidRPr="003E6BE4">
              <w:rPr>
                <w:vertAlign w:val="subscript"/>
              </w:rPr>
              <w:t>0.55</w:t>
            </w:r>
            <w:r w:rsidRPr="003E6BE4">
              <w:t>Na</w:t>
            </w:r>
            <w:r w:rsidRPr="003E6BE4">
              <w:rPr>
                <w:vertAlign w:val="subscript"/>
              </w:rPr>
              <w:t>0.35</w:t>
            </w:r>
            <w:r w:rsidRPr="003E6BE4">
              <w:t>K</w:t>
            </w:r>
            <w:r w:rsidRPr="003E6BE4">
              <w:rPr>
                <w:vertAlign w:val="subscript"/>
              </w:rPr>
              <w:t>0.</w:t>
            </w:r>
            <w:proofErr w:type="gramStart"/>
            <w:r w:rsidRPr="003E6BE4">
              <w:rPr>
                <w:vertAlign w:val="subscript"/>
              </w:rPr>
              <w:t>1</w:t>
            </w:r>
            <w:r w:rsidRPr="003E6BE4">
              <w:t>)(</w:t>
            </w:r>
            <w:proofErr w:type="gramEnd"/>
            <w:r w:rsidRPr="003E6BE4">
              <w:t>Zr</w:t>
            </w:r>
            <w:r w:rsidRPr="003E6BE4">
              <w:rPr>
                <w:vertAlign w:val="subscript"/>
              </w:rPr>
              <w:t>0.96</w:t>
            </w:r>
            <w:r w:rsidRPr="003E6BE4">
              <w:t>Ti</w:t>
            </w:r>
            <w:r w:rsidRPr="003E6BE4">
              <w:rPr>
                <w:vertAlign w:val="subscript"/>
              </w:rPr>
              <w:t>0.</w:t>
            </w:r>
            <w:proofErr w:type="gramStart"/>
            <w:r w:rsidRPr="003E6BE4">
              <w:rPr>
                <w:vertAlign w:val="subscript"/>
              </w:rPr>
              <w:t>04</w:t>
            </w:r>
            <w:r w:rsidRPr="003E6BE4">
              <w:t>)O</w:t>
            </w:r>
            <w:proofErr w:type="gramEnd"/>
            <w:r w:rsidRPr="003E6BE4">
              <w:rPr>
                <w:vertAlign w:val="subscript"/>
              </w:rPr>
              <w:t xml:space="preserve">3 </w:t>
            </w:r>
            <w:r w:rsidRPr="003E6BE4">
              <w:t>– 0.005BaZrO</w:t>
            </w:r>
            <w:r w:rsidRPr="003E6BE4">
              <w:rPr>
                <w:vertAlign w:val="subscript"/>
              </w:rPr>
              <w:t>3</w:t>
            </w:r>
            <w:r w:rsidRPr="003E6BE4">
              <w:t xml:space="preserve"> – 0.005AgNbO</w:t>
            </w:r>
            <w:r w:rsidRPr="003E6BE4">
              <w:rPr>
                <w:vertAlign w:val="subscript"/>
              </w:rPr>
              <w:t>3</w:t>
            </w:r>
            <w:r w:rsidRPr="003E6BE4">
              <w:t xml:space="preserve"> – 0.25Fe</w:t>
            </w:r>
            <w:r w:rsidRPr="003E6BE4">
              <w:rPr>
                <w:vertAlign w:val="subscript"/>
              </w:rPr>
              <w:t>2</w:t>
            </w:r>
            <w:r w:rsidRPr="003E6BE4">
              <w:t>O</w:t>
            </w:r>
            <w:r w:rsidRPr="003E6BE4">
              <w:rPr>
                <w:vertAlign w:val="subscript"/>
              </w:rPr>
              <w:t>3</w:t>
            </w:r>
          </w:p>
        </w:tc>
        <w:tc>
          <w:tcPr>
            <w:tcW w:w="1447" w:type="dxa"/>
            <w:shd w:val="clear" w:color="auto" w:fill="FFFFFF" w:themeFill="background1"/>
          </w:tcPr>
          <w:p w14:paraId="14AD0B91" w14:textId="77777777" w:rsidR="00200239" w:rsidRPr="003E6BE4" w:rsidRDefault="00200239" w:rsidP="00861FCE">
            <w:pPr>
              <w:spacing w:line="360" w:lineRule="auto"/>
              <w:jc w:val="center"/>
              <w:cnfStyle w:val="000000000000" w:firstRow="0" w:lastRow="0" w:firstColumn="0" w:lastColumn="0" w:oddVBand="0" w:evenVBand="0" w:oddHBand="0" w:evenHBand="0" w:firstRowFirstColumn="0" w:firstRowLastColumn="0" w:lastRowFirstColumn="0" w:lastRowLastColumn="0"/>
            </w:pPr>
            <w:r w:rsidRPr="003E6BE4">
              <w:t>675pC/N</w:t>
            </w:r>
          </w:p>
        </w:tc>
        <w:tc>
          <w:tcPr>
            <w:tcW w:w="2039" w:type="dxa"/>
            <w:shd w:val="clear" w:color="auto" w:fill="FFFFFF" w:themeFill="background1"/>
          </w:tcPr>
          <w:p w14:paraId="4DA17684" w14:textId="77777777" w:rsidR="00200239" w:rsidRPr="003E6BE4" w:rsidRDefault="00200239" w:rsidP="00861FCE">
            <w:pPr>
              <w:spacing w:line="360" w:lineRule="auto"/>
              <w:jc w:val="center"/>
              <w:cnfStyle w:val="000000000000" w:firstRow="0" w:lastRow="0" w:firstColumn="0" w:lastColumn="0" w:oddVBand="0" w:evenVBand="0" w:oddHBand="0" w:evenHBand="0" w:firstRowFirstColumn="0" w:firstRowLastColumn="0" w:lastRowFirstColumn="0" w:lastRowLastColumn="0"/>
            </w:pPr>
            <w:r w:rsidRPr="003E6BE4">
              <w:t>10-15 µm</w:t>
            </w:r>
          </w:p>
        </w:tc>
        <w:tc>
          <w:tcPr>
            <w:tcW w:w="2363" w:type="dxa"/>
            <w:shd w:val="clear" w:color="auto" w:fill="FFFFFF" w:themeFill="background1"/>
          </w:tcPr>
          <w:p w14:paraId="464C92AD" w14:textId="1B4406C4" w:rsidR="00200239" w:rsidRPr="003E6BE4" w:rsidRDefault="00615915" w:rsidP="00861FCE">
            <w:pPr>
              <w:spacing w:line="360" w:lineRule="auto"/>
              <w:jc w:val="center"/>
              <w:cnfStyle w:val="000000000000" w:firstRow="0" w:lastRow="0" w:firstColumn="0" w:lastColumn="0" w:oddVBand="0" w:evenVBand="0" w:oddHBand="0" w:evenHBand="0" w:firstRowFirstColumn="0" w:firstRowLastColumn="0" w:lastRowFirstColumn="0" w:lastRowLastColumn="0"/>
            </w:pPr>
            <w:r w:rsidRPr="003E6BE4">
              <w:t>Non-s</w:t>
            </w:r>
            <w:r w:rsidR="00200239" w:rsidRPr="003E6BE4">
              <w:t xml:space="preserve">toichiometry </w:t>
            </w:r>
            <w:r w:rsidR="00E36C29">
              <w:t>AFE</w:t>
            </w:r>
            <w:r w:rsidRPr="003E6BE4">
              <w:t xml:space="preserve"> </w:t>
            </w:r>
            <w:r w:rsidR="00200239" w:rsidRPr="003E6BE4">
              <w:t>AgNbO</w:t>
            </w:r>
            <w:r w:rsidR="00200239" w:rsidRPr="003E6BE4">
              <w:rPr>
                <w:vertAlign w:val="subscript"/>
              </w:rPr>
              <w:t>3</w:t>
            </w:r>
          </w:p>
        </w:tc>
      </w:tr>
      <w:tr w:rsidR="00A55B4A" w:rsidRPr="003E6BE4" w14:paraId="7A18B4ED" w14:textId="77777777" w:rsidTr="003153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3" w:type="dxa"/>
            <w:shd w:val="clear" w:color="auto" w:fill="FFFFFF" w:themeFill="background1"/>
          </w:tcPr>
          <w:p w14:paraId="5F02FEB5" w14:textId="77777777" w:rsidR="00200239" w:rsidRPr="003E6BE4" w:rsidRDefault="00200239" w:rsidP="00D3419A">
            <w:pPr>
              <w:spacing w:line="360" w:lineRule="auto"/>
              <w:jc w:val="both"/>
              <w:rPr>
                <w:b w:val="0"/>
              </w:rPr>
            </w:pPr>
            <w:r w:rsidRPr="003E6BE4">
              <w:rPr>
                <w:b w:val="0"/>
              </w:rPr>
              <w:t>C5</w:t>
            </w:r>
          </w:p>
        </w:tc>
        <w:tc>
          <w:tcPr>
            <w:tcW w:w="4406" w:type="dxa"/>
            <w:shd w:val="clear" w:color="auto" w:fill="FFFFFF" w:themeFill="background1"/>
          </w:tcPr>
          <w:p w14:paraId="10F245AB" w14:textId="77777777" w:rsidR="00200239" w:rsidRPr="003E6BE4" w:rsidRDefault="00200239" w:rsidP="00861FCE">
            <w:pPr>
              <w:spacing w:line="360" w:lineRule="auto"/>
              <w:jc w:val="center"/>
              <w:cnfStyle w:val="000000100000" w:firstRow="0" w:lastRow="0" w:firstColumn="0" w:lastColumn="0" w:oddVBand="0" w:evenVBand="0" w:oddHBand="1" w:evenHBand="0" w:firstRowFirstColumn="0" w:firstRowLastColumn="0" w:lastRowFirstColumn="0" w:lastRowLastColumn="0"/>
              <w:rPr>
                <w:vertAlign w:val="subscript"/>
              </w:rPr>
            </w:pPr>
            <w:r w:rsidRPr="003E6BE4">
              <w:t>0.955(K</w:t>
            </w:r>
            <w:r w:rsidRPr="003E6BE4">
              <w:rPr>
                <w:vertAlign w:val="subscript"/>
              </w:rPr>
              <w:t>0.48</w:t>
            </w:r>
            <w:r w:rsidRPr="003E6BE4">
              <w:t>Na</w:t>
            </w:r>
            <w:r w:rsidRPr="003E6BE4">
              <w:rPr>
                <w:vertAlign w:val="subscript"/>
              </w:rPr>
              <w:t>0.</w:t>
            </w:r>
            <w:proofErr w:type="gramStart"/>
            <w:r w:rsidRPr="003E6BE4">
              <w:rPr>
                <w:vertAlign w:val="subscript"/>
              </w:rPr>
              <w:t>52</w:t>
            </w:r>
            <w:r w:rsidRPr="003E6BE4">
              <w:t>)(</w:t>
            </w:r>
            <w:proofErr w:type="gramEnd"/>
            <w:r w:rsidRPr="003E6BE4">
              <w:t>Nb</w:t>
            </w:r>
            <w:r w:rsidRPr="003E6BE4">
              <w:rPr>
                <w:vertAlign w:val="subscript"/>
              </w:rPr>
              <w:t>0.93</w:t>
            </w:r>
            <w:r w:rsidRPr="003E6BE4">
              <w:t>Sb</w:t>
            </w:r>
            <w:r w:rsidRPr="003E6BE4">
              <w:rPr>
                <w:vertAlign w:val="subscript"/>
              </w:rPr>
              <w:t>0.</w:t>
            </w:r>
            <w:proofErr w:type="gramStart"/>
            <w:r w:rsidRPr="003E6BE4">
              <w:rPr>
                <w:vertAlign w:val="subscript"/>
              </w:rPr>
              <w:t>07</w:t>
            </w:r>
            <w:r w:rsidRPr="003E6BE4">
              <w:t>)O</w:t>
            </w:r>
            <w:proofErr w:type="gramEnd"/>
            <w:r w:rsidRPr="003E6BE4">
              <w:rPr>
                <w:vertAlign w:val="subscript"/>
              </w:rPr>
              <w:t>3</w:t>
            </w:r>
            <w:r w:rsidRPr="003E6BE4">
              <w:t xml:space="preserve"> – 0.04(Bi</w:t>
            </w:r>
            <w:r w:rsidRPr="003E6BE4">
              <w:rPr>
                <w:vertAlign w:val="subscript"/>
              </w:rPr>
              <w:t>0.55</w:t>
            </w:r>
            <w:r w:rsidRPr="003E6BE4">
              <w:t>Na</w:t>
            </w:r>
            <w:r w:rsidRPr="003E6BE4">
              <w:rPr>
                <w:vertAlign w:val="subscript"/>
              </w:rPr>
              <w:t>0.35</w:t>
            </w:r>
            <w:r w:rsidRPr="003E6BE4">
              <w:t>K</w:t>
            </w:r>
            <w:r w:rsidRPr="003E6BE4">
              <w:rPr>
                <w:vertAlign w:val="subscript"/>
              </w:rPr>
              <w:t>0.</w:t>
            </w:r>
            <w:proofErr w:type="gramStart"/>
            <w:r w:rsidRPr="003E6BE4">
              <w:rPr>
                <w:vertAlign w:val="subscript"/>
              </w:rPr>
              <w:t>1</w:t>
            </w:r>
            <w:r w:rsidRPr="003E6BE4">
              <w:t>)(</w:t>
            </w:r>
            <w:proofErr w:type="gramEnd"/>
            <w:r w:rsidRPr="003E6BE4">
              <w:t>Zr</w:t>
            </w:r>
            <w:r w:rsidRPr="003E6BE4">
              <w:rPr>
                <w:vertAlign w:val="subscript"/>
              </w:rPr>
              <w:t>0.96</w:t>
            </w:r>
            <w:r w:rsidRPr="003E6BE4">
              <w:t>Ti</w:t>
            </w:r>
            <w:r w:rsidRPr="003E6BE4">
              <w:rPr>
                <w:vertAlign w:val="subscript"/>
              </w:rPr>
              <w:t>0.</w:t>
            </w:r>
            <w:proofErr w:type="gramStart"/>
            <w:r w:rsidRPr="003E6BE4">
              <w:rPr>
                <w:vertAlign w:val="subscript"/>
              </w:rPr>
              <w:t>04</w:t>
            </w:r>
            <w:r w:rsidRPr="003E6BE4">
              <w:t>)O</w:t>
            </w:r>
            <w:proofErr w:type="gramEnd"/>
            <w:r w:rsidRPr="003E6BE4">
              <w:rPr>
                <w:vertAlign w:val="subscript"/>
              </w:rPr>
              <w:t xml:space="preserve">3 </w:t>
            </w:r>
            <w:r w:rsidRPr="003E6BE4">
              <w:t>– 0.005SrZrO</w:t>
            </w:r>
            <w:r w:rsidRPr="003E6BE4">
              <w:rPr>
                <w:vertAlign w:val="subscript"/>
              </w:rPr>
              <w:t>3</w:t>
            </w:r>
            <w:r w:rsidRPr="003E6BE4">
              <w:t xml:space="preserve"> – 0.005MnZrO</w:t>
            </w:r>
            <w:r w:rsidRPr="003E6BE4">
              <w:rPr>
                <w:vertAlign w:val="subscript"/>
              </w:rPr>
              <w:t>3</w:t>
            </w:r>
            <w:r w:rsidRPr="003E6BE4">
              <w:t xml:space="preserve"> – 0.3Fe</w:t>
            </w:r>
            <w:r w:rsidRPr="003E6BE4">
              <w:rPr>
                <w:vertAlign w:val="subscript"/>
              </w:rPr>
              <w:t>2</w:t>
            </w:r>
            <w:r w:rsidRPr="003E6BE4">
              <w:t>O</w:t>
            </w:r>
            <w:r w:rsidRPr="003E6BE4">
              <w:rPr>
                <w:vertAlign w:val="subscript"/>
              </w:rPr>
              <w:t>3</w:t>
            </w:r>
          </w:p>
        </w:tc>
        <w:tc>
          <w:tcPr>
            <w:tcW w:w="1447" w:type="dxa"/>
            <w:shd w:val="clear" w:color="auto" w:fill="FFFFFF" w:themeFill="background1"/>
          </w:tcPr>
          <w:p w14:paraId="3967686B" w14:textId="77777777" w:rsidR="00200239" w:rsidRPr="003E6BE4" w:rsidRDefault="00200239" w:rsidP="00861FCE">
            <w:pPr>
              <w:spacing w:line="360" w:lineRule="auto"/>
              <w:jc w:val="center"/>
              <w:cnfStyle w:val="000000100000" w:firstRow="0" w:lastRow="0" w:firstColumn="0" w:lastColumn="0" w:oddVBand="0" w:evenVBand="0" w:oddHBand="1" w:evenHBand="0" w:firstRowFirstColumn="0" w:firstRowLastColumn="0" w:lastRowFirstColumn="0" w:lastRowLastColumn="0"/>
            </w:pPr>
            <w:r w:rsidRPr="003E6BE4">
              <w:t>685pC/N</w:t>
            </w:r>
          </w:p>
        </w:tc>
        <w:tc>
          <w:tcPr>
            <w:tcW w:w="2039" w:type="dxa"/>
            <w:shd w:val="clear" w:color="auto" w:fill="FFFFFF" w:themeFill="background1"/>
          </w:tcPr>
          <w:p w14:paraId="4F1DACA8" w14:textId="77777777" w:rsidR="00200239" w:rsidRPr="003E6BE4" w:rsidRDefault="00200239" w:rsidP="00861FC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pPr>
            <w:r w:rsidRPr="003E6BE4">
              <w:t>8-12 µm</w:t>
            </w:r>
          </w:p>
        </w:tc>
        <w:tc>
          <w:tcPr>
            <w:tcW w:w="2363" w:type="dxa"/>
            <w:shd w:val="clear" w:color="auto" w:fill="FFFFFF" w:themeFill="background1"/>
          </w:tcPr>
          <w:p w14:paraId="4075966D" w14:textId="1FEF6C8A" w:rsidR="00200239" w:rsidRPr="003E6BE4" w:rsidRDefault="00A55B4A" w:rsidP="00861FC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pPr>
            <w:r w:rsidRPr="003E6BE4">
              <w:t>Same as</w:t>
            </w:r>
            <w:r w:rsidR="00200239" w:rsidRPr="003E6BE4">
              <w:t xml:space="preserve"> C2</w:t>
            </w:r>
          </w:p>
        </w:tc>
      </w:tr>
    </w:tbl>
    <w:p w14:paraId="1F10FCDB" w14:textId="77777777" w:rsidR="000F5807" w:rsidRPr="003E6BE4" w:rsidRDefault="000F5807" w:rsidP="00D3419A">
      <w:pPr>
        <w:spacing w:line="360" w:lineRule="auto"/>
        <w:jc w:val="both"/>
      </w:pPr>
    </w:p>
    <w:p w14:paraId="7F7C4402" w14:textId="4345F1EA" w:rsidR="003F1003" w:rsidRPr="00B44834" w:rsidRDefault="00DD233C" w:rsidP="00D3419A">
      <w:pPr>
        <w:spacing w:line="360" w:lineRule="auto"/>
        <w:ind w:left="360"/>
        <w:jc w:val="both"/>
      </w:pPr>
      <w:r w:rsidRPr="003E6BE4">
        <w:t xml:space="preserve">Compositions with balanced </w:t>
      </w:r>
      <w:r w:rsidR="004C0BB5">
        <w:t>substitution</w:t>
      </w:r>
      <w:r w:rsidR="004C0BB5" w:rsidRPr="003E6BE4">
        <w:t xml:space="preserve"> </w:t>
      </w:r>
      <w:r w:rsidRPr="003E6BE4">
        <w:t xml:space="preserve">strategies aimed at enhancing both </w:t>
      </w:r>
      <w:r w:rsidR="00E525FF" w:rsidRPr="003E6BE4">
        <w:t xml:space="preserve">the </w:t>
      </w:r>
      <w:r w:rsidRPr="003E6BE4">
        <w:t xml:space="preserve">piezoelectric coefficient and temperature stability were ranked higher. The predicted </w:t>
      </w:r>
      <w:r w:rsidRPr="003E6BE4">
        <w:rPr>
          <w:i/>
          <w:iCs/>
        </w:rPr>
        <w:t>d</w:t>
      </w:r>
      <w:r w:rsidRPr="003E6BE4">
        <w:rPr>
          <w:i/>
          <w:iCs/>
          <w:vertAlign w:val="subscript"/>
        </w:rPr>
        <w:t>33</w:t>
      </w:r>
      <w:r w:rsidRPr="003E6BE4">
        <w:t xml:space="preserve"> values were estimated based on the composition's similarity to known high-performing KNN-based systems and the expected synergistic effects of the various components</w:t>
      </w:r>
      <w:r w:rsidR="00C37E4D" w:rsidRPr="003E6BE4">
        <w:t xml:space="preserve"> (phase an</w:t>
      </w:r>
      <w:r w:rsidR="00231DB1" w:rsidRPr="003E6BE4">
        <w:t>d</w:t>
      </w:r>
      <w:r w:rsidR="00C37E4D" w:rsidRPr="003E6BE4">
        <w:t xml:space="preserve"> microstructure)</w:t>
      </w:r>
      <w:r w:rsidRPr="003E6BE4">
        <w:t>.</w:t>
      </w:r>
      <w:r w:rsidR="00C37E4D" w:rsidRPr="003E6BE4">
        <w:t xml:space="preserve"> Further</w:t>
      </w:r>
      <w:r w:rsidR="00E525FF" w:rsidRPr="003E6BE4">
        <w:t>more</w:t>
      </w:r>
      <w:r w:rsidR="00C37E4D" w:rsidRPr="003E6BE4">
        <w:t xml:space="preserve">, the selection of </w:t>
      </w:r>
      <w:r w:rsidR="00583179" w:rsidRPr="003E6BE4">
        <w:t>the most</w:t>
      </w:r>
      <w:r w:rsidR="00685CAD" w:rsidRPr="003E6BE4">
        <w:t xml:space="preserve"> suitable </w:t>
      </w:r>
      <w:r w:rsidR="003B6065" w:rsidRPr="003E6BE4">
        <w:t xml:space="preserve">candidates from the list </w:t>
      </w:r>
      <w:r w:rsidR="00E525FF" w:rsidRPr="003E6BE4">
        <w:t>in T</w:t>
      </w:r>
      <w:r w:rsidR="003B6065" w:rsidRPr="003E6BE4">
        <w:t>able</w:t>
      </w:r>
      <w:r w:rsidR="00C3232E" w:rsidRPr="003E6BE4">
        <w:t xml:space="preserve"> </w:t>
      </w:r>
      <w:r w:rsidR="003A6CA8" w:rsidRPr="003E6BE4">
        <w:t>S2</w:t>
      </w:r>
      <w:r w:rsidR="003B6065" w:rsidRPr="003E6BE4">
        <w:t xml:space="preserve"> is based on </w:t>
      </w:r>
      <w:r w:rsidR="00E525FF" w:rsidRPr="003E6BE4">
        <w:t xml:space="preserve">a </w:t>
      </w:r>
      <w:r w:rsidR="003B6065" w:rsidRPr="003E6BE4">
        <w:t xml:space="preserve">meticulous </w:t>
      </w:r>
      <w:r w:rsidR="00231DB1" w:rsidRPr="003E6BE4">
        <w:t>interpretation of each composition (human</w:t>
      </w:r>
      <w:r w:rsidR="00E525FF" w:rsidRPr="003E6BE4">
        <w:t>-in-the-</w:t>
      </w:r>
      <w:r w:rsidR="00231DB1" w:rsidRPr="003E6BE4">
        <w:t>loop).</w:t>
      </w:r>
      <w:r w:rsidR="00B86DEB">
        <w:t xml:space="preserve"> For the example composition</w:t>
      </w:r>
      <w:r w:rsidR="006174B0" w:rsidRPr="003E6BE4">
        <w:t xml:space="preserve"> </w:t>
      </w:r>
      <w:r w:rsidR="003F1003" w:rsidRPr="003E6BE4">
        <w:t>0.957(K</w:t>
      </w:r>
      <w:r w:rsidR="003F1003" w:rsidRPr="003E6BE4">
        <w:rPr>
          <w:vertAlign w:val="subscript"/>
        </w:rPr>
        <w:t>0.47</w:t>
      </w:r>
      <w:r w:rsidR="003F1003" w:rsidRPr="003E6BE4">
        <w:t>Na</w:t>
      </w:r>
      <w:r w:rsidR="003F1003" w:rsidRPr="003E6BE4">
        <w:rPr>
          <w:vertAlign w:val="subscript"/>
        </w:rPr>
        <w:t>0.53</w:t>
      </w:r>
      <w:r w:rsidR="003F1003" w:rsidRPr="003E6BE4">
        <w:t>)(Nb</w:t>
      </w:r>
      <w:r w:rsidR="003F1003" w:rsidRPr="003E6BE4">
        <w:rPr>
          <w:vertAlign w:val="subscript"/>
        </w:rPr>
        <w:t>0.94</w:t>
      </w:r>
      <w:r w:rsidR="003F1003" w:rsidRPr="003E6BE4">
        <w:t>Sb</w:t>
      </w:r>
      <w:r w:rsidR="003F1003" w:rsidRPr="003E6BE4">
        <w:rPr>
          <w:vertAlign w:val="subscript"/>
        </w:rPr>
        <w:t>0.06</w:t>
      </w:r>
      <w:r w:rsidR="003F1003" w:rsidRPr="003E6BE4">
        <w:t>)O</w:t>
      </w:r>
      <w:r w:rsidR="003F1003" w:rsidRPr="003E6BE4">
        <w:rPr>
          <w:vertAlign w:val="subscript"/>
        </w:rPr>
        <w:t>3</w:t>
      </w:r>
      <w:r w:rsidR="003F1003" w:rsidRPr="003E6BE4">
        <w:t>–0.038(Bi</w:t>
      </w:r>
      <w:r w:rsidR="003F1003" w:rsidRPr="003E6BE4">
        <w:rPr>
          <w:vertAlign w:val="subscript"/>
        </w:rPr>
        <w:t>0.6</w:t>
      </w:r>
      <w:r w:rsidR="003F1003" w:rsidRPr="003E6BE4">
        <w:t>Na</w:t>
      </w:r>
      <w:r w:rsidR="003F1003" w:rsidRPr="003E6BE4">
        <w:rPr>
          <w:vertAlign w:val="subscript"/>
        </w:rPr>
        <w:t>0.3</w:t>
      </w:r>
      <w:r w:rsidR="003F1003" w:rsidRPr="003E6BE4">
        <w:t>K</w:t>
      </w:r>
      <w:r w:rsidR="003F1003" w:rsidRPr="003E6BE4">
        <w:rPr>
          <w:vertAlign w:val="subscript"/>
        </w:rPr>
        <w:t>0.1</w:t>
      </w:r>
      <w:r w:rsidR="003F1003" w:rsidRPr="003E6BE4">
        <w:t>)(Zr</w:t>
      </w:r>
      <w:r w:rsidR="003F1003" w:rsidRPr="003E6BE4">
        <w:rPr>
          <w:vertAlign w:val="subscript"/>
        </w:rPr>
        <w:t>0.95</w:t>
      </w:r>
      <w:r w:rsidR="003F1003" w:rsidRPr="003E6BE4">
        <w:t>Ti</w:t>
      </w:r>
      <w:r w:rsidR="003F1003" w:rsidRPr="003E6BE4">
        <w:rPr>
          <w:vertAlign w:val="subscript"/>
        </w:rPr>
        <w:t>0.05</w:t>
      </w:r>
      <w:r w:rsidR="003F1003" w:rsidRPr="003E6BE4">
        <w:t>)O</w:t>
      </w:r>
      <w:r w:rsidR="003F1003" w:rsidRPr="003E6BE4">
        <w:rPr>
          <w:vertAlign w:val="subscript"/>
        </w:rPr>
        <w:t>3</w:t>
      </w:r>
      <w:r w:rsidR="003F1003" w:rsidRPr="003E6BE4">
        <w:t>–0.005BaZrO</w:t>
      </w:r>
      <w:r w:rsidR="003F1003" w:rsidRPr="003E6BE4">
        <w:rPr>
          <w:vertAlign w:val="subscript"/>
        </w:rPr>
        <w:t>3</w:t>
      </w:r>
      <w:r w:rsidR="003F1003" w:rsidRPr="003E6BE4">
        <w:t>-0.005MnZrO</w:t>
      </w:r>
      <w:r w:rsidR="003F1003" w:rsidRPr="003E6BE4">
        <w:rPr>
          <w:vertAlign w:val="subscript"/>
        </w:rPr>
        <w:t>3</w:t>
      </w:r>
      <w:r w:rsidR="003F1003" w:rsidRPr="003E6BE4">
        <w:t xml:space="preserve"> – 0.2Fe</w:t>
      </w:r>
      <w:r w:rsidR="003F1003" w:rsidRPr="003E6BE4">
        <w:rPr>
          <w:vertAlign w:val="subscript"/>
        </w:rPr>
        <w:t>2</w:t>
      </w:r>
      <w:r w:rsidR="003F1003" w:rsidRPr="003E6BE4">
        <w:t>O</w:t>
      </w:r>
      <w:r w:rsidR="003F1003" w:rsidRPr="003E6BE4">
        <w:rPr>
          <w:vertAlign w:val="subscript"/>
        </w:rPr>
        <w:t>3</w:t>
      </w:r>
      <w:r w:rsidR="003F1003" w:rsidRPr="003E6BE4">
        <w:t xml:space="preserve"> ; the sum of coefficient of each additive, except Fe</w:t>
      </w:r>
      <w:r w:rsidR="003F1003" w:rsidRPr="003E6BE4">
        <w:rPr>
          <w:vertAlign w:val="subscript"/>
        </w:rPr>
        <w:t>2</w:t>
      </w:r>
      <w:r w:rsidR="003F1003" w:rsidRPr="003E6BE4">
        <w:t>O</w:t>
      </w:r>
      <w:r w:rsidR="003F1003" w:rsidRPr="003E6BE4">
        <w:rPr>
          <w:vertAlign w:val="subscript"/>
        </w:rPr>
        <w:t>3</w:t>
      </w:r>
      <w:r w:rsidR="003F1003" w:rsidRPr="003E6BE4">
        <w:t xml:space="preserve"> which is a sintering aid should make up to ‘1’. </w:t>
      </w:r>
      <w:r w:rsidR="00D06D1D" w:rsidRPr="003E6BE4">
        <w:t>But</w:t>
      </w:r>
      <w:r w:rsidR="003F1003" w:rsidRPr="003E6BE4">
        <w:t xml:space="preserve"> the sum is (0.957+0.038+0.005+0.005 = 1.005). Few </w:t>
      </w:r>
      <w:r w:rsidR="00A40D8B" w:rsidRPr="003E6BE4">
        <w:t>literatures</w:t>
      </w:r>
      <w:r w:rsidR="003F1003" w:rsidRPr="003E6BE4">
        <w:t xml:space="preserve"> report it as ABO</w:t>
      </w:r>
      <w:r w:rsidR="003F1003" w:rsidRPr="003E6BE4">
        <w:rPr>
          <w:vertAlign w:val="subscript"/>
        </w:rPr>
        <w:t xml:space="preserve">(3+2n) </w:t>
      </w:r>
      <w:r w:rsidR="003F1003" w:rsidRPr="003E6BE4">
        <w:t>or changing the molar ratio of O</w:t>
      </w:r>
      <w:r w:rsidR="003F1003" w:rsidRPr="003E6BE4">
        <w:rPr>
          <w:vertAlign w:val="superscript"/>
        </w:rPr>
        <w:t>2-</w:t>
      </w:r>
      <w:r w:rsidR="00E525FF" w:rsidRPr="003E6BE4">
        <w:rPr>
          <w:vertAlign w:val="superscript"/>
        </w:rPr>
        <w:t>,</w:t>
      </w:r>
      <w:r w:rsidR="003F1003" w:rsidRPr="003E6BE4">
        <w:t xml:space="preserve"> which </w:t>
      </w:r>
      <w:r w:rsidR="00145629" w:rsidRPr="003E6BE4">
        <w:t xml:space="preserve">can </w:t>
      </w:r>
      <w:r w:rsidR="00E525FF" w:rsidRPr="003E6BE4">
        <w:t>result in</w:t>
      </w:r>
      <w:r w:rsidR="003F1003" w:rsidRPr="003E6BE4">
        <w:t xml:space="preserve"> a defective composition and </w:t>
      </w:r>
      <w:r w:rsidR="00E525FF" w:rsidRPr="003E6BE4">
        <w:t xml:space="preserve">make it </w:t>
      </w:r>
      <w:r w:rsidR="003F1003" w:rsidRPr="003E6BE4">
        <w:t>difficult to synthesize</w:t>
      </w:r>
      <w:r w:rsidR="00145629" w:rsidRPr="003E6BE4">
        <w:t xml:space="preserve"> with </w:t>
      </w:r>
      <w:r w:rsidR="00E525FF" w:rsidRPr="003E6BE4">
        <w:t xml:space="preserve">the </w:t>
      </w:r>
      <w:r w:rsidR="00145629" w:rsidRPr="003E6BE4">
        <w:t>appropriate stoichiometry</w:t>
      </w:r>
      <w:r w:rsidR="003F1003" w:rsidRPr="003E6BE4">
        <w:t>.</w:t>
      </w:r>
      <w:r w:rsidR="00A01C80">
        <w:t xml:space="preserve"> </w:t>
      </w:r>
      <w:r w:rsidR="003F1003" w:rsidRPr="00953685">
        <w:t>Since the prediction is more of a statistical analysis</w:t>
      </w:r>
      <w:r w:rsidR="00E525FF" w:rsidRPr="00953685">
        <w:t>,</w:t>
      </w:r>
      <w:r w:rsidR="003F1003" w:rsidRPr="00953685">
        <w:t xml:space="preserve"> and one of the prompts used was “</w:t>
      </w:r>
      <w:r w:rsidR="007459BB" w:rsidRPr="00953685">
        <w:t xml:space="preserve">introduce new elements that can potentially increase </w:t>
      </w:r>
      <w:r w:rsidR="007459BB" w:rsidRPr="00953685">
        <w:rPr>
          <w:i/>
        </w:rPr>
        <w:t>d</w:t>
      </w:r>
      <w:r w:rsidR="007459BB" w:rsidRPr="00953685">
        <w:rPr>
          <w:i/>
          <w:vertAlign w:val="subscript"/>
        </w:rPr>
        <w:t>33</w:t>
      </w:r>
      <w:r w:rsidR="003F1003" w:rsidRPr="00953685">
        <w:t xml:space="preserve">, the combination of dopants in individual additives </w:t>
      </w:r>
      <w:r w:rsidR="00C431AA" w:rsidRPr="00953685">
        <w:t xml:space="preserve">is </w:t>
      </w:r>
      <w:r w:rsidR="003F1003" w:rsidRPr="00953685">
        <w:t>random. Let’s assume in composition C2 and C5, MnZrO</w:t>
      </w:r>
      <w:r w:rsidR="003F1003" w:rsidRPr="00953685">
        <w:rPr>
          <w:vertAlign w:val="subscript"/>
        </w:rPr>
        <w:t>3</w:t>
      </w:r>
      <w:r w:rsidR="003F1003" w:rsidRPr="00953685">
        <w:t xml:space="preserve"> cannot be experimentally synthesized because Mn</w:t>
      </w:r>
      <w:r w:rsidR="003F1003" w:rsidRPr="00953685">
        <w:rPr>
          <w:vertAlign w:val="superscript"/>
        </w:rPr>
        <w:t>4+</w:t>
      </w:r>
      <w:r w:rsidR="003F1003" w:rsidRPr="00953685">
        <w:t>, Zr</w:t>
      </w:r>
      <w:r w:rsidR="003F1003" w:rsidRPr="00953685">
        <w:rPr>
          <w:vertAlign w:val="superscript"/>
        </w:rPr>
        <w:t>4+</w:t>
      </w:r>
      <w:r w:rsidR="003F1003" w:rsidRPr="00953685">
        <w:t xml:space="preserve"> combine to form 8</w:t>
      </w:r>
      <w:r w:rsidR="003F1003" w:rsidRPr="00953685">
        <w:rPr>
          <w:vertAlign w:val="superscript"/>
        </w:rPr>
        <w:t>+</w:t>
      </w:r>
      <w:r w:rsidR="003F1003" w:rsidRPr="00953685">
        <w:t xml:space="preserve"> for cation</w:t>
      </w:r>
      <w:r w:rsidR="000C6EDC" w:rsidRPr="00953685">
        <w:t>,</w:t>
      </w:r>
      <w:r w:rsidR="003F1003" w:rsidRPr="00953685">
        <w:t xml:space="preserve"> but however, 3</w:t>
      </w:r>
      <w:r w:rsidR="0009689B" w:rsidRPr="00953685">
        <w:t xml:space="preserve"> x </w:t>
      </w:r>
      <w:r w:rsidR="003F1003" w:rsidRPr="00953685">
        <w:t>O</w:t>
      </w:r>
      <w:r w:rsidR="003F1003" w:rsidRPr="00953685">
        <w:rPr>
          <w:vertAlign w:val="superscript"/>
        </w:rPr>
        <w:t>2-</w:t>
      </w:r>
      <w:r w:rsidR="003F1003" w:rsidRPr="00953685">
        <w:t xml:space="preserve"> (O</w:t>
      </w:r>
      <w:r w:rsidR="003F1003" w:rsidRPr="00953685">
        <w:rPr>
          <w:vertAlign w:val="subscript"/>
        </w:rPr>
        <w:t>3</w:t>
      </w:r>
      <w:r w:rsidR="003F1003" w:rsidRPr="00953685">
        <w:t>) makes 6</w:t>
      </w:r>
      <w:r w:rsidR="003F1003" w:rsidRPr="00953685">
        <w:rPr>
          <w:vertAlign w:val="superscript"/>
        </w:rPr>
        <w:t>-</w:t>
      </w:r>
      <w:r w:rsidR="003F1003" w:rsidRPr="00953685">
        <w:t xml:space="preserve"> for anion</w:t>
      </w:r>
      <w:r w:rsidR="000C6EDC" w:rsidRPr="00953685">
        <w:t>,</w:t>
      </w:r>
      <w:r w:rsidR="003F1003" w:rsidRPr="00953685">
        <w:t xml:space="preserve"> which is in the form of </w:t>
      </w:r>
      <w:proofErr w:type="spellStart"/>
      <w:r w:rsidR="003F1003" w:rsidRPr="00953685">
        <w:t>MnZrO</w:t>
      </w:r>
      <w:proofErr w:type="spellEnd"/>
      <w:r w:rsidR="003F1003" w:rsidRPr="00953685">
        <w:rPr>
          <w:vertAlign w:val="subscript"/>
        </w:rPr>
        <w:t>(3+2n)</w:t>
      </w:r>
      <w:r w:rsidR="000C6EDC" w:rsidRPr="00953685">
        <w:rPr>
          <w:vertAlign w:val="subscript"/>
        </w:rPr>
        <w:t>,</w:t>
      </w:r>
      <w:r w:rsidR="003F1003" w:rsidRPr="00953685">
        <w:rPr>
          <w:vertAlign w:val="subscript"/>
        </w:rPr>
        <w:t xml:space="preserve"> </w:t>
      </w:r>
      <w:r w:rsidR="003F1003" w:rsidRPr="00953685">
        <w:t>forming a defective oxide.</w:t>
      </w:r>
      <w:r w:rsidR="00A01C80">
        <w:t xml:space="preserve"> Secondly, t</w:t>
      </w:r>
      <w:r w:rsidR="003F1003" w:rsidRPr="00A01C80">
        <w:t>he effect of Bi</w:t>
      </w:r>
      <w:r w:rsidR="003F1003" w:rsidRPr="00A01C80">
        <w:rPr>
          <w:vertAlign w:val="superscript"/>
        </w:rPr>
        <w:t>3+</w:t>
      </w:r>
      <w:r w:rsidR="003F1003" w:rsidRPr="00A01C80">
        <w:t xml:space="preserve"> has been rigorously </w:t>
      </w:r>
      <w:r w:rsidR="00C431AA" w:rsidRPr="00A01C80">
        <w:lastRenderedPageBreak/>
        <w:t xml:space="preserve">explored </w:t>
      </w:r>
      <w:r w:rsidR="003F1003" w:rsidRPr="00A01C80">
        <w:t xml:space="preserve">in </w:t>
      </w:r>
      <w:r w:rsidR="00C431AA" w:rsidRPr="00A01C80">
        <w:t xml:space="preserve">the </w:t>
      </w:r>
      <w:r w:rsidR="003F1003" w:rsidRPr="00A01C80">
        <w:t>literature</w:t>
      </w:r>
      <w:r w:rsidR="00C431AA" w:rsidRPr="00A01C80">
        <w:t>,</w:t>
      </w:r>
      <w:r w:rsidR="003F1003" w:rsidRPr="00A01C80">
        <w:t xml:space="preserve"> and it affects the electronegativity of A-O bond</w:t>
      </w:r>
      <w:r w:rsidR="00C431AA" w:rsidRPr="00A01C80">
        <w:t>s,</w:t>
      </w:r>
      <w:r w:rsidR="003F1003" w:rsidRPr="00A01C80">
        <w:t xml:space="preserve"> resulting in </w:t>
      </w:r>
      <w:r w:rsidR="00C431AA" w:rsidRPr="00A01C80">
        <w:t xml:space="preserve">the </w:t>
      </w:r>
      <w:r w:rsidR="003F1003" w:rsidRPr="00A01C80">
        <w:t xml:space="preserve">degradation of all electrical properties </w:t>
      </w:r>
      <w:r w:rsidR="0030797B" w:rsidRPr="00A01C80">
        <w:t>at increased concentration</w:t>
      </w:r>
      <w:r w:rsidR="00C431AA" w:rsidRPr="00A01C80">
        <w:t>s</w:t>
      </w:r>
      <w:r w:rsidR="003F1003" w:rsidRPr="00A01C80">
        <w:t>.</w:t>
      </w:r>
      <w:r w:rsidR="003F1003" w:rsidRPr="00A01C80">
        <w:fldChar w:fldCharType="begin" w:fldLock="1"/>
      </w:r>
      <w:r w:rsidR="003F1003" w:rsidRPr="00A01C80">
        <w:instrText>ADDIN CSL_CITATION {"citationItems":[{"id":"ITEM-1","itemData":{"DOI":"10.1021/ACSAMI.0C14910/ASSET/IMAGES/MEDIUM/AM0C14910_M002.GIF","ISSN":"19448252","PMID":"33085457","abstract":"Although a room-temperature multiphase coexistence (MPC) strategy improves the piezoelectric coefficient (d33) of potassium sodium niobate ((K,Na)NbO3, KNN) ceramics, it still suffers from the dependencies on composition and temperature, making it remain challenging to further improve d33 and temperature stability of strain for an already-built MPC. Here, we proposed a new route to resolve this issue, that is, tuning the covalency of A-O bonds in an already-built MPC. We chose 0.96(Na0.60K0.40)(Nb0.955Sb0.045)O3-0.04(Bi0.5Na0.5)ZrO3 ceramics as an already-built MPC and replaced (Bi0.5Na0.5)2+ with Ba2+ to tune the covalency of A-O bonds. Thus, we synthesized 0.96(Na0.60K0.40)(Nb0.955Sb0.045)O3-0.04(Bi0.5Na0.5)1-xBaxZrO3 ceramics. We not only improved d33 values from 450 pC/N (at x = 0) to 500-505 pC/N (at x = 0.05-0.10) but also obtained the enhanced temperature stability for strain at x = 0.10, outperforming that of samples with x = 0 and other KNN-based ceramics. The increased d33 is attributed to the well-preserved MPC and the repaired long-range ordering, and the improved temperature stability of strain is due to shifting the MPC to a slightly higher temperature than room temperature. Therefore, the new route is useful to further improve the performance of an already-built MPC, benefiting to the future design of MPC and the practical application of KNN-based ceramics.","author":[{"dropping-particle":"","family":"Lv","given":"Xiang","non-dropping-particle":"","parse-names":false,"suffix":""},{"dropping-particle":"","family":"Wu","given":"Jiagang","non-dropping-particle":"","parse-names":false,"suffix":""},{"dropping-particle":"","family":"Zhang","given":"Xi Xiang","non-dropping-particle":"","parse-names":false,"suffix":""}],"container-title":"ACS Applied Materials and Interfaces","id":"ITEM-1","issue":"44","issued":{"date-parts":[["2020","11","4"]]},"page":"49795-49804","publisher":"American Chemical Society","title":"Tuning the Covalency of A-O Bonds to Improve the Performance of KNN-Based Ceramics with Multiphase Coexistence","type":"article-journal","volume":"12"},"uris":["http://www.mendeley.com/documents/?uuid=095b2f92-e579-37cb-80b7-9852c813025e"]}],"mendeley":{"formattedCitation":"&lt;sup&gt;2&lt;/sup&gt;","plainTextFormattedCitation":"2","previouslyFormattedCitation":"&lt;sup&gt;2&lt;/sup&gt;"},"properties":{"noteIndex":0},"schema":"https://github.com/citation-style-language/schema/raw/master/csl-citation.json"}</w:instrText>
      </w:r>
      <w:r w:rsidR="003F1003" w:rsidRPr="00A01C80">
        <w:fldChar w:fldCharType="separate"/>
      </w:r>
      <w:r w:rsidR="003F1003" w:rsidRPr="00A01C80">
        <w:rPr>
          <w:noProof/>
          <w:vertAlign w:val="superscript"/>
        </w:rPr>
        <w:t>2</w:t>
      </w:r>
      <w:r w:rsidR="003F1003" w:rsidRPr="00A01C80">
        <w:fldChar w:fldCharType="end"/>
      </w:r>
      <w:r w:rsidR="003F1003" w:rsidRPr="00A01C80">
        <w:t xml:space="preserve"> </w:t>
      </w:r>
    </w:p>
    <w:p w14:paraId="48A3AFE1" w14:textId="31E47703" w:rsidR="003F1003" w:rsidRPr="003E6BE4" w:rsidRDefault="003F1003" w:rsidP="00D3419A">
      <w:pPr>
        <w:spacing w:line="360" w:lineRule="auto"/>
        <w:ind w:left="360"/>
        <w:jc w:val="both"/>
      </w:pPr>
      <w:r w:rsidRPr="003E6BE4">
        <w:t xml:space="preserve">The difference in the predicted </w:t>
      </w:r>
      <w:r w:rsidRPr="003E6BE4">
        <w:rPr>
          <w:i/>
          <w:iCs/>
        </w:rPr>
        <w:t>d</w:t>
      </w:r>
      <w:r w:rsidRPr="003E6BE4">
        <w:rPr>
          <w:i/>
          <w:iCs/>
          <w:vertAlign w:val="subscript"/>
        </w:rPr>
        <w:t>33</w:t>
      </w:r>
      <w:r w:rsidRPr="003E6BE4">
        <w:t xml:space="preserve"> between the compositions in </w:t>
      </w:r>
      <w:r w:rsidR="00C431AA" w:rsidRPr="003E6BE4">
        <w:t xml:space="preserve">the </w:t>
      </w:r>
      <w:r w:rsidRPr="003E6BE4">
        <w:t>respective group is not significant</w:t>
      </w:r>
      <w:r w:rsidR="000C6EDC" w:rsidRPr="003E6BE4">
        <w:t>. C</w:t>
      </w:r>
      <w:r w:rsidRPr="003E6BE4">
        <w:t>onsidering the above points, compositions C2, C4</w:t>
      </w:r>
      <w:r w:rsidR="00C431AA" w:rsidRPr="003E6BE4">
        <w:t>,</w:t>
      </w:r>
      <w:r w:rsidRPr="003E6BE4">
        <w:t xml:space="preserve"> and C5 can be disregarded due to non-stoichiometry. Further</w:t>
      </w:r>
      <w:r w:rsidR="00C431AA" w:rsidRPr="003E6BE4">
        <w:t>more</w:t>
      </w:r>
      <w:r w:rsidRPr="003E6BE4">
        <w:t xml:space="preserve">, the selection between C1 and C3 can be </w:t>
      </w:r>
      <w:r w:rsidR="00C431AA" w:rsidRPr="003E6BE4">
        <w:t>made based</w:t>
      </w:r>
      <w:r w:rsidRPr="003E6BE4">
        <w:t xml:space="preserve"> on the part of </w:t>
      </w:r>
      <w:r w:rsidR="000C6EDC" w:rsidRPr="003E6BE4">
        <w:t xml:space="preserve">the </w:t>
      </w:r>
      <w:r w:rsidRPr="003E6BE4">
        <w:t xml:space="preserve">dopants. Comparing based on </w:t>
      </w:r>
      <w:r w:rsidR="00C431AA" w:rsidRPr="003E6BE4">
        <w:t xml:space="preserve">the </w:t>
      </w:r>
      <w:r w:rsidRPr="003E6BE4">
        <w:t>content of Bi at ‘A’ site and other additives, C1 has a greater number of additives, specifically (Sr</w:t>
      </w:r>
      <w:r w:rsidRPr="003E6BE4">
        <w:rPr>
          <w:vertAlign w:val="subscript"/>
        </w:rPr>
        <w:t>0.7</w:t>
      </w:r>
      <w:r w:rsidRPr="003E6BE4">
        <w:t>Ca</w:t>
      </w:r>
      <w:r w:rsidRPr="003E6BE4">
        <w:rPr>
          <w:vertAlign w:val="subscript"/>
        </w:rPr>
        <w:t>0.3</w:t>
      </w:r>
      <w:r w:rsidRPr="003E6BE4">
        <w:t>)ZrO</w:t>
      </w:r>
      <w:r w:rsidRPr="003E6BE4">
        <w:rPr>
          <w:vertAlign w:val="subscript"/>
        </w:rPr>
        <w:t>3</w:t>
      </w:r>
      <w:r w:rsidR="00C431AA" w:rsidRPr="003E6BE4">
        <w:t xml:space="preserve">, </w:t>
      </w:r>
      <w:r w:rsidRPr="003E6BE4">
        <w:t>which can tune the phase content as well as piezoelectric properties</w:t>
      </w:r>
      <w:r w:rsidR="0053007A" w:rsidRPr="003E6BE4">
        <w:t xml:space="preserve"> more finely</w:t>
      </w:r>
      <w:r w:rsidRPr="003E6BE4">
        <w:t>.</w:t>
      </w:r>
      <w:r w:rsidRPr="003E6BE4">
        <w:fldChar w:fldCharType="begin" w:fldLock="1"/>
      </w:r>
      <w:r w:rsidRPr="003E6BE4">
        <w:instrText>ADDIN CSL_CITATION {"citationItems":[{"id":"ITEM-1","itemData":{"DOI":"10.1016/j.jallcom.2019.152252","ISSN":"09258388","abstract":"The lead-free (K0.48Na0.52)(Nb0.97Sb0.03)O3-0.05Srx(Bi0.5Na0.5)(1-x)ZrO3-0.15%Fe2O3 (KNNSb-SrxBNZ) ceramics were synthesized using a conventional solid-state method. The influences of Sr2+ content on the crystal structure, microstructure, ferro/di/piezoelectric properties, and temperature stability of the ceramics were systematically researched. All the KNNSb-SrxBNZ ceramics possess pure perovskite structure with rhombohedral, orthorhombic and tetragonal co-existing phases from x = 0 to x = 0.3. The surface morphological analysis further indicates that the appropriate amount of Sr2+ brought great contribution to grain growth. The optimal comprehensive electrical properties (d33 = 470 pC/N, kp = 0.55, TC = 251 °C) were simultaneously obtained in the sample with x = 0.1. In addition, the as-prepared ceramics exhibited excellent thermal stability in a wide temperature range (Ta = 250 °C, Δd33 ≥ 90%). Therefore, the KNNSb-SrxBNZ material system will be a promising candidate for the future applications.","author":[{"dropping-particle":"","family":"Cheng","given":"Yuan","non-dropping-particle":"","parse-names":false,"suffix":""},{"dropping-particle":"","family":"Xing","given":"Jie","non-dropping-particle":"","parse-names":false,"suffix":""},{"dropping-particle":"","family":"Wu","given":"Chao","non-dropping-particle":"","parse-names":false,"suffix":""},{"dropping-particle":"","family":"Wang","given":"Ting","non-dropping-particle":"","parse-names":false,"suffix":""},{"dropping-particle":"","family":"Xie","given":"Lixu","non-dropping-particle":"","parse-names":false,"suffix":""},{"dropping-particle":"","family":"Liu","given":"Yixuan","non-dropping-particle":"","parse-names":false,"suffix":""},{"dropping-particle":"","family":"Xu","given":"Xingyu","non-dropping-particle":"","parse-names":false,"suffix":""},{"dropping-particle":"","family":"Wang","given":"Ke","non-dropping-particle":"","parse-names":false,"suffix":""},{"dropping-particle":"","family":"Xiao","given":"Dingquan","non-dropping-particle":"","parse-names":false,"suffix":""},{"dropping-particle":"","family":"Zhu","given":"Jianguo","non-dropping-particle":"","parse-names":false,"suffix":""}],"container-title":"Journal of Alloys and Compounds","id":"ITEM-1","issued":{"date-parts":[["2020"]]},"page":"152252","publisher":"Elsevier B.V","title":"Investigation of high piezoelectric properties of KNNSb-SrxBNZ ceramics","type":"article-journal","volume":"815"},"uris":["http://www.mendeley.com/documents/?uuid=c6773ace-34ba-4c43-9cc4-46e8da542e76"]}],"mendeley":{"formattedCitation":"&lt;sup&gt;3&lt;/sup&gt;","plainTextFormattedCitation":"3","previouslyFormattedCitation":"&lt;sup&gt;3&lt;/sup&gt;"},"properties":{"noteIndex":0},"schema":"https://github.com/citation-style-language/schema/raw/master/csl-citation.json"}</w:instrText>
      </w:r>
      <w:r w:rsidRPr="003E6BE4">
        <w:fldChar w:fldCharType="separate"/>
      </w:r>
      <w:r w:rsidRPr="003E6BE4">
        <w:rPr>
          <w:noProof/>
          <w:vertAlign w:val="superscript"/>
        </w:rPr>
        <w:t>3</w:t>
      </w:r>
      <w:r w:rsidRPr="003E6BE4">
        <w:fldChar w:fldCharType="end"/>
      </w:r>
    </w:p>
    <w:p w14:paraId="5F3BDF20" w14:textId="77777777" w:rsidR="00DB6B0E" w:rsidRPr="003E6BE4" w:rsidRDefault="00DB6B0E" w:rsidP="00D3419A">
      <w:pPr>
        <w:spacing w:line="360" w:lineRule="auto"/>
        <w:jc w:val="both"/>
      </w:pPr>
    </w:p>
    <w:p w14:paraId="6826D366" w14:textId="77777777" w:rsidR="00BD116E" w:rsidRDefault="00BD116E" w:rsidP="00D3419A">
      <w:pPr>
        <w:spacing w:line="360" w:lineRule="auto"/>
        <w:jc w:val="both"/>
      </w:pPr>
    </w:p>
    <w:p w14:paraId="4643EAB0" w14:textId="77777777" w:rsidR="00A900E7" w:rsidRDefault="00A900E7">
      <w:pPr>
        <w:ind w:left="720" w:hanging="360"/>
        <w:jc w:val="both"/>
      </w:pPr>
      <w:r>
        <w:br w:type="page"/>
      </w:r>
    </w:p>
    <w:p w14:paraId="5EC61280" w14:textId="6BE4DECA" w:rsidR="00FC30F8" w:rsidRPr="0063165C" w:rsidRDefault="00A06309" w:rsidP="00D3419A">
      <w:pPr>
        <w:spacing w:line="360" w:lineRule="auto"/>
        <w:jc w:val="both"/>
        <w:rPr>
          <w:bCs/>
        </w:rPr>
      </w:pPr>
      <w:r w:rsidRPr="0063165C">
        <w:rPr>
          <w:bCs/>
        </w:rPr>
        <w:lastRenderedPageBreak/>
        <w:t>Tabl</w:t>
      </w:r>
      <w:r w:rsidR="00EA3E60" w:rsidRPr="0063165C">
        <w:rPr>
          <w:bCs/>
        </w:rPr>
        <w:t>e</w:t>
      </w:r>
      <w:r w:rsidR="00647DA6" w:rsidRPr="0063165C">
        <w:rPr>
          <w:bCs/>
        </w:rPr>
        <w:t xml:space="preserve"> S</w:t>
      </w:r>
      <w:r w:rsidR="001A1A17" w:rsidRPr="0063165C">
        <w:rPr>
          <w:bCs/>
        </w:rPr>
        <w:t>3</w:t>
      </w:r>
      <w:r w:rsidR="00647DA6" w:rsidRPr="0063165C">
        <w:rPr>
          <w:bCs/>
        </w:rPr>
        <w:t xml:space="preserve">. List of </w:t>
      </w:r>
      <w:r w:rsidR="00C35A67" w:rsidRPr="0063165C">
        <w:rPr>
          <w:bCs/>
        </w:rPr>
        <w:t>compositions with low/mo</w:t>
      </w:r>
      <w:r w:rsidR="00EA3E60" w:rsidRPr="0063165C">
        <w:rPr>
          <w:bCs/>
        </w:rPr>
        <w:t>de</w:t>
      </w:r>
      <w:r w:rsidR="00C35A67" w:rsidRPr="0063165C">
        <w:rPr>
          <w:bCs/>
        </w:rPr>
        <w:t>rat</w:t>
      </w:r>
      <w:r w:rsidR="00EA3E60" w:rsidRPr="0063165C">
        <w:rPr>
          <w:bCs/>
        </w:rPr>
        <w:t xml:space="preserve">e </w:t>
      </w:r>
      <w:r w:rsidR="00EA3E60" w:rsidRPr="0063165C">
        <w:rPr>
          <w:bCs/>
          <w:i/>
          <w:iCs/>
        </w:rPr>
        <w:t>d</w:t>
      </w:r>
      <w:r w:rsidR="00EA3E60" w:rsidRPr="0063165C">
        <w:rPr>
          <w:bCs/>
          <w:i/>
          <w:iCs/>
          <w:vertAlign w:val="subscript"/>
        </w:rPr>
        <w:t>33</w:t>
      </w:r>
      <w:r w:rsidR="00EA3E60" w:rsidRPr="0063165C">
        <w:rPr>
          <w:bCs/>
        </w:rPr>
        <w:t xml:space="preserve"> </w:t>
      </w:r>
      <w:r w:rsidR="00C35A67" w:rsidRPr="0063165C">
        <w:rPr>
          <w:bCs/>
        </w:rPr>
        <w:t xml:space="preserve">  </w:t>
      </w:r>
      <w:r w:rsidRPr="0063165C">
        <w:rPr>
          <w:bCs/>
        </w:rPr>
        <w:t xml:space="preserve"> </w:t>
      </w:r>
    </w:p>
    <w:p w14:paraId="4C8984F2" w14:textId="77777777" w:rsidR="00FC30F8" w:rsidRPr="003E6BE4" w:rsidRDefault="00FC30F8" w:rsidP="00D3419A">
      <w:pPr>
        <w:spacing w:line="360" w:lineRule="auto"/>
        <w:jc w:val="both"/>
      </w:pPr>
    </w:p>
    <w:tbl>
      <w:tblPr>
        <w:tblStyle w:val="ListTable6Colorful"/>
        <w:tblW w:w="10903" w:type="dxa"/>
        <w:shd w:val="clear" w:color="auto" w:fill="FFFFFF" w:themeFill="background1"/>
        <w:tblLook w:val="04A0" w:firstRow="1" w:lastRow="0" w:firstColumn="1" w:lastColumn="0" w:noHBand="0" w:noVBand="1"/>
      </w:tblPr>
      <w:tblGrid>
        <w:gridCol w:w="1080"/>
        <w:gridCol w:w="8292"/>
        <w:gridCol w:w="1531"/>
      </w:tblGrid>
      <w:tr w:rsidR="00F45795" w:rsidRPr="003E6BE4" w14:paraId="51543744" w14:textId="77777777" w:rsidTr="005300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shd w:val="clear" w:color="auto" w:fill="FFFFFF" w:themeFill="background1"/>
          </w:tcPr>
          <w:p w14:paraId="55C93B55" w14:textId="77777777" w:rsidR="00F45795" w:rsidRPr="003E6BE4" w:rsidRDefault="00F45795" w:rsidP="00861FCE">
            <w:pPr>
              <w:spacing w:line="360" w:lineRule="auto"/>
              <w:jc w:val="center"/>
              <w:rPr>
                <w:b w:val="0"/>
                <w:bCs w:val="0"/>
              </w:rPr>
            </w:pPr>
          </w:p>
        </w:tc>
        <w:tc>
          <w:tcPr>
            <w:tcW w:w="8292" w:type="dxa"/>
            <w:shd w:val="clear" w:color="auto" w:fill="FFFFFF" w:themeFill="background1"/>
          </w:tcPr>
          <w:p w14:paraId="23F60BF0" w14:textId="77777777" w:rsidR="00F45795" w:rsidRPr="003E6BE4" w:rsidRDefault="00F45795" w:rsidP="00861FCE">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3E6BE4">
              <w:rPr>
                <w:b w:val="0"/>
                <w:bCs w:val="0"/>
              </w:rPr>
              <w:t>Composition</w:t>
            </w:r>
          </w:p>
        </w:tc>
        <w:tc>
          <w:tcPr>
            <w:tcW w:w="1531" w:type="dxa"/>
            <w:shd w:val="clear" w:color="auto" w:fill="FFFFFF" w:themeFill="background1"/>
          </w:tcPr>
          <w:p w14:paraId="3134CAC8" w14:textId="77777777" w:rsidR="00F45795" w:rsidRPr="003E6BE4" w:rsidRDefault="00F45795" w:rsidP="00861FCE">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3E6BE4">
              <w:rPr>
                <w:b w:val="0"/>
                <w:bCs w:val="0"/>
              </w:rPr>
              <w:t>Predicted d</w:t>
            </w:r>
            <w:r w:rsidRPr="003E6BE4">
              <w:rPr>
                <w:b w:val="0"/>
                <w:bCs w:val="0"/>
                <w:vertAlign w:val="subscript"/>
              </w:rPr>
              <w:t>33</w:t>
            </w:r>
          </w:p>
        </w:tc>
      </w:tr>
      <w:tr w:rsidR="00F45795" w:rsidRPr="003E6BE4" w14:paraId="13D1641D" w14:textId="77777777" w:rsidTr="00530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shd w:val="clear" w:color="auto" w:fill="FFFFFF" w:themeFill="background1"/>
          </w:tcPr>
          <w:p w14:paraId="26D91906" w14:textId="77777777" w:rsidR="00F45795" w:rsidRPr="003E6BE4" w:rsidRDefault="00F45795" w:rsidP="00861FCE">
            <w:pPr>
              <w:spacing w:line="360" w:lineRule="auto"/>
              <w:jc w:val="center"/>
              <w:rPr>
                <w:b w:val="0"/>
                <w:bCs w:val="0"/>
              </w:rPr>
            </w:pPr>
            <w:r w:rsidRPr="003E6BE4">
              <w:rPr>
                <w:b w:val="0"/>
                <w:bCs w:val="0"/>
              </w:rPr>
              <w:t>C6</w:t>
            </w:r>
          </w:p>
        </w:tc>
        <w:tc>
          <w:tcPr>
            <w:tcW w:w="8292" w:type="dxa"/>
            <w:shd w:val="clear" w:color="auto" w:fill="FFFFFF" w:themeFill="background1"/>
          </w:tcPr>
          <w:p w14:paraId="71A1D58A" w14:textId="77777777" w:rsidR="00F45795" w:rsidRPr="003E6BE4" w:rsidRDefault="00F45795" w:rsidP="00861FCE">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vertAlign w:val="subscript"/>
              </w:rPr>
            </w:pPr>
            <w:r w:rsidRPr="003E6BE4">
              <w:rPr>
                <w:color w:val="auto"/>
              </w:rPr>
              <w:t>0.96(K</w:t>
            </w:r>
            <w:r w:rsidRPr="003E6BE4">
              <w:rPr>
                <w:color w:val="auto"/>
                <w:vertAlign w:val="subscript"/>
              </w:rPr>
              <w:t>0.5</w:t>
            </w:r>
            <w:r w:rsidRPr="003E6BE4">
              <w:rPr>
                <w:color w:val="auto"/>
              </w:rPr>
              <w:t>Na</w:t>
            </w:r>
            <w:r w:rsidRPr="003E6BE4">
              <w:rPr>
                <w:color w:val="auto"/>
                <w:vertAlign w:val="subscript"/>
              </w:rPr>
              <w:t>0.</w:t>
            </w:r>
            <w:proofErr w:type="gramStart"/>
            <w:r w:rsidRPr="003E6BE4">
              <w:rPr>
                <w:color w:val="auto"/>
                <w:vertAlign w:val="subscript"/>
              </w:rPr>
              <w:t>5</w:t>
            </w:r>
            <w:r w:rsidRPr="003E6BE4">
              <w:rPr>
                <w:color w:val="auto"/>
              </w:rPr>
              <w:t>)(</w:t>
            </w:r>
            <w:proofErr w:type="gramEnd"/>
            <w:r w:rsidRPr="003E6BE4">
              <w:rPr>
                <w:color w:val="auto"/>
              </w:rPr>
              <w:t>Nb</w:t>
            </w:r>
            <w:r w:rsidRPr="003E6BE4">
              <w:rPr>
                <w:color w:val="auto"/>
                <w:vertAlign w:val="subscript"/>
              </w:rPr>
              <w:t>0.92</w:t>
            </w:r>
            <w:r w:rsidRPr="003E6BE4">
              <w:rPr>
                <w:color w:val="auto"/>
              </w:rPr>
              <w:t>Sb</w:t>
            </w:r>
            <w:r w:rsidRPr="003E6BE4">
              <w:rPr>
                <w:color w:val="auto"/>
                <w:vertAlign w:val="subscript"/>
              </w:rPr>
              <w:t>0.</w:t>
            </w:r>
            <w:proofErr w:type="gramStart"/>
            <w:r w:rsidRPr="003E6BE4">
              <w:rPr>
                <w:color w:val="auto"/>
                <w:vertAlign w:val="subscript"/>
              </w:rPr>
              <w:t>08</w:t>
            </w:r>
            <w:r w:rsidRPr="003E6BE4">
              <w:rPr>
                <w:color w:val="auto"/>
              </w:rPr>
              <w:t>)O</w:t>
            </w:r>
            <w:proofErr w:type="gramEnd"/>
            <w:r w:rsidRPr="003E6BE4">
              <w:rPr>
                <w:color w:val="auto"/>
                <w:vertAlign w:val="subscript"/>
              </w:rPr>
              <w:t>3</w:t>
            </w:r>
            <w:r w:rsidRPr="003E6BE4">
              <w:rPr>
                <w:color w:val="auto"/>
              </w:rPr>
              <w:t xml:space="preserve"> – 0.03(Bi</w:t>
            </w:r>
            <w:r w:rsidRPr="003E6BE4">
              <w:rPr>
                <w:color w:val="auto"/>
                <w:vertAlign w:val="subscript"/>
              </w:rPr>
              <w:t>0.55</w:t>
            </w:r>
            <w:r w:rsidRPr="003E6BE4">
              <w:rPr>
                <w:color w:val="auto"/>
              </w:rPr>
              <w:t>Na</w:t>
            </w:r>
            <w:r w:rsidRPr="003E6BE4">
              <w:rPr>
                <w:color w:val="auto"/>
                <w:vertAlign w:val="subscript"/>
              </w:rPr>
              <w:t>0.</w:t>
            </w:r>
            <w:proofErr w:type="gramStart"/>
            <w:r w:rsidRPr="003E6BE4">
              <w:rPr>
                <w:color w:val="auto"/>
                <w:vertAlign w:val="subscript"/>
              </w:rPr>
              <w:t>45</w:t>
            </w:r>
            <w:r w:rsidRPr="003E6BE4">
              <w:rPr>
                <w:color w:val="auto"/>
              </w:rPr>
              <w:t>)ZrO</w:t>
            </w:r>
            <w:proofErr w:type="gramEnd"/>
            <w:r w:rsidRPr="003E6BE4">
              <w:rPr>
                <w:color w:val="auto"/>
                <w:vertAlign w:val="subscript"/>
              </w:rPr>
              <w:t>3</w:t>
            </w:r>
            <w:r w:rsidRPr="003E6BE4">
              <w:rPr>
                <w:color w:val="auto"/>
              </w:rPr>
              <w:t xml:space="preserve"> – 0.01CaZrO</w:t>
            </w:r>
            <w:r w:rsidRPr="003E6BE4">
              <w:rPr>
                <w:color w:val="auto"/>
                <w:vertAlign w:val="subscript"/>
              </w:rPr>
              <w:t>3</w:t>
            </w:r>
          </w:p>
        </w:tc>
        <w:tc>
          <w:tcPr>
            <w:tcW w:w="1531" w:type="dxa"/>
            <w:shd w:val="clear" w:color="auto" w:fill="FFFFFF" w:themeFill="background1"/>
          </w:tcPr>
          <w:p w14:paraId="688A1195" w14:textId="77777777" w:rsidR="00F45795" w:rsidRPr="003E6BE4" w:rsidRDefault="00F45795" w:rsidP="00861FCE">
            <w:pPr>
              <w:spacing w:line="360" w:lineRule="auto"/>
              <w:jc w:val="center"/>
              <w:cnfStyle w:val="000000100000" w:firstRow="0" w:lastRow="0" w:firstColumn="0" w:lastColumn="0" w:oddVBand="0" w:evenVBand="0" w:oddHBand="1" w:evenHBand="0" w:firstRowFirstColumn="0" w:firstRowLastColumn="0" w:lastRowFirstColumn="0" w:lastRowLastColumn="0"/>
            </w:pPr>
            <w:r w:rsidRPr="003E6BE4">
              <w:t>450</w:t>
            </w:r>
          </w:p>
        </w:tc>
      </w:tr>
      <w:tr w:rsidR="00F45795" w:rsidRPr="003E6BE4" w14:paraId="4D7FFE2F" w14:textId="77777777" w:rsidTr="0053007A">
        <w:tc>
          <w:tcPr>
            <w:cnfStyle w:val="001000000000" w:firstRow="0" w:lastRow="0" w:firstColumn="1" w:lastColumn="0" w:oddVBand="0" w:evenVBand="0" w:oddHBand="0" w:evenHBand="0" w:firstRowFirstColumn="0" w:firstRowLastColumn="0" w:lastRowFirstColumn="0" w:lastRowLastColumn="0"/>
            <w:tcW w:w="1080" w:type="dxa"/>
            <w:shd w:val="clear" w:color="auto" w:fill="FFFFFF" w:themeFill="background1"/>
          </w:tcPr>
          <w:p w14:paraId="62FA5DFC" w14:textId="77777777" w:rsidR="00F45795" w:rsidRPr="003E6BE4" w:rsidRDefault="00F45795" w:rsidP="00861FCE">
            <w:pPr>
              <w:spacing w:line="360" w:lineRule="auto"/>
              <w:jc w:val="center"/>
              <w:rPr>
                <w:b w:val="0"/>
                <w:bCs w:val="0"/>
              </w:rPr>
            </w:pPr>
            <w:r w:rsidRPr="003E6BE4">
              <w:rPr>
                <w:b w:val="0"/>
                <w:bCs w:val="0"/>
              </w:rPr>
              <w:t>C7</w:t>
            </w:r>
          </w:p>
        </w:tc>
        <w:tc>
          <w:tcPr>
            <w:tcW w:w="8292" w:type="dxa"/>
            <w:shd w:val="clear" w:color="auto" w:fill="FFFFFF" w:themeFill="background1"/>
          </w:tcPr>
          <w:p w14:paraId="39F48841" w14:textId="5BDB1C3F" w:rsidR="00F45795" w:rsidRPr="003E6BE4" w:rsidRDefault="00F45795" w:rsidP="00861FCE">
            <w:pPr>
              <w:spacing w:line="360" w:lineRule="auto"/>
              <w:jc w:val="center"/>
              <w:cnfStyle w:val="000000000000" w:firstRow="0" w:lastRow="0" w:firstColumn="0" w:lastColumn="0" w:oddVBand="0" w:evenVBand="0" w:oddHBand="0" w:evenHBand="0" w:firstRowFirstColumn="0" w:firstRowLastColumn="0" w:lastRowFirstColumn="0" w:lastRowLastColumn="0"/>
            </w:pPr>
            <w:r w:rsidRPr="003E6BE4">
              <w:t>0.96(K</w:t>
            </w:r>
            <w:r w:rsidRPr="003E6BE4">
              <w:rPr>
                <w:vertAlign w:val="subscript"/>
              </w:rPr>
              <w:t>0.48</w:t>
            </w:r>
            <w:r w:rsidRPr="003E6BE4">
              <w:t>Na</w:t>
            </w:r>
            <w:r w:rsidRPr="003E6BE4">
              <w:rPr>
                <w:vertAlign w:val="subscript"/>
              </w:rPr>
              <w:t>0.</w:t>
            </w:r>
            <w:proofErr w:type="gramStart"/>
            <w:r w:rsidRPr="003E6BE4">
              <w:rPr>
                <w:vertAlign w:val="subscript"/>
              </w:rPr>
              <w:t>52</w:t>
            </w:r>
            <w:r w:rsidRPr="003E6BE4">
              <w:t>)(</w:t>
            </w:r>
            <w:proofErr w:type="gramEnd"/>
            <w:r w:rsidRPr="003E6BE4">
              <w:t>Nb</w:t>
            </w:r>
            <w:r w:rsidRPr="003E6BE4">
              <w:rPr>
                <w:vertAlign w:val="subscript"/>
              </w:rPr>
              <w:t>0.92</w:t>
            </w:r>
            <w:r w:rsidRPr="003E6BE4">
              <w:t>Sb</w:t>
            </w:r>
            <w:r w:rsidRPr="003E6BE4">
              <w:rPr>
                <w:vertAlign w:val="subscript"/>
              </w:rPr>
              <w:t>0.</w:t>
            </w:r>
            <w:proofErr w:type="gramStart"/>
            <w:r w:rsidRPr="003E6BE4">
              <w:rPr>
                <w:vertAlign w:val="subscript"/>
              </w:rPr>
              <w:t>08</w:t>
            </w:r>
            <w:r w:rsidRPr="003E6BE4">
              <w:t>)O</w:t>
            </w:r>
            <w:proofErr w:type="gramEnd"/>
            <w:r w:rsidRPr="003E6BE4">
              <w:rPr>
                <w:vertAlign w:val="subscript"/>
              </w:rPr>
              <w:t>3</w:t>
            </w:r>
            <w:r w:rsidRPr="003E6BE4">
              <w:t>–0.035(Bi</w:t>
            </w:r>
            <w:r w:rsidRPr="003E6BE4">
              <w:rPr>
                <w:vertAlign w:val="subscript"/>
              </w:rPr>
              <w:t>0.55</w:t>
            </w:r>
            <w:r w:rsidRPr="003E6BE4">
              <w:t>Na</w:t>
            </w:r>
            <w:r w:rsidRPr="003E6BE4">
              <w:rPr>
                <w:vertAlign w:val="subscript"/>
              </w:rPr>
              <w:t>0.</w:t>
            </w:r>
            <w:proofErr w:type="gramStart"/>
            <w:r w:rsidRPr="003E6BE4">
              <w:rPr>
                <w:vertAlign w:val="subscript"/>
              </w:rPr>
              <w:t>45</w:t>
            </w:r>
            <w:r w:rsidRPr="003E6BE4">
              <w:t>)Zr</w:t>
            </w:r>
            <w:proofErr w:type="gramEnd"/>
            <w:r w:rsidRPr="003E6BE4">
              <w:rPr>
                <w:vertAlign w:val="subscript"/>
              </w:rPr>
              <w:t>0.96</w:t>
            </w:r>
            <w:r w:rsidRPr="003E6BE4">
              <w:t>Ti</w:t>
            </w:r>
            <w:r w:rsidRPr="003E6BE4">
              <w:rPr>
                <w:vertAlign w:val="subscript"/>
              </w:rPr>
              <w:t>0.04</w:t>
            </w:r>
            <w:r w:rsidRPr="003E6BE4">
              <w:t>O</w:t>
            </w:r>
            <w:r w:rsidRPr="003E6BE4">
              <w:rPr>
                <w:vertAlign w:val="subscript"/>
              </w:rPr>
              <w:t>3</w:t>
            </w:r>
            <w:r w:rsidRPr="003E6BE4">
              <w:t>– 0.005LiNbO</w:t>
            </w:r>
            <w:r w:rsidRPr="003E6BE4">
              <w:rPr>
                <w:vertAlign w:val="subscript"/>
              </w:rPr>
              <w:t>3</w:t>
            </w:r>
          </w:p>
        </w:tc>
        <w:tc>
          <w:tcPr>
            <w:tcW w:w="1531" w:type="dxa"/>
            <w:shd w:val="clear" w:color="auto" w:fill="FFFFFF" w:themeFill="background1"/>
          </w:tcPr>
          <w:p w14:paraId="751BFB2E" w14:textId="77777777" w:rsidR="00F45795" w:rsidRPr="003E6BE4" w:rsidRDefault="00F45795" w:rsidP="00861FCE">
            <w:pPr>
              <w:spacing w:line="360" w:lineRule="auto"/>
              <w:jc w:val="center"/>
              <w:cnfStyle w:val="000000000000" w:firstRow="0" w:lastRow="0" w:firstColumn="0" w:lastColumn="0" w:oddVBand="0" w:evenVBand="0" w:oddHBand="0" w:evenHBand="0" w:firstRowFirstColumn="0" w:firstRowLastColumn="0" w:lastRowFirstColumn="0" w:lastRowLastColumn="0"/>
            </w:pPr>
            <w:r w:rsidRPr="003E6BE4">
              <w:t>470</w:t>
            </w:r>
          </w:p>
        </w:tc>
      </w:tr>
      <w:tr w:rsidR="00F45795" w:rsidRPr="003E6BE4" w14:paraId="51400DEE" w14:textId="77777777" w:rsidTr="00530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shd w:val="clear" w:color="auto" w:fill="FFFFFF" w:themeFill="background1"/>
          </w:tcPr>
          <w:p w14:paraId="42472F42" w14:textId="77777777" w:rsidR="00F45795" w:rsidRPr="003E6BE4" w:rsidRDefault="00F45795" w:rsidP="00861FCE">
            <w:pPr>
              <w:spacing w:line="360" w:lineRule="auto"/>
              <w:jc w:val="center"/>
              <w:rPr>
                <w:b w:val="0"/>
                <w:bCs w:val="0"/>
              </w:rPr>
            </w:pPr>
            <w:r w:rsidRPr="003E6BE4">
              <w:rPr>
                <w:b w:val="0"/>
                <w:bCs w:val="0"/>
              </w:rPr>
              <w:t>C8</w:t>
            </w:r>
          </w:p>
        </w:tc>
        <w:tc>
          <w:tcPr>
            <w:tcW w:w="8292" w:type="dxa"/>
            <w:shd w:val="clear" w:color="auto" w:fill="FFFFFF" w:themeFill="background1"/>
          </w:tcPr>
          <w:p w14:paraId="3FECDD2E" w14:textId="2B3643FD" w:rsidR="00F45795" w:rsidRPr="003E6BE4" w:rsidRDefault="00F45795" w:rsidP="00861FCE">
            <w:pPr>
              <w:spacing w:line="360" w:lineRule="auto"/>
              <w:jc w:val="center"/>
              <w:cnfStyle w:val="000000100000" w:firstRow="0" w:lastRow="0" w:firstColumn="0" w:lastColumn="0" w:oddVBand="0" w:evenVBand="0" w:oddHBand="1" w:evenHBand="0" w:firstRowFirstColumn="0" w:firstRowLastColumn="0" w:lastRowFirstColumn="0" w:lastRowLastColumn="0"/>
              <w:rPr>
                <w:vertAlign w:val="subscript"/>
              </w:rPr>
            </w:pPr>
            <w:r w:rsidRPr="003E6BE4">
              <w:t>0.96(K</w:t>
            </w:r>
            <w:r w:rsidRPr="003E6BE4">
              <w:rPr>
                <w:vertAlign w:val="subscript"/>
              </w:rPr>
              <w:t>0.47</w:t>
            </w:r>
            <w:r w:rsidRPr="003E6BE4">
              <w:t>Na</w:t>
            </w:r>
            <w:r w:rsidRPr="003E6BE4">
              <w:rPr>
                <w:vertAlign w:val="subscript"/>
              </w:rPr>
              <w:t>0.</w:t>
            </w:r>
            <w:proofErr w:type="gramStart"/>
            <w:r w:rsidRPr="003E6BE4">
              <w:rPr>
                <w:vertAlign w:val="subscript"/>
              </w:rPr>
              <w:t>53</w:t>
            </w:r>
            <w:r w:rsidRPr="003E6BE4">
              <w:t>)(</w:t>
            </w:r>
            <w:proofErr w:type="gramEnd"/>
            <w:r w:rsidRPr="003E6BE4">
              <w:t>Nb</w:t>
            </w:r>
            <w:r w:rsidRPr="003E6BE4">
              <w:rPr>
                <w:vertAlign w:val="subscript"/>
              </w:rPr>
              <w:t>0.92</w:t>
            </w:r>
            <w:r w:rsidRPr="003E6BE4">
              <w:t>Sb</w:t>
            </w:r>
            <w:r w:rsidRPr="003E6BE4">
              <w:rPr>
                <w:vertAlign w:val="subscript"/>
              </w:rPr>
              <w:t>0.</w:t>
            </w:r>
            <w:proofErr w:type="gramStart"/>
            <w:r w:rsidRPr="003E6BE4">
              <w:rPr>
                <w:vertAlign w:val="subscript"/>
              </w:rPr>
              <w:t>08</w:t>
            </w:r>
            <w:r w:rsidRPr="003E6BE4">
              <w:t>)O</w:t>
            </w:r>
            <w:proofErr w:type="gramEnd"/>
            <w:r w:rsidRPr="003E6BE4">
              <w:rPr>
                <w:vertAlign w:val="subscript"/>
              </w:rPr>
              <w:t>3</w:t>
            </w:r>
            <w:r w:rsidRPr="003E6BE4">
              <w:t>–0.035(Bi</w:t>
            </w:r>
            <w:r w:rsidRPr="003E6BE4">
              <w:rPr>
                <w:vertAlign w:val="subscript"/>
              </w:rPr>
              <w:t>0.6</w:t>
            </w:r>
            <w:r w:rsidRPr="003E6BE4">
              <w:t>Na</w:t>
            </w:r>
            <w:r w:rsidRPr="003E6BE4">
              <w:rPr>
                <w:vertAlign w:val="subscript"/>
              </w:rPr>
              <w:t>0.3</w:t>
            </w:r>
            <w:r w:rsidRPr="003E6BE4">
              <w:t>K</w:t>
            </w:r>
            <w:r w:rsidRPr="003E6BE4">
              <w:rPr>
                <w:vertAlign w:val="subscript"/>
              </w:rPr>
              <w:t>0.</w:t>
            </w:r>
            <w:proofErr w:type="gramStart"/>
            <w:r w:rsidRPr="003E6BE4">
              <w:rPr>
                <w:vertAlign w:val="subscript"/>
              </w:rPr>
              <w:t>1</w:t>
            </w:r>
            <w:r w:rsidRPr="003E6BE4">
              <w:t>)Zr</w:t>
            </w:r>
            <w:proofErr w:type="gramEnd"/>
            <w:r w:rsidRPr="003E6BE4">
              <w:rPr>
                <w:vertAlign w:val="subscript"/>
              </w:rPr>
              <w:t>0.96</w:t>
            </w:r>
            <w:r w:rsidRPr="003E6BE4">
              <w:t>Ti</w:t>
            </w:r>
            <w:r w:rsidRPr="003E6BE4">
              <w:rPr>
                <w:vertAlign w:val="subscript"/>
              </w:rPr>
              <w:t>0.04</w:t>
            </w:r>
            <w:r w:rsidRPr="003E6BE4">
              <w:t>O</w:t>
            </w:r>
            <w:r w:rsidRPr="003E6BE4">
              <w:rPr>
                <w:vertAlign w:val="subscript"/>
              </w:rPr>
              <w:t>3</w:t>
            </w:r>
            <w:r w:rsidRPr="003E6BE4">
              <w:t>– 0.005AgNbO</w:t>
            </w:r>
            <w:r w:rsidRPr="003E6BE4">
              <w:rPr>
                <w:vertAlign w:val="subscript"/>
              </w:rPr>
              <w:t>3</w:t>
            </w:r>
            <w:r w:rsidRPr="003E6BE4">
              <w:t xml:space="preserve"> – 0.25Fe</w:t>
            </w:r>
            <w:r w:rsidRPr="003E6BE4">
              <w:rPr>
                <w:vertAlign w:val="subscript"/>
              </w:rPr>
              <w:t>2</w:t>
            </w:r>
            <w:r w:rsidRPr="003E6BE4">
              <w:t>O</w:t>
            </w:r>
            <w:r w:rsidRPr="003E6BE4">
              <w:rPr>
                <w:vertAlign w:val="subscript"/>
              </w:rPr>
              <w:t>3</w:t>
            </w:r>
          </w:p>
        </w:tc>
        <w:tc>
          <w:tcPr>
            <w:tcW w:w="1531" w:type="dxa"/>
            <w:shd w:val="clear" w:color="auto" w:fill="FFFFFF" w:themeFill="background1"/>
          </w:tcPr>
          <w:p w14:paraId="7CEDFE41" w14:textId="77777777" w:rsidR="00F45795" w:rsidRPr="003E6BE4" w:rsidRDefault="00F45795" w:rsidP="00861FCE">
            <w:pPr>
              <w:spacing w:line="360" w:lineRule="auto"/>
              <w:jc w:val="center"/>
              <w:cnfStyle w:val="000000100000" w:firstRow="0" w:lastRow="0" w:firstColumn="0" w:lastColumn="0" w:oddVBand="0" w:evenVBand="0" w:oddHBand="1" w:evenHBand="0" w:firstRowFirstColumn="0" w:firstRowLastColumn="0" w:lastRowFirstColumn="0" w:lastRowLastColumn="0"/>
            </w:pPr>
            <w:r w:rsidRPr="003E6BE4">
              <w:t>490</w:t>
            </w:r>
          </w:p>
        </w:tc>
      </w:tr>
      <w:tr w:rsidR="00F45795" w:rsidRPr="003E6BE4" w14:paraId="372AB69F" w14:textId="77777777" w:rsidTr="0053007A">
        <w:tc>
          <w:tcPr>
            <w:cnfStyle w:val="001000000000" w:firstRow="0" w:lastRow="0" w:firstColumn="1" w:lastColumn="0" w:oddVBand="0" w:evenVBand="0" w:oddHBand="0" w:evenHBand="0" w:firstRowFirstColumn="0" w:firstRowLastColumn="0" w:lastRowFirstColumn="0" w:lastRowLastColumn="0"/>
            <w:tcW w:w="1080" w:type="dxa"/>
            <w:shd w:val="clear" w:color="auto" w:fill="FFFFFF" w:themeFill="background1"/>
          </w:tcPr>
          <w:p w14:paraId="2163494A" w14:textId="77777777" w:rsidR="00F45795" w:rsidRPr="003E6BE4" w:rsidRDefault="00F45795" w:rsidP="00861FCE">
            <w:pPr>
              <w:spacing w:line="360" w:lineRule="auto"/>
              <w:jc w:val="center"/>
              <w:rPr>
                <w:b w:val="0"/>
                <w:bCs w:val="0"/>
              </w:rPr>
            </w:pPr>
            <w:r w:rsidRPr="003E6BE4">
              <w:rPr>
                <w:b w:val="0"/>
                <w:bCs w:val="0"/>
              </w:rPr>
              <w:t>C9</w:t>
            </w:r>
          </w:p>
        </w:tc>
        <w:tc>
          <w:tcPr>
            <w:tcW w:w="8292" w:type="dxa"/>
            <w:shd w:val="clear" w:color="auto" w:fill="FFFFFF" w:themeFill="background1"/>
          </w:tcPr>
          <w:p w14:paraId="78FF6FF3" w14:textId="0DCDCCCB" w:rsidR="00F45795" w:rsidRPr="003E6BE4" w:rsidRDefault="00F45795" w:rsidP="00861FCE">
            <w:pPr>
              <w:spacing w:line="360" w:lineRule="auto"/>
              <w:jc w:val="center"/>
              <w:cnfStyle w:val="000000000000" w:firstRow="0" w:lastRow="0" w:firstColumn="0" w:lastColumn="0" w:oddVBand="0" w:evenVBand="0" w:oddHBand="0" w:evenHBand="0" w:firstRowFirstColumn="0" w:firstRowLastColumn="0" w:lastRowFirstColumn="0" w:lastRowLastColumn="0"/>
            </w:pPr>
            <w:r w:rsidRPr="003E6BE4">
              <w:t>0.96(K</w:t>
            </w:r>
            <w:r w:rsidRPr="003E6BE4">
              <w:rPr>
                <w:vertAlign w:val="subscript"/>
              </w:rPr>
              <w:t>0.48</w:t>
            </w:r>
            <w:r w:rsidRPr="003E6BE4">
              <w:t>Na</w:t>
            </w:r>
            <w:r w:rsidRPr="003E6BE4">
              <w:rPr>
                <w:vertAlign w:val="subscript"/>
              </w:rPr>
              <w:t>0.</w:t>
            </w:r>
            <w:proofErr w:type="gramStart"/>
            <w:r w:rsidRPr="003E6BE4">
              <w:rPr>
                <w:vertAlign w:val="subscript"/>
              </w:rPr>
              <w:t>52</w:t>
            </w:r>
            <w:r w:rsidRPr="003E6BE4">
              <w:t>)(</w:t>
            </w:r>
            <w:proofErr w:type="gramEnd"/>
            <w:r w:rsidRPr="003E6BE4">
              <w:t>Nb</w:t>
            </w:r>
            <w:r w:rsidRPr="003E6BE4">
              <w:rPr>
                <w:vertAlign w:val="subscript"/>
              </w:rPr>
              <w:t>0.92</w:t>
            </w:r>
            <w:r w:rsidRPr="003E6BE4">
              <w:t>Sb</w:t>
            </w:r>
            <w:r w:rsidRPr="003E6BE4">
              <w:rPr>
                <w:vertAlign w:val="subscript"/>
              </w:rPr>
              <w:t>0.</w:t>
            </w:r>
            <w:proofErr w:type="gramStart"/>
            <w:r w:rsidRPr="003E6BE4">
              <w:rPr>
                <w:vertAlign w:val="subscript"/>
              </w:rPr>
              <w:t>08</w:t>
            </w:r>
            <w:r w:rsidRPr="003E6BE4">
              <w:t>)O</w:t>
            </w:r>
            <w:proofErr w:type="gramEnd"/>
            <w:r w:rsidRPr="003E6BE4">
              <w:rPr>
                <w:vertAlign w:val="subscript"/>
              </w:rPr>
              <w:t>3</w:t>
            </w:r>
            <w:r w:rsidRPr="003E6BE4">
              <w:t>–0.035(Bi</w:t>
            </w:r>
            <w:r w:rsidRPr="003E6BE4">
              <w:rPr>
                <w:vertAlign w:val="subscript"/>
              </w:rPr>
              <w:t>0.5</w:t>
            </w:r>
            <w:r w:rsidRPr="003E6BE4">
              <w:t>Na</w:t>
            </w:r>
            <w:r w:rsidRPr="003E6BE4">
              <w:rPr>
                <w:vertAlign w:val="subscript"/>
              </w:rPr>
              <w:t>0.4</w:t>
            </w:r>
            <w:r w:rsidRPr="003E6BE4">
              <w:t>K</w:t>
            </w:r>
            <w:r w:rsidRPr="003E6BE4">
              <w:rPr>
                <w:vertAlign w:val="subscript"/>
              </w:rPr>
              <w:t>0.</w:t>
            </w:r>
            <w:proofErr w:type="gramStart"/>
            <w:r w:rsidRPr="003E6BE4">
              <w:rPr>
                <w:vertAlign w:val="subscript"/>
              </w:rPr>
              <w:t>1</w:t>
            </w:r>
            <w:r w:rsidRPr="003E6BE4">
              <w:t>)(</w:t>
            </w:r>
            <w:proofErr w:type="gramEnd"/>
            <w:r w:rsidRPr="003E6BE4">
              <w:t>Zr</w:t>
            </w:r>
            <w:r w:rsidRPr="003E6BE4">
              <w:rPr>
                <w:vertAlign w:val="subscript"/>
              </w:rPr>
              <w:t>0.97</w:t>
            </w:r>
            <w:r w:rsidRPr="003E6BE4">
              <w:t>Ti</w:t>
            </w:r>
            <w:r w:rsidRPr="003E6BE4">
              <w:rPr>
                <w:vertAlign w:val="subscript"/>
              </w:rPr>
              <w:t>0.</w:t>
            </w:r>
            <w:proofErr w:type="gramStart"/>
            <w:r w:rsidRPr="003E6BE4">
              <w:rPr>
                <w:vertAlign w:val="subscript"/>
              </w:rPr>
              <w:t>03</w:t>
            </w:r>
            <w:r w:rsidRPr="003E6BE4">
              <w:t>)O</w:t>
            </w:r>
            <w:proofErr w:type="gramEnd"/>
            <w:r w:rsidRPr="003E6BE4">
              <w:rPr>
                <w:vertAlign w:val="subscript"/>
              </w:rPr>
              <w:t>3</w:t>
            </w:r>
            <w:r w:rsidRPr="003E6BE4">
              <w:t>–0.005AgNbO</w:t>
            </w:r>
            <w:r w:rsidRPr="003E6BE4">
              <w:rPr>
                <w:vertAlign w:val="subscript"/>
              </w:rPr>
              <w:t>3</w:t>
            </w:r>
          </w:p>
        </w:tc>
        <w:tc>
          <w:tcPr>
            <w:tcW w:w="1531" w:type="dxa"/>
            <w:shd w:val="clear" w:color="auto" w:fill="FFFFFF" w:themeFill="background1"/>
          </w:tcPr>
          <w:p w14:paraId="7A76B5D5" w14:textId="77777777" w:rsidR="00F45795" w:rsidRPr="003E6BE4" w:rsidRDefault="00F45795" w:rsidP="00861FCE">
            <w:pPr>
              <w:spacing w:line="360" w:lineRule="auto"/>
              <w:jc w:val="center"/>
              <w:cnfStyle w:val="000000000000" w:firstRow="0" w:lastRow="0" w:firstColumn="0" w:lastColumn="0" w:oddVBand="0" w:evenVBand="0" w:oddHBand="0" w:evenHBand="0" w:firstRowFirstColumn="0" w:firstRowLastColumn="0" w:lastRowFirstColumn="0" w:lastRowLastColumn="0"/>
            </w:pPr>
            <w:r w:rsidRPr="003E6BE4">
              <w:t>510</w:t>
            </w:r>
          </w:p>
        </w:tc>
      </w:tr>
      <w:tr w:rsidR="00F45795" w:rsidRPr="003E6BE4" w14:paraId="263832FE" w14:textId="77777777" w:rsidTr="00530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shd w:val="clear" w:color="auto" w:fill="FFFFFF" w:themeFill="background1"/>
          </w:tcPr>
          <w:p w14:paraId="7CACD08B" w14:textId="77777777" w:rsidR="00F45795" w:rsidRPr="003E6BE4" w:rsidRDefault="00F45795" w:rsidP="00861FCE">
            <w:pPr>
              <w:spacing w:line="360" w:lineRule="auto"/>
              <w:jc w:val="center"/>
              <w:rPr>
                <w:b w:val="0"/>
                <w:bCs w:val="0"/>
              </w:rPr>
            </w:pPr>
            <w:r w:rsidRPr="003E6BE4">
              <w:rPr>
                <w:b w:val="0"/>
                <w:bCs w:val="0"/>
              </w:rPr>
              <w:t>C10</w:t>
            </w:r>
          </w:p>
        </w:tc>
        <w:tc>
          <w:tcPr>
            <w:tcW w:w="8292" w:type="dxa"/>
            <w:shd w:val="clear" w:color="auto" w:fill="FFFFFF" w:themeFill="background1"/>
          </w:tcPr>
          <w:p w14:paraId="0CC95C16" w14:textId="7FD786D5" w:rsidR="00F45795" w:rsidRPr="003E6BE4" w:rsidRDefault="00F45795" w:rsidP="00861FCE">
            <w:pPr>
              <w:spacing w:line="360" w:lineRule="auto"/>
              <w:jc w:val="center"/>
              <w:cnfStyle w:val="000000100000" w:firstRow="0" w:lastRow="0" w:firstColumn="0" w:lastColumn="0" w:oddVBand="0" w:evenVBand="0" w:oddHBand="1" w:evenHBand="0" w:firstRowFirstColumn="0" w:firstRowLastColumn="0" w:lastRowFirstColumn="0" w:lastRowLastColumn="0"/>
              <w:rPr>
                <w:vertAlign w:val="subscript"/>
              </w:rPr>
            </w:pPr>
            <w:r w:rsidRPr="003E6BE4">
              <w:t>0.96(K</w:t>
            </w:r>
            <w:r w:rsidRPr="003E6BE4">
              <w:rPr>
                <w:vertAlign w:val="subscript"/>
              </w:rPr>
              <w:t>0.48</w:t>
            </w:r>
            <w:r w:rsidRPr="003E6BE4">
              <w:t>Na</w:t>
            </w:r>
            <w:r w:rsidRPr="003E6BE4">
              <w:rPr>
                <w:vertAlign w:val="subscript"/>
              </w:rPr>
              <w:t>0.</w:t>
            </w:r>
            <w:proofErr w:type="gramStart"/>
            <w:r w:rsidRPr="003E6BE4">
              <w:rPr>
                <w:vertAlign w:val="subscript"/>
              </w:rPr>
              <w:t>52</w:t>
            </w:r>
            <w:r w:rsidRPr="003E6BE4">
              <w:t>)(</w:t>
            </w:r>
            <w:proofErr w:type="gramEnd"/>
            <w:r w:rsidRPr="003E6BE4">
              <w:t>Nb</w:t>
            </w:r>
            <w:r w:rsidRPr="003E6BE4">
              <w:rPr>
                <w:vertAlign w:val="subscript"/>
              </w:rPr>
              <w:t>0.93</w:t>
            </w:r>
            <w:r w:rsidRPr="003E6BE4">
              <w:t>Sb</w:t>
            </w:r>
            <w:r w:rsidRPr="003E6BE4">
              <w:rPr>
                <w:vertAlign w:val="subscript"/>
              </w:rPr>
              <w:t>0.</w:t>
            </w:r>
            <w:proofErr w:type="gramStart"/>
            <w:r w:rsidRPr="003E6BE4">
              <w:rPr>
                <w:vertAlign w:val="subscript"/>
              </w:rPr>
              <w:t>07</w:t>
            </w:r>
            <w:r w:rsidRPr="003E6BE4">
              <w:t>)O</w:t>
            </w:r>
            <w:proofErr w:type="gramEnd"/>
            <w:r w:rsidRPr="003E6BE4">
              <w:rPr>
                <w:vertAlign w:val="subscript"/>
              </w:rPr>
              <w:t>3</w:t>
            </w:r>
            <w:r w:rsidRPr="003E6BE4">
              <w:t>–0.03(Bi</w:t>
            </w:r>
            <w:r w:rsidRPr="003E6BE4">
              <w:rPr>
                <w:vertAlign w:val="subscript"/>
              </w:rPr>
              <w:t>0.5</w:t>
            </w:r>
            <w:r w:rsidRPr="003E6BE4">
              <w:t>Na</w:t>
            </w:r>
            <w:r w:rsidRPr="003E6BE4">
              <w:rPr>
                <w:vertAlign w:val="subscript"/>
              </w:rPr>
              <w:t>0.4</w:t>
            </w:r>
            <w:r w:rsidRPr="003E6BE4">
              <w:t>K</w:t>
            </w:r>
            <w:r w:rsidRPr="003E6BE4">
              <w:rPr>
                <w:vertAlign w:val="subscript"/>
              </w:rPr>
              <w:t>0.</w:t>
            </w:r>
            <w:proofErr w:type="gramStart"/>
            <w:r w:rsidRPr="003E6BE4">
              <w:rPr>
                <w:vertAlign w:val="subscript"/>
              </w:rPr>
              <w:t>1</w:t>
            </w:r>
            <w:r w:rsidRPr="003E6BE4">
              <w:t>)(</w:t>
            </w:r>
            <w:proofErr w:type="gramEnd"/>
            <w:r w:rsidRPr="003E6BE4">
              <w:t>Zr</w:t>
            </w:r>
            <w:r w:rsidRPr="003E6BE4">
              <w:rPr>
                <w:vertAlign w:val="subscript"/>
              </w:rPr>
              <w:t>0.95</w:t>
            </w:r>
            <w:r w:rsidRPr="003E6BE4">
              <w:t>Ti</w:t>
            </w:r>
            <w:r w:rsidRPr="003E6BE4">
              <w:rPr>
                <w:vertAlign w:val="subscript"/>
              </w:rPr>
              <w:t>0.</w:t>
            </w:r>
            <w:proofErr w:type="gramStart"/>
            <w:r w:rsidRPr="003E6BE4">
              <w:rPr>
                <w:vertAlign w:val="subscript"/>
              </w:rPr>
              <w:t>05</w:t>
            </w:r>
            <w:r w:rsidRPr="003E6BE4">
              <w:t>)O</w:t>
            </w:r>
            <w:proofErr w:type="gramEnd"/>
            <w:r w:rsidRPr="003E6BE4">
              <w:rPr>
                <w:vertAlign w:val="subscript"/>
              </w:rPr>
              <w:t>3</w:t>
            </w:r>
            <w:r w:rsidRPr="003E6BE4">
              <w:t>– 0.01(La</w:t>
            </w:r>
            <w:r w:rsidRPr="003E6BE4">
              <w:rPr>
                <w:vertAlign w:val="subscript"/>
              </w:rPr>
              <w:t>0.5</w:t>
            </w:r>
            <w:r w:rsidRPr="003E6BE4">
              <w:t>Sm</w:t>
            </w:r>
            <w:r w:rsidRPr="003E6BE4">
              <w:rPr>
                <w:vertAlign w:val="subscript"/>
              </w:rPr>
              <w:t>0.</w:t>
            </w:r>
            <w:proofErr w:type="gramStart"/>
            <w:r w:rsidRPr="003E6BE4">
              <w:rPr>
                <w:vertAlign w:val="subscript"/>
              </w:rPr>
              <w:t>5</w:t>
            </w:r>
            <w:r w:rsidRPr="003E6BE4">
              <w:t>)ZrO</w:t>
            </w:r>
            <w:proofErr w:type="gramEnd"/>
            <w:r w:rsidRPr="003E6BE4">
              <w:rPr>
                <w:vertAlign w:val="subscript"/>
              </w:rPr>
              <w:t>3</w:t>
            </w:r>
          </w:p>
        </w:tc>
        <w:tc>
          <w:tcPr>
            <w:tcW w:w="1531" w:type="dxa"/>
            <w:shd w:val="clear" w:color="auto" w:fill="FFFFFF" w:themeFill="background1"/>
          </w:tcPr>
          <w:p w14:paraId="23DE6793" w14:textId="77777777" w:rsidR="00F45795" w:rsidRPr="003E6BE4" w:rsidRDefault="00F45795" w:rsidP="00861FCE">
            <w:pPr>
              <w:spacing w:line="360" w:lineRule="auto"/>
              <w:jc w:val="center"/>
              <w:cnfStyle w:val="000000100000" w:firstRow="0" w:lastRow="0" w:firstColumn="0" w:lastColumn="0" w:oddVBand="0" w:evenVBand="0" w:oddHBand="1" w:evenHBand="0" w:firstRowFirstColumn="0" w:firstRowLastColumn="0" w:lastRowFirstColumn="0" w:lastRowLastColumn="0"/>
            </w:pPr>
            <w:r w:rsidRPr="003E6BE4">
              <w:t>530</w:t>
            </w:r>
          </w:p>
        </w:tc>
      </w:tr>
    </w:tbl>
    <w:p w14:paraId="231686E1" w14:textId="77777777" w:rsidR="003F1003" w:rsidRPr="003E6BE4" w:rsidRDefault="003F1003" w:rsidP="00861FCE">
      <w:pPr>
        <w:spacing w:line="360" w:lineRule="auto"/>
        <w:jc w:val="center"/>
      </w:pPr>
    </w:p>
    <w:p w14:paraId="27E1A0D0" w14:textId="77777777" w:rsidR="00EA3E60" w:rsidRPr="003E6BE4" w:rsidRDefault="00EA3E60" w:rsidP="00D3419A">
      <w:pPr>
        <w:spacing w:line="360" w:lineRule="auto"/>
        <w:jc w:val="both"/>
        <w:rPr>
          <w:b/>
        </w:rPr>
      </w:pPr>
    </w:p>
    <w:p w14:paraId="41E5E2B7" w14:textId="76D06526" w:rsidR="00EA3E60" w:rsidRPr="003E6BE4" w:rsidRDefault="00BB67C6" w:rsidP="00B61558">
      <w:pPr>
        <w:spacing w:line="360" w:lineRule="auto"/>
        <w:jc w:val="center"/>
        <w:rPr>
          <w:b/>
        </w:rPr>
      </w:pPr>
      <w:r w:rsidRPr="003E6BE4">
        <w:rPr>
          <w:noProof/>
        </w:rPr>
        <w:drawing>
          <wp:inline distT="0" distB="0" distL="0" distR="0" wp14:anchorId="33C56AE0" wp14:editId="08812D28">
            <wp:extent cx="4572000" cy="3427307"/>
            <wp:effectExtent l="0" t="0" r="0" b="1905"/>
            <wp:docPr id="2023806289" name="Picture 1" descr="A diagram of a graph&#10;&#10;AI-generated content may be incorrect.">
              <a:extLst xmlns:a="http://schemas.openxmlformats.org/drawingml/2006/main">
                <a:ext uri="{FF2B5EF4-FFF2-40B4-BE49-F238E27FC236}">
                  <a16:creationId xmlns:a16="http://schemas.microsoft.com/office/drawing/2014/main" id="{0B27A94D-035A-4030-AC30-CDF28FAE6E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806289" name="Picture 1" descr="A diagram of a graph&#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80932" cy="3434002"/>
                    </a:xfrm>
                    <a:prstGeom prst="rect">
                      <a:avLst/>
                    </a:prstGeom>
                    <a:noFill/>
                    <a:ln>
                      <a:noFill/>
                    </a:ln>
                  </pic:spPr>
                </pic:pic>
              </a:graphicData>
            </a:graphic>
          </wp:inline>
        </w:drawing>
      </w:r>
    </w:p>
    <w:p w14:paraId="6BA8C066" w14:textId="4F88F92B" w:rsidR="00BB67C6" w:rsidRPr="003E6BE4" w:rsidRDefault="00BB67C6" w:rsidP="00D3419A">
      <w:pPr>
        <w:spacing w:line="360" w:lineRule="auto"/>
        <w:ind w:left="360"/>
        <w:jc w:val="both"/>
      </w:pPr>
      <w:r w:rsidRPr="003E6BE4">
        <w:t>Figure S</w:t>
      </w:r>
      <w:r w:rsidR="001A1A17" w:rsidRPr="003E6BE4">
        <w:t>2</w:t>
      </w:r>
      <w:r w:rsidRPr="003E6BE4">
        <w:t xml:space="preserve">. Comparison of C1 and C6 for (a) </w:t>
      </w:r>
      <w:proofErr w:type="spellStart"/>
      <w:r w:rsidRPr="003E6BE4">
        <w:rPr>
          <w:i/>
        </w:rPr>
        <w:t>ε</w:t>
      </w:r>
      <w:r w:rsidRPr="003E6BE4">
        <w:rPr>
          <w:i/>
          <w:vertAlign w:val="subscript"/>
        </w:rPr>
        <w:t>r</w:t>
      </w:r>
      <w:proofErr w:type="spellEnd"/>
      <w:r w:rsidRPr="003E6BE4">
        <w:t xml:space="preserve"> </w:t>
      </w:r>
      <w:r w:rsidRPr="003E6BE4">
        <w:rPr>
          <w:i/>
        </w:rPr>
        <w:t xml:space="preserve">v/s T </w:t>
      </w:r>
      <w:r w:rsidR="00F621A3" w:rsidRPr="003E6BE4">
        <w:t xml:space="preserve">measurement, (b) </w:t>
      </w:r>
      <w:r w:rsidR="00F621A3" w:rsidRPr="003E6BE4">
        <w:rPr>
          <w:i/>
        </w:rPr>
        <w:t>P-E</w:t>
      </w:r>
      <w:r w:rsidR="00F621A3" w:rsidRPr="003E6BE4">
        <w:t xml:space="preserve"> loop measurement</w:t>
      </w:r>
      <w:r w:rsidR="006E7A7E" w:rsidRPr="003E6BE4">
        <w:t>,</w:t>
      </w:r>
      <w:r w:rsidR="00F621A3" w:rsidRPr="003E6BE4">
        <w:t xml:space="preserve"> and (c) </w:t>
      </w:r>
      <w:r w:rsidR="002932F3" w:rsidRPr="003E6BE4">
        <w:t>Strain measurement</w:t>
      </w:r>
      <w:r w:rsidRPr="003E6BE4">
        <w:t xml:space="preserve">  </w:t>
      </w:r>
    </w:p>
    <w:p w14:paraId="29B33B57" w14:textId="77777777" w:rsidR="004C441D" w:rsidRPr="003E6BE4" w:rsidRDefault="004C441D" w:rsidP="00D3419A">
      <w:pPr>
        <w:spacing w:line="360" w:lineRule="auto"/>
        <w:ind w:left="360"/>
        <w:jc w:val="both"/>
      </w:pPr>
    </w:p>
    <w:p w14:paraId="73475955" w14:textId="05214823" w:rsidR="00550C14" w:rsidRPr="003E6BE4" w:rsidRDefault="000A1C32" w:rsidP="00D3419A">
      <w:pPr>
        <w:spacing w:line="360" w:lineRule="auto"/>
        <w:ind w:left="360"/>
        <w:jc w:val="both"/>
      </w:pPr>
      <w:r w:rsidRPr="003E6BE4">
        <w:t>Co</w:t>
      </w:r>
      <w:r w:rsidR="007E42C5" w:rsidRPr="003E6BE4">
        <w:t xml:space="preserve">mpositions C1 and C6 in the above table were synthesized using </w:t>
      </w:r>
      <w:r w:rsidR="006E7A7E" w:rsidRPr="003E6BE4">
        <w:t>a solid-</w:t>
      </w:r>
      <w:r w:rsidR="007E42C5" w:rsidRPr="003E6BE4">
        <w:t xml:space="preserve">state synthesis approach. The results are summarized in </w:t>
      </w:r>
      <w:r w:rsidR="0060405E" w:rsidRPr="003E6BE4">
        <w:t xml:space="preserve">Figure </w:t>
      </w:r>
      <w:r w:rsidR="00B90CE7" w:rsidRPr="003E6BE4">
        <w:t>S</w:t>
      </w:r>
      <w:r w:rsidRPr="003E6BE4">
        <w:t>2</w:t>
      </w:r>
      <w:r w:rsidR="007E42C5" w:rsidRPr="003E6BE4">
        <w:t xml:space="preserve">. Figure </w:t>
      </w:r>
      <w:r w:rsidR="00B90CE7" w:rsidRPr="003E6BE4">
        <w:t>S</w:t>
      </w:r>
      <w:r w:rsidRPr="003E6BE4">
        <w:t>2</w:t>
      </w:r>
      <w:r w:rsidR="007E42C5" w:rsidRPr="003E6BE4">
        <w:t xml:space="preserve">(a) shows the </w:t>
      </w:r>
      <w:r w:rsidR="0060405E" w:rsidRPr="003E6BE4">
        <w:t>temperature-</w:t>
      </w:r>
      <w:r w:rsidR="007E42C5" w:rsidRPr="003E6BE4">
        <w:t>dependent relative permittivity (</w:t>
      </w:r>
      <w:proofErr w:type="spellStart"/>
      <w:r w:rsidR="007E42C5" w:rsidRPr="003E6BE4">
        <w:rPr>
          <w:i/>
        </w:rPr>
        <w:t>ε</w:t>
      </w:r>
      <w:r w:rsidR="007E42C5" w:rsidRPr="003E6BE4">
        <w:rPr>
          <w:i/>
          <w:vertAlign w:val="subscript"/>
        </w:rPr>
        <w:t>r</w:t>
      </w:r>
      <w:proofErr w:type="spellEnd"/>
      <w:r w:rsidR="007E42C5" w:rsidRPr="003E6BE4">
        <w:t>) and dielectric loss (</w:t>
      </w:r>
      <w:r w:rsidR="007E42C5" w:rsidRPr="003E6BE4">
        <w:rPr>
          <w:i/>
        </w:rPr>
        <w:t>tan(δ)</w:t>
      </w:r>
      <w:r w:rsidR="007E42C5" w:rsidRPr="003E6BE4">
        <w:t>) measurement and its comparison between composition</w:t>
      </w:r>
      <w:r w:rsidR="0060405E" w:rsidRPr="003E6BE4">
        <w:t>s</w:t>
      </w:r>
      <w:r w:rsidR="007E42C5" w:rsidRPr="003E6BE4">
        <w:t xml:space="preserve"> C1 and C6. </w:t>
      </w:r>
      <w:r w:rsidR="007F2DF2">
        <w:t>The</w:t>
      </w:r>
      <w:r w:rsidR="007E42C5" w:rsidRPr="003E6BE4">
        <w:t xml:space="preserve"> C6 </w:t>
      </w:r>
      <w:r w:rsidR="007F2DF2">
        <w:t xml:space="preserve">composition </w:t>
      </w:r>
      <w:r w:rsidR="001F423C" w:rsidRPr="003E6BE4">
        <w:t>exhibit</w:t>
      </w:r>
      <w:r w:rsidR="007E42C5" w:rsidRPr="003E6BE4">
        <w:t>s a diffuse phase transition as a function of temperature</w:t>
      </w:r>
      <w:r w:rsidR="001F423C" w:rsidRPr="003E6BE4">
        <w:t>, indicating a</w:t>
      </w:r>
      <w:r w:rsidR="007E42C5" w:rsidRPr="003E6BE4">
        <w:t xml:space="preserve"> disruption of </w:t>
      </w:r>
      <w:r w:rsidR="001F423C" w:rsidRPr="003E6BE4">
        <w:t>long-</w:t>
      </w:r>
      <w:r w:rsidR="007E42C5" w:rsidRPr="003E6BE4">
        <w:t>range crystallinity in the composition.</w:t>
      </w:r>
      <w:r w:rsidR="007E42C5" w:rsidRPr="003E6BE4">
        <w:fldChar w:fldCharType="begin" w:fldLock="1"/>
      </w:r>
      <w:r w:rsidR="00A00A24" w:rsidRPr="003E6BE4">
        <w:instrText>ADDIN CSL_CITATION {"citationItems":[{"id":"ITEM-1","itemData":{"DOI":"10.1016/J.ACTAMAT.2020.07.053","ISSN":"1359-6454","abstract":"By studying the alone and synergetic effects of Zr4+ and Bi3+ on potassium sodium niobate ((K, Na)NbO3, KNN) ceramics, we revealed how Bi0.5A0.5ZrO3 (A = K, Na, Ag, and (Na0.82K0.18)) reduces the orthorhombic-tetragonal phase transition temperature (TO–T) of KNN ceramics. Investigations into the alone effects reveal that aliovalent substitutions on K+/Na+ (Nb5+) with Bi3+ (Zr4+) inevitably destroy long-range ordering (LRO) and thus worsen piezo/ferroelectric properties. Despite this, Zr4+ can replace Nb5+ within a high content, remain an orthorhombic (O) phase, and slightly increase TO–T. Although substituting on K+/Na+ with Bi3+ decreases TO–T, it already significantly destroyed LRO before shifting TO–T to room temperature. Then, investigations into the synergetic effects show that Zr4+ acts as a buffer, Bi3+ is an accelerator, and A+ is a stabilizer. The buffer can exist in KNN ceramics within a high content and neutralizes the charges caused by the accelerator that concentrates on decreasing TO–T, and the stabilizer compensates for the stability of the perovskite phase. Their synergetic effects explain why Bi0.5A0.5ZrO3 can gradually reduce the TO–T of KNN ceramics without significantly destroying LRO. Therefore, this work helps understand how Bi0.5A0.5ZrO3 decreases TO–T and further design the phase boundary for KNN ceramics.","author":[{"dropping-particle":"","family":"Lv","given":"Xiang","non-dropping-particle":"","parse-names":false,"suffix":""},{"dropping-particle":"","family":"Zhang","given":"Nan","non-dropping-particle":"","parse-names":false,"suffix":""},{"dropping-particle":"","family":"Wu","given":"Jiagang","non-dropping-particle":"","parse-names":false,"suffix":""},{"dropping-particle":"","family":"Zhang","given":"Xi xiang","non-dropping-particle":"","parse-names":false,"suffix":""}],"container-title":"Acta Materialia","id":"ITEM-1","issued":{"date-parts":[["2020","9","15"]]},"page":"224-234","publisher":"Pergamon","title":"The Role of Adding Bi0.5A0.5ZrO3 in Affecting Orthorhombic-Tetragonal Phase Transition Temperature and Electrical Properties in Potassium Sodium Niobate Ceramics","type":"article-journal","volume":"197"},"uris":["http://www.mendeley.com/documents/?uuid=fb2356ad-dee0-36e4-855f-4f7f05188321"]}],"mendeley":{"formattedCitation":"&lt;sup&gt;4&lt;/sup&gt;","plainTextFormattedCitation":"4","previouslyFormattedCitation":"&lt;sup&gt;4&lt;/sup&gt;"},"properties":{"noteIndex":0},"schema":"https://github.com/citation-style-language/schema/raw/master/csl-citation.json"}</w:instrText>
      </w:r>
      <w:r w:rsidR="007E42C5" w:rsidRPr="003E6BE4">
        <w:fldChar w:fldCharType="separate"/>
      </w:r>
      <w:r w:rsidR="007E42C5" w:rsidRPr="003E6BE4">
        <w:rPr>
          <w:noProof/>
          <w:vertAlign w:val="superscript"/>
        </w:rPr>
        <w:t>4</w:t>
      </w:r>
      <w:r w:rsidR="007E42C5" w:rsidRPr="003E6BE4">
        <w:fldChar w:fldCharType="end"/>
      </w:r>
      <w:r w:rsidR="007E42C5" w:rsidRPr="003E6BE4">
        <w:t xml:space="preserve"> The difference in the magnitude of loss is marginal</w:t>
      </w:r>
      <w:r w:rsidR="00C64757" w:rsidRPr="003E6BE4">
        <w:t>,</w:t>
      </w:r>
      <w:r w:rsidR="007E42C5" w:rsidRPr="003E6BE4">
        <w:t xml:space="preserve"> and disruption in </w:t>
      </w:r>
      <w:r w:rsidR="00C64757" w:rsidRPr="003E6BE4">
        <w:lastRenderedPageBreak/>
        <w:t>long-</w:t>
      </w:r>
      <w:r w:rsidR="007E42C5" w:rsidRPr="003E6BE4">
        <w:t xml:space="preserve">range </w:t>
      </w:r>
      <w:r w:rsidR="00A17E1B">
        <w:t>order</w:t>
      </w:r>
      <w:r w:rsidR="00A17E1B" w:rsidRPr="003E6BE4">
        <w:t xml:space="preserve"> </w:t>
      </w:r>
      <w:r w:rsidR="00C64757" w:rsidRPr="003E6BE4">
        <w:t>has an adverse effect on</w:t>
      </w:r>
      <w:r w:rsidR="007E42C5" w:rsidRPr="003E6BE4">
        <w:t xml:space="preserve"> the electrical properties.</w:t>
      </w:r>
      <w:r w:rsidR="007E42C5" w:rsidRPr="003E6BE4">
        <w:fldChar w:fldCharType="begin" w:fldLock="1"/>
      </w:r>
      <w:r w:rsidR="00A00A24" w:rsidRPr="003E6BE4">
        <w:instrText>ADDIN CSL_CITATION {"citationItems":[{"id":"ITEM-1","itemData":{"DOI":"10.1111/J.1551-2916.2011.04952.X","ISSN":"1551-2916","abstract":"Feature size is a natural determinant of material properties. Its design offers the technological perspectives for material improvement. Grain size, crystallite size, domain width, and structural defects of different nature constitute the classical design elements. Common ferroelectric ceramics contain micrometer grain sizes and submicrometer domain widths. Domain wall mobility is a major contribution to their macroscopic material properties providing approximately half of the macroscopic output in optimized materials. The extension into the dynamic nanoworld is provided by relaxor ferroelectrics. Ionic and nanoscale field disorders form the base to a state with natural nanometer-size polar structures even in bulk materials. These polar structures are highly mobile and can dynamically change over several orders of magnitude in time and space being extremely sensitive to external stimuli. This yields among the largest dielectric and piezoelectric constants known. In this feature article, we want to outline how lead-free relaxors will offer a route to an environmentally safer option in this outstanding material class. Properties of uniaxial, planar, and volumetric relaxor compositions will be discussed. They provide a broader and more interesting scope of physical properties and features than the classical lead-containing relaxor compositions. © 2011 The American Ceramic Society.","author":[{"dropping-particle":"V.","family":"Shvartsman","given":"Vladimir","non-dropping-particle":"","parse-names":false,"suffix":""},{"dropping-particle":"","family":"Lupascu","given":"Doru C.","non-dropping-particle":"","parse-names":false,"suffix":""}],"container-title":"Journal of the American Ceramic Society","id":"ITEM-1","issue":"1","issued":{"date-parts":[["2012","1","1"]]},"page":"1-26","publisher":"John Wiley &amp; Sons, Ltd","title":"Lead-Free Relaxor Ferroelectrics","type":"article-journal","volume":"95"},"uris":["http://www.mendeley.com/documents/?uuid=8dbc7dd3-cd97-35a0-886d-d9a9f3baf5b5"]}],"mendeley":{"formattedCitation":"&lt;sup&gt;5&lt;/sup&gt;","plainTextFormattedCitation":"5","previouslyFormattedCitation":"&lt;sup&gt;5&lt;/sup&gt;"},"properties":{"noteIndex":0},"schema":"https://github.com/citation-style-language/schema/raw/master/csl-citation.json"}</w:instrText>
      </w:r>
      <w:r w:rsidR="007E42C5" w:rsidRPr="003E6BE4">
        <w:fldChar w:fldCharType="separate"/>
      </w:r>
      <w:r w:rsidR="007E42C5" w:rsidRPr="003E6BE4">
        <w:rPr>
          <w:noProof/>
          <w:vertAlign w:val="superscript"/>
        </w:rPr>
        <w:t>5</w:t>
      </w:r>
      <w:r w:rsidR="007E42C5" w:rsidRPr="003E6BE4">
        <w:fldChar w:fldCharType="end"/>
      </w:r>
      <w:r w:rsidR="007E42C5" w:rsidRPr="003E6BE4">
        <w:t xml:space="preserve"> Further</w:t>
      </w:r>
      <w:r w:rsidR="006E7A7E" w:rsidRPr="003E6BE4">
        <w:t>more</w:t>
      </w:r>
      <w:r w:rsidR="007E42C5" w:rsidRPr="003E6BE4">
        <w:t>, the magnitude of polarization and strain w</w:t>
      </w:r>
      <w:r w:rsidR="006E7A7E" w:rsidRPr="003E6BE4">
        <w:t>as</w:t>
      </w:r>
      <w:r w:rsidR="007E42C5" w:rsidRPr="003E6BE4">
        <w:t xml:space="preserve"> compared in </w:t>
      </w:r>
      <w:r w:rsidR="006E7A7E" w:rsidRPr="003E6BE4">
        <w:t xml:space="preserve">Figures </w:t>
      </w:r>
      <w:r w:rsidR="00D13FE0" w:rsidRPr="003E6BE4">
        <w:t>S</w:t>
      </w:r>
      <w:r w:rsidRPr="003E6BE4">
        <w:t>2</w:t>
      </w:r>
      <w:r w:rsidR="007E42C5" w:rsidRPr="003E6BE4">
        <w:t>(b) and (c)</w:t>
      </w:r>
      <w:r w:rsidR="006E7A7E" w:rsidRPr="003E6BE4">
        <w:t>,</w:t>
      </w:r>
      <w:r w:rsidR="007E42C5" w:rsidRPr="003E6BE4">
        <w:t xml:space="preserve"> which also sho</w:t>
      </w:r>
      <w:r w:rsidR="00B90CE7" w:rsidRPr="003E6BE4">
        <w:t>w</w:t>
      </w:r>
      <w:r w:rsidR="007E42C5" w:rsidRPr="003E6BE4">
        <w:t xml:space="preserve"> inferior ferroelectric and piezoelectric properties</w:t>
      </w:r>
      <w:r w:rsidR="006E7A7E" w:rsidRPr="003E6BE4">
        <w:t>,</w:t>
      </w:r>
      <w:r w:rsidR="007E42C5" w:rsidRPr="003E6BE4">
        <w:t xml:space="preserve"> respectively</w:t>
      </w:r>
      <w:r w:rsidR="006E7A7E" w:rsidRPr="003E6BE4">
        <w:t>,</w:t>
      </w:r>
      <w:r w:rsidR="007E42C5" w:rsidRPr="003E6BE4">
        <w:t xml:space="preserve"> under </w:t>
      </w:r>
      <w:r w:rsidR="006E7A7E" w:rsidRPr="003E6BE4">
        <w:t xml:space="preserve">a </w:t>
      </w:r>
      <w:r w:rsidR="007E42C5" w:rsidRPr="003E6BE4">
        <w:t>high magnitude of electric field.</w:t>
      </w:r>
      <w:r w:rsidR="006E7A7E" w:rsidRPr="003E6BE4">
        <w:t xml:space="preserve"> </w:t>
      </w:r>
      <w:r w:rsidR="007E42C5" w:rsidRPr="003E6BE4">
        <w:t xml:space="preserve">The intercept of blue curve (C6) in figure </w:t>
      </w:r>
      <w:r w:rsidR="00D13FE0" w:rsidRPr="003E6BE4">
        <w:t>S</w:t>
      </w:r>
      <w:r w:rsidR="007E42C5" w:rsidRPr="003E6BE4">
        <w:t>1(b) and (c) is always lower in magnitude compared to that of red curve (C1) defining the coercivity and remanent polarization which is an important parameter to be considered in piezoelectric application.</w:t>
      </w:r>
    </w:p>
    <w:p w14:paraId="599F3F11" w14:textId="77777777" w:rsidR="00550C14" w:rsidRDefault="00550C14" w:rsidP="00D3419A">
      <w:pPr>
        <w:spacing w:line="360" w:lineRule="auto"/>
        <w:ind w:left="360"/>
        <w:jc w:val="both"/>
      </w:pPr>
    </w:p>
    <w:p w14:paraId="15D6C088" w14:textId="77777777" w:rsidR="00B61558" w:rsidRDefault="00B61558" w:rsidP="00D3419A">
      <w:pPr>
        <w:spacing w:line="360" w:lineRule="auto"/>
        <w:ind w:left="360"/>
        <w:jc w:val="both"/>
      </w:pPr>
    </w:p>
    <w:p w14:paraId="4F991E82" w14:textId="77777777" w:rsidR="00B61558" w:rsidRDefault="00B61558" w:rsidP="00D3419A">
      <w:pPr>
        <w:spacing w:line="360" w:lineRule="auto"/>
        <w:ind w:left="360"/>
        <w:jc w:val="both"/>
      </w:pPr>
    </w:p>
    <w:p w14:paraId="2E3DF330" w14:textId="77777777" w:rsidR="00B61558" w:rsidRDefault="00B61558" w:rsidP="00D3419A">
      <w:pPr>
        <w:spacing w:line="360" w:lineRule="auto"/>
        <w:ind w:left="360"/>
        <w:jc w:val="both"/>
      </w:pPr>
    </w:p>
    <w:p w14:paraId="3EBF50FF" w14:textId="77777777" w:rsidR="00B61558" w:rsidRDefault="00B61558" w:rsidP="00D3419A">
      <w:pPr>
        <w:spacing w:line="360" w:lineRule="auto"/>
        <w:ind w:left="360"/>
        <w:jc w:val="both"/>
      </w:pPr>
    </w:p>
    <w:p w14:paraId="44125154" w14:textId="77777777" w:rsidR="00B61558" w:rsidRDefault="00B61558" w:rsidP="00D3419A">
      <w:pPr>
        <w:spacing w:line="360" w:lineRule="auto"/>
        <w:ind w:left="360"/>
        <w:jc w:val="both"/>
      </w:pPr>
    </w:p>
    <w:p w14:paraId="1FF32B92" w14:textId="77777777" w:rsidR="00B61558" w:rsidRPr="003E6BE4" w:rsidRDefault="00B61558" w:rsidP="00D3419A">
      <w:pPr>
        <w:spacing w:line="360" w:lineRule="auto"/>
        <w:ind w:left="360"/>
        <w:jc w:val="both"/>
      </w:pPr>
    </w:p>
    <w:p w14:paraId="2DB62CD5" w14:textId="77777777" w:rsidR="00A900E7" w:rsidRDefault="00A900E7">
      <w:pPr>
        <w:ind w:left="720" w:hanging="360"/>
        <w:jc w:val="both"/>
        <w:rPr>
          <w:i/>
          <w:iCs/>
        </w:rPr>
      </w:pPr>
      <w:r>
        <w:rPr>
          <w:i/>
          <w:iCs/>
        </w:rPr>
        <w:br w:type="page"/>
      </w:r>
    </w:p>
    <w:p w14:paraId="03B2C026" w14:textId="368F2CCB" w:rsidR="00685693" w:rsidRPr="00EB4A15" w:rsidRDefault="00BD116E" w:rsidP="00D3419A">
      <w:pPr>
        <w:spacing w:line="360" w:lineRule="auto"/>
        <w:ind w:left="360"/>
        <w:jc w:val="both"/>
        <w:rPr>
          <w:b/>
          <w:i/>
          <w:iCs/>
        </w:rPr>
      </w:pPr>
      <w:r w:rsidRPr="00EB4A15">
        <w:rPr>
          <w:b/>
          <w:i/>
          <w:iCs/>
        </w:rPr>
        <w:lastRenderedPageBreak/>
        <w:t xml:space="preserve">S4. </w:t>
      </w:r>
      <w:r w:rsidR="00061332" w:rsidRPr="00EB4A15">
        <w:rPr>
          <w:b/>
          <w:i/>
          <w:iCs/>
        </w:rPr>
        <w:t>Post-Hoc Analysis of Optimized Composition</w:t>
      </w:r>
      <w:r w:rsidR="007E42C5" w:rsidRPr="00EB4A15">
        <w:rPr>
          <w:b/>
          <w:i/>
          <w:iCs/>
        </w:rPr>
        <w:t xml:space="preserve">    </w:t>
      </w:r>
    </w:p>
    <w:p w14:paraId="1747E915" w14:textId="6DD8A060" w:rsidR="00685693" w:rsidRPr="003E6BE4" w:rsidRDefault="00685693" w:rsidP="00D3419A">
      <w:pPr>
        <w:keepNext/>
        <w:spacing w:line="360" w:lineRule="auto"/>
        <w:ind w:left="360"/>
        <w:jc w:val="both"/>
      </w:pPr>
    </w:p>
    <w:p w14:paraId="52EE4FDA" w14:textId="4BCD4FBC" w:rsidR="00550C14" w:rsidRPr="003E6BE4" w:rsidRDefault="00550C14" w:rsidP="00D3419A">
      <w:pPr>
        <w:keepNext/>
        <w:spacing w:line="360" w:lineRule="auto"/>
        <w:ind w:left="360"/>
        <w:jc w:val="both"/>
        <w:rPr>
          <w:lang w:val="en-US"/>
        </w:rPr>
      </w:pPr>
      <w:r w:rsidRPr="003E6BE4">
        <w:rPr>
          <w:noProof/>
          <w:lang w:val="en-US"/>
        </w:rPr>
        <w:drawing>
          <wp:inline distT="0" distB="0" distL="0" distR="0" wp14:anchorId="0D1DFFE3" wp14:editId="4054A82E">
            <wp:extent cx="6480000" cy="2315582"/>
            <wp:effectExtent l="0" t="0" r="0" b="8890"/>
            <wp:docPr id="1807426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6725" b="29659"/>
                    <a:stretch>
                      <a:fillRect/>
                    </a:stretch>
                  </pic:blipFill>
                  <pic:spPr bwMode="auto">
                    <a:xfrm>
                      <a:off x="0" y="0"/>
                      <a:ext cx="6480000" cy="2315582"/>
                    </a:xfrm>
                    <a:prstGeom prst="rect">
                      <a:avLst/>
                    </a:prstGeom>
                    <a:noFill/>
                    <a:ln>
                      <a:noFill/>
                    </a:ln>
                    <a:extLst>
                      <a:ext uri="{53640926-AAD7-44D8-BBD7-CCE9431645EC}">
                        <a14:shadowObscured xmlns:a14="http://schemas.microsoft.com/office/drawing/2010/main"/>
                      </a:ext>
                    </a:extLst>
                  </pic:spPr>
                </pic:pic>
              </a:graphicData>
            </a:graphic>
          </wp:inline>
        </w:drawing>
      </w:r>
    </w:p>
    <w:p w14:paraId="3261C13B" w14:textId="77777777" w:rsidR="00550C14" w:rsidRPr="003E6BE4" w:rsidRDefault="00550C14" w:rsidP="00D3419A">
      <w:pPr>
        <w:keepNext/>
        <w:spacing w:line="360" w:lineRule="auto"/>
        <w:ind w:left="360"/>
        <w:jc w:val="both"/>
      </w:pPr>
    </w:p>
    <w:p w14:paraId="6CCCA9B7" w14:textId="18CA32D4" w:rsidR="005E20BC" w:rsidRPr="003E6BE4" w:rsidRDefault="00264657" w:rsidP="00D3419A">
      <w:pPr>
        <w:spacing w:line="360" w:lineRule="auto"/>
        <w:ind w:left="360"/>
        <w:jc w:val="both"/>
        <w:rPr>
          <w:color w:val="000000"/>
        </w:rPr>
      </w:pPr>
      <w:r>
        <w:t xml:space="preserve">Figure </w:t>
      </w:r>
      <w:r w:rsidR="009E3802">
        <w:t>S3</w:t>
      </w:r>
      <w:r>
        <w:t xml:space="preserve">: </w:t>
      </w:r>
      <w:r w:rsidR="00C223A1" w:rsidRPr="557380F8">
        <w:rPr>
          <w:color w:val="000000" w:themeColor="text1"/>
        </w:rPr>
        <w:t>Three-step assessment of the DeepSeek-V3.2 model’s prediction performance.</w:t>
      </w:r>
      <w:r w:rsidR="00550C14" w:rsidRPr="557380F8">
        <w:rPr>
          <w:color w:val="000000" w:themeColor="text1"/>
        </w:rPr>
        <w:t xml:space="preserve"> (a) </w:t>
      </w:r>
      <w:r w:rsidR="00453009" w:rsidRPr="557380F8">
        <w:rPr>
          <w:i/>
          <w:iCs/>
          <w:color w:val="000000" w:themeColor="text1"/>
        </w:rPr>
        <w:t xml:space="preserve">Test 1: </w:t>
      </w:r>
      <w:r w:rsidR="00C223A1" w:rsidRPr="557380F8">
        <w:rPr>
          <w:color w:val="000000" w:themeColor="text1"/>
        </w:rPr>
        <w:t xml:space="preserve"> Leave-One-Out evaluation showing how predicted d₃₃ values compare to actual </w:t>
      </w:r>
      <w:r w:rsidR="003E44E7" w:rsidRPr="557380F8">
        <w:rPr>
          <w:color w:val="000000" w:themeColor="text1"/>
        </w:rPr>
        <w:t xml:space="preserve">d₃₃ values </w:t>
      </w:r>
      <w:r w:rsidR="00C223A1" w:rsidRPr="557380F8">
        <w:rPr>
          <w:color w:val="000000" w:themeColor="text1"/>
        </w:rPr>
        <w:t xml:space="preserve">for 10 reference compositions across </w:t>
      </w:r>
      <w:r w:rsidR="004C4F0D" w:rsidRPr="557380F8">
        <w:rPr>
          <w:color w:val="000000" w:themeColor="text1"/>
        </w:rPr>
        <w:t>different</w:t>
      </w:r>
      <w:r w:rsidR="00C223A1" w:rsidRPr="557380F8">
        <w:rPr>
          <w:color w:val="000000" w:themeColor="text1"/>
        </w:rPr>
        <w:t xml:space="preserve"> folds.</w:t>
      </w:r>
      <w:r w:rsidR="00550C14" w:rsidRPr="557380F8">
        <w:rPr>
          <w:color w:val="000000" w:themeColor="text1"/>
        </w:rPr>
        <w:t xml:space="preserve"> (b) </w:t>
      </w:r>
      <w:r w:rsidR="00453009" w:rsidRPr="557380F8">
        <w:rPr>
          <w:i/>
          <w:iCs/>
          <w:color w:val="000000" w:themeColor="text1"/>
        </w:rPr>
        <w:t xml:space="preserve">Test 2: </w:t>
      </w:r>
      <w:r w:rsidR="00C223A1" w:rsidRPr="557380F8">
        <w:rPr>
          <w:color w:val="000000" w:themeColor="text1"/>
        </w:rPr>
        <w:t xml:space="preserve"> Comparison of predictions for two unseen compositions (C1 and C6) before and after adding their actual performance data, </w:t>
      </w:r>
      <w:r w:rsidR="004C4F0D" w:rsidRPr="557380F8">
        <w:rPr>
          <w:color w:val="000000" w:themeColor="text1"/>
        </w:rPr>
        <w:t>showing</w:t>
      </w:r>
      <w:r w:rsidR="00C223A1" w:rsidRPr="557380F8">
        <w:rPr>
          <w:color w:val="000000" w:themeColor="text1"/>
        </w:rPr>
        <w:t xml:space="preserve"> how the model adjusts its estimates when new information is introduced.</w:t>
      </w:r>
      <w:r w:rsidR="00550C14" w:rsidRPr="557380F8">
        <w:rPr>
          <w:color w:val="000000" w:themeColor="text1"/>
        </w:rPr>
        <w:t xml:space="preserve"> (c)</w:t>
      </w:r>
      <w:r w:rsidR="00C223A1" w:rsidRPr="557380F8">
        <w:rPr>
          <w:color w:val="000000" w:themeColor="text1"/>
        </w:rPr>
        <w:t> </w:t>
      </w:r>
      <w:r w:rsidR="00453009" w:rsidRPr="557380F8">
        <w:rPr>
          <w:color w:val="000000" w:themeColor="text1"/>
        </w:rPr>
        <w:t xml:space="preserve">Test 3: </w:t>
      </w:r>
      <w:r w:rsidR="00C223A1" w:rsidRPr="557380F8">
        <w:rPr>
          <w:color w:val="000000" w:themeColor="text1"/>
        </w:rPr>
        <w:t>Analysis of prediction error as the number of reference examples increases, highlighting instability in few-shot learning</w:t>
      </w:r>
      <w:r w:rsidR="00CC0A92" w:rsidRPr="557380F8">
        <w:rPr>
          <w:color w:val="000000" w:themeColor="text1"/>
        </w:rPr>
        <w:t>.</w:t>
      </w:r>
      <w:r w:rsidR="59DB2823" w:rsidRPr="557380F8">
        <w:rPr>
          <w:color w:val="000000" w:themeColor="text1"/>
        </w:rPr>
        <w:t xml:space="preserve"> Here, MAE and MAPE refer to Mean Absolute Error (the average magnitude of prediction errors in </w:t>
      </w:r>
      <w:proofErr w:type="spellStart"/>
      <w:r w:rsidR="59DB2823" w:rsidRPr="557380F8">
        <w:rPr>
          <w:color w:val="000000" w:themeColor="text1"/>
        </w:rPr>
        <w:t>pC</w:t>
      </w:r>
      <w:proofErr w:type="spellEnd"/>
      <w:r w:rsidR="59DB2823" w:rsidRPr="557380F8">
        <w:rPr>
          <w:color w:val="000000" w:themeColor="text1"/>
        </w:rPr>
        <w:t>/N) and Mean Absolute Percentage Error (the average error expressed as a percentage of the actual values), respectively.</w:t>
      </w:r>
    </w:p>
    <w:p w14:paraId="31E5A69D" w14:textId="77777777" w:rsidR="005E20BC" w:rsidRPr="003E6BE4" w:rsidRDefault="005E20BC" w:rsidP="00D3419A">
      <w:pPr>
        <w:spacing w:line="360" w:lineRule="auto"/>
        <w:ind w:left="720" w:hanging="360"/>
        <w:jc w:val="both"/>
      </w:pPr>
    </w:p>
    <w:p w14:paraId="74B8258E" w14:textId="6E41E59C" w:rsidR="0085189A" w:rsidRPr="003E6BE4" w:rsidRDefault="0062204B" w:rsidP="00D3419A">
      <w:pPr>
        <w:spacing w:line="360" w:lineRule="auto"/>
        <w:jc w:val="both"/>
      </w:pPr>
      <w:r w:rsidRPr="003E6BE4">
        <w:t xml:space="preserve">To assess the reasoning and predictive capabilities of the DeepSeek-V3.2 model, a detailed three-stage evaluation was performed on the </w:t>
      </w:r>
      <w:r w:rsidR="002A7C2F" w:rsidRPr="003E6BE4">
        <w:t>10-reference</w:t>
      </w:r>
      <w:r w:rsidRPr="003E6BE4">
        <w:t xml:space="preserve"> composition, with each test repeated over N=5 runs to evaluate stochasticity. The model demonstrated significant, deterministic capabilities, but also revealed unreliable reasoning and performed poorly on a few outliers. The first experiment,</w:t>
      </w:r>
      <w:r w:rsidR="000349E6" w:rsidRPr="003E6BE4">
        <w:t xml:space="preserve"> Test 1,</w:t>
      </w:r>
      <w:r w:rsidRPr="003E6BE4">
        <w:t xml:space="preserve"> a Leave-One-Out (LOO) cross-validation</w:t>
      </w:r>
      <w:r>
        <w:t>, evaluated the model</w:t>
      </w:r>
      <w:r w:rsidR="00645602">
        <w:t>’</w:t>
      </w:r>
      <w:r>
        <w:t>s fundamental generalization ability.</w:t>
      </w:r>
      <w:r w:rsidR="00CF1814">
        <w:fldChar w:fldCharType="begin" w:fldLock="1"/>
      </w:r>
      <w:r w:rsidR="00A2757D">
        <w:instrText>ADDIN CSL_CITATION {"citationItems":[{"id":"ITEM-1","itemData":{"DOI":"10.1016/J.PATCOG.2015.03.009","ISSN":"0031-3203","abstract":"Classification is an essential task for predicting the class values of new instances. Both k-fold and leave-one-out cross validation are very popular for evaluating the performance of classification algorithms. Many data mining literatures introduce the operations for these two kinds of cross validation and the statistical methods that can be used to analyze the resulting accuracies of algorithms, while those contents are generally not all consistent. Analysts can therefore be confused in performing a cross validation procedure. In this paper, the independence assumptions in cross validation are introduced, and the circumstances that satisfy the assumptions are also addressed. The independence assumptions are then used to derive the sampling distributions of the point estimators for k-fold and leave-one-out cross validation. The cross validation procedure to have such sampling distributions is discussed to provide new insights in evaluating the performance of classification algorithms.","author":[{"dropping-particle":"","family":"Wong","given":"Tzu Tsung","non-dropping-particle":"","parse-names":false,"suffix":""}],"container-title":"Pattern Recognition","id":"ITEM-1","issue":"9","issued":{"date-parts":[["2015","9","1"]]},"page":"2839-2846","publisher":"Pergamon","title":"Performance evaluation of classification algorithms by k-fold and leave-one-out cross validation","type":"article-journal","volume":"48"},"uris":["http://www.mendeley.com/documents/?uuid=36c1cd34-40a1-345f-9c1a-dfd149eb0010"]}],"mendeley":{"formattedCitation":"&lt;sup&gt;6&lt;/sup&gt;","plainTextFormattedCitation":"6","previouslyFormattedCitation":"&lt;sup&gt;6&lt;/sup&gt;"},"properties":{"noteIndex":0},"schema":"https://github.com/citation-style-language/schema/raw/master/csl-citation.json"}</w:instrText>
      </w:r>
      <w:r w:rsidR="00CF1814">
        <w:fldChar w:fldCharType="separate"/>
      </w:r>
      <w:r w:rsidR="00CF1814" w:rsidRPr="00CF1814">
        <w:rPr>
          <w:noProof/>
          <w:vertAlign w:val="superscript"/>
        </w:rPr>
        <w:t>6</w:t>
      </w:r>
      <w:r w:rsidR="00CF1814">
        <w:fldChar w:fldCharType="end"/>
      </w:r>
      <w:r w:rsidRPr="003E6BE4">
        <w:t xml:space="preserve"> For this test, one composition was </w:t>
      </w:r>
      <w:r w:rsidR="00645602" w:rsidRPr="003E6BE4">
        <w:t>“</w:t>
      </w:r>
      <w:r w:rsidRPr="003E6BE4">
        <w:t>held out</w:t>
      </w:r>
      <w:r w:rsidR="00645602" w:rsidRPr="003E6BE4">
        <w:t>”</w:t>
      </w:r>
      <w:r w:rsidRPr="003E6BE4">
        <w:t xml:space="preserve"> from the 10 reference composition examples, and the model was tasked with predicting its d</w:t>
      </w:r>
      <w:r w:rsidRPr="003E6BE4">
        <w:rPr>
          <w:vertAlign w:val="subscript"/>
        </w:rPr>
        <w:t>33</w:t>
      </w:r>
      <w:r w:rsidRPr="003E6BE4">
        <w:t xml:space="preserve"> value using only the remaining 9 as context. This process was repeated for all 10 compositions. The entire 10-fold test was then repeated N times, and the mean predicted value for each of the 10 compositions is plotted against its actual value in the parity plot. The results show that the model predicts with a mean error below 50 </w:t>
      </w:r>
      <w:proofErr w:type="spellStart"/>
      <w:r w:rsidRPr="003E6BE4">
        <w:t>pC</w:t>
      </w:r>
      <w:proofErr w:type="spellEnd"/>
      <w:r w:rsidRPr="003E6BE4">
        <w:t xml:space="preserve">/N for </w:t>
      </w:r>
      <w:r w:rsidR="00C64757" w:rsidRPr="003E6BE4">
        <w:t>five</w:t>
      </w:r>
      <w:r w:rsidRPr="003E6BE4">
        <w:t xml:space="preserve"> compositions and 50-100 </w:t>
      </w:r>
      <w:proofErr w:type="spellStart"/>
      <w:r w:rsidRPr="003E6BE4">
        <w:t>pC</w:t>
      </w:r>
      <w:proofErr w:type="spellEnd"/>
      <w:r w:rsidRPr="003E6BE4">
        <w:t xml:space="preserve">/N for </w:t>
      </w:r>
      <w:r w:rsidR="00DE1D62" w:rsidRPr="003E6BE4">
        <w:t>four</w:t>
      </w:r>
      <w:r w:rsidRPr="003E6BE4">
        <w:t xml:space="preserve"> </w:t>
      </w:r>
      <w:r w:rsidR="00550C14" w:rsidRPr="003E6BE4">
        <w:t>compositions but</w:t>
      </w:r>
      <w:r w:rsidR="00C64757" w:rsidRPr="003E6BE4">
        <w:t xml:space="preserve"> perform</w:t>
      </w:r>
      <w:r w:rsidRPr="003E6BE4">
        <w:t xml:space="preserve">s poorly (error &gt;100 </w:t>
      </w:r>
      <w:proofErr w:type="spellStart"/>
      <w:r w:rsidRPr="003E6BE4">
        <w:t>pC</w:t>
      </w:r>
      <w:proofErr w:type="spellEnd"/>
      <w:r w:rsidRPr="003E6BE4">
        <w:t xml:space="preserve">/N) for Ref 3. Quantitatively, the overall model performance, </w:t>
      </w:r>
      <w:r w:rsidR="00DE1D62" w:rsidRPr="003E6BE4">
        <w:t>encompass</w:t>
      </w:r>
      <w:r w:rsidRPr="003E6BE4">
        <w:t xml:space="preserve">ing all 10 reference points, </w:t>
      </w:r>
      <w:r w:rsidR="00DE1D62" w:rsidRPr="003E6BE4">
        <w:t>yielded</w:t>
      </w:r>
      <w:r w:rsidRPr="003E6BE4">
        <w:t xml:space="preserve"> a poor coefficient of determination (R² = 0.572) and a high Mean Absolute Error (MAE) of 67.7 </w:t>
      </w:r>
      <w:proofErr w:type="spellStart"/>
      <w:r w:rsidRPr="003E6BE4">
        <w:t>pC</w:t>
      </w:r>
      <w:proofErr w:type="spellEnd"/>
      <w:r w:rsidRPr="003E6BE4">
        <w:t xml:space="preserve">/N. However, this poor performance is almost entirely attributable to the one outlier, Ref 3. Upon removing this single data point, the model's performance on the </w:t>
      </w:r>
      <w:r w:rsidRPr="003E6BE4">
        <w:lastRenderedPageBreak/>
        <w:t xml:space="preserve">remaining </w:t>
      </w:r>
      <w:r w:rsidR="00F327AD" w:rsidRPr="003E6BE4">
        <w:t>nine</w:t>
      </w:r>
      <w:r w:rsidRPr="003E6BE4">
        <w:t xml:space="preserve"> compositions improved dramatically, with the R² increasing to 0.764 and the MAE dropping to 47.3 </w:t>
      </w:r>
      <w:proofErr w:type="spellStart"/>
      <w:r w:rsidRPr="003E6BE4">
        <w:t>pC</w:t>
      </w:r>
      <w:proofErr w:type="spellEnd"/>
      <w:r w:rsidRPr="003E6BE4">
        <w:t xml:space="preserve">/N. This suggests the model is highly effective at interpolating within the primary high-performance class but fails at generalizing to certain structural outliers. </w:t>
      </w:r>
    </w:p>
    <w:p w14:paraId="3FDDB8D5" w14:textId="19761FF9" w:rsidR="006118E6" w:rsidRPr="003E6BE4" w:rsidRDefault="006118E6" w:rsidP="00D3419A">
      <w:pPr>
        <w:spacing w:line="360" w:lineRule="auto"/>
        <w:jc w:val="both"/>
        <w:rPr>
          <w:color w:val="000000"/>
        </w:rPr>
      </w:pPr>
      <w:r w:rsidRPr="003E6BE4">
        <w:rPr>
          <w:color w:val="000000"/>
        </w:rPr>
        <w:t xml:space="preserve">The second experiment (Test 2) </w:t>
      </w:r>
      <w:r w:rsidR="00F327AD" w:rsidRPr="003E6BE4">
        <w:rPr>
          <w:color w:val="000000"/>
        </w:rPr>
        <w:t>assess</w:t>
      </w:r>
      <w:r w:rsidRPr="003E6BE4">
        <w:rPr>
          <w:color w:val="000000"/>
        </w:rPr>
        <w:t xml:space="preserve">ed the model’s ability to adapt when </w:t>
      </w:r>
      <w:r w:rsidR="00F327AD" w:rsidRPr="003E6BE4">
        <w:rPr>
          <w:color w:val="000000"/>
        </w:rPr>
        <w:t>presented with</w:t>
      </w:r>
      <w:r w:rsidRPr="003E6BE4">
        <w:rPr>
          <w:color w:val="000000"/>
        </w:rPr>
        <w:t xml:space="preserve"> new information. First, the model generated baseline predictions for two unseen compositions, C1 and C6 (solid bars), using the original ten reference compositions as context. Next, we introduced ground-truth data. The model was </w:t>
      </w:r>
      <w:r w:rsidR="00CC0C8C" w:rsidRPr="003E6BE4">
        <w:rPr>
          <w:color w:val="000000"/>
        </w:rPr>
        <w:t xml:space="preserve">informed </w:t>
      </w:r>
      <w:r w:rsidRPr="003E6BE4">
        <w:rPr>
          <w:color w:val="000000"/>
        </w:rPr>
        <w:t>that C1 is a high performer (</w:t>
      </w:r>
      <w:r w:rsidR="00550C14" w:rsidRPr="003E6BE4">
        <w:rPr>
          <w:i/>
          <w:iCs/>
          <w:color w:val="000000"/>
        </w:rPr>
        <w:t>d</w:t>
      </w:r>
      <w:r w:rsidR="00550C14" w:rsidRPr="003E6BE4">
        <w:rPr>
          <w:i/>
          <w:iCs/>
          <w:color w:val="000000"/>
          <w:vertAlign w:val="subscript"/>
        </w:rPr>
        <w:t>33</w:t>
      </w:r>
      <w:r w:rsidRPr="003E6BE4">
        <w:rPr>
          <w:color w:val="000000"/>
        </w:rPr>
        <w:t xml:space="preserve"> = 660 </w:t>
      </w:r>
      <w:proofErr w:type="spellStart"/>
      <w:r w:rsidRPr="003E6BE4">
        <w:rPr>
          <w:color w:val="000000"/>
        </w:rPr>
        <w:t>pC</w:t>
      </w:r>
      <w:proofErr w:type="spellEnd"/>
      <w:r w:rsidRPr="003E6BE4">
        <w:rPr>
          <w:color w:val="000000"/>
        </w:rPr>
        <w:t xml:space="preserve">/N) and then asked to re-predict C6. In the reverse case, the model was </w:t>
      </w:r>
      <w:r w:rsidR="00CC0C8C" w:rsidRPr="003E6BE4">
        <w:rPr>
          <w:color w:val="000000"/>
        </w:rPr>
        <w:t xml:space="preserve">informed </w:t>
      </w:r>
      <w:r w:rsidRPr="003E6BE4">
        <w:rPr>
          <w:color w:val="000000"/>
        </w:rPr>
        <w:t xml:space="preserve">that C6 is a weak performer (450 </w:t>
      </w:r>
      <w:proofErr w:type="spellStart"/>
      <w:r w:rsidRPr="003E6BE4">
        <w:rPr>
          <w:color w:val="000000"/>
        </w:rPr>
        <w:t>pC</w:t>
      </w:r>
      <w:proofErr w:type="spellEnd"/>
      <w:r w:rsidRPr="003E6BE4">
        <w:rPr>
          <w:color w:val="000000"/>
        </w:rPr>
        <w:t>/N) and asked to re-predict C1 (hatched bars). The error bars (Mean ± SD) were small, showing that predictions were stable and deterministic when the temperature parameter was set to zero. This is a positive trait because it means the model is reproducible</w:t>
      </w:r>
      <w:r w:rsidR="002E4D04" w:rsidRPr="003E6BE4">
        <w:rPr>
          <w:color w:val="000000"/>
        </w:rPr>
        <w:t xml:space="preserve"> and the results are consistent across subsequent queries</w:t>
      </w:r>
      <w:r w:rsidRPr="003E6BE4">
        <w:rPr>
          <w:color w:val="000000"/>
        </w:rPr>
        <w:t xml:space="preserve">. However, the model’s response to new information was superficial. When </w:t>
      </w:r>
      <w:r w:rsidR="00DB78FE" w:rsidRPr="003E6BE4">
        <w:rPr>
          <w:color w:val="000000"/>
        </w:rPr>
        <w:t xml:space="preserve">informed </w:t>
      </w:r>
      <w:r w:rsidRPr="003E6BE4">
        <w:rPr>
          <w:color w:val="000000"/>
        </w:rPr>
        <w:t xml:space="preserve">C1 was a high performer, it increased C6’s prediction by 50 </w:t>
      </w:r>
      <w:proofErr w:type="spellStart"/>
      <w:r w:rsidRPr="003E6BE4">
        <w:rPr>
          <w:color w:val="000000"/>
        </w:rPr>
        <w:t>pC</w:t>
      </w:r>
      <w:proofErr w:type="spellEnd"/>
      <w:r w:rsidRPr="003E6BE4">
        <w:rPr>
          <w:color w:val="000000"/>
        </w:rPr>
        <w:t xml:space="preserve">/N (582 </w:t>
      </w:r>
      <w:proofErr w:type="spellStart"/>
      <w:r w:rsidR="00CF2EF3" w:rsidRPr="003E6BE4">
        <w:rPr>
          <w:color w:val="000000"/>
        </w:rPr>
        <w:t>pC</w:t>
      </w:r>
      <w:proofErr w:type="spellEnd"/>
      <w:r w:rsidR="00CF2EF3" w:rsidRPr="003E6BE4">
        <w:rPr>
          <w:color w:val="000000"/>
        </w:rPr>
        <w:t>/N</w:t>
      </w:r>
      <w:r w:rsidRPr="003E6BE4">
        <w:rPr>
          <w:color w:val="000000"/>
        </w:rPr>
        <w:t xml:space="preserve"> </w:t>
      </w:r>
      <w:r w:rsidR="00CF2EF3" w:rsidRPr="003E6BE4">
        <w:rPr>
          <w:color w:val="000000"/>
        </w:rPr>
        <w:t>to</w:t>
      </w:r>
      <w:r w:rsidRPr="003E6BE4">
        <w:rPr>
          <w:color w:val="000000"/>
        </w:rPr>
        <w:t xml:space="preserve"> 632</w:t>
      </w:r>
      <w:r w:rsidR="00CF2EF3" w:rsidRPr="003E6BE4">
        <w:rPr>
          <w:color w:val="000000"/>
        </w:rPr>
        <w:t xml:space="preserve"> </w:t>
      </w:r>
      <w:proofErr w:type="spellStart"/>
      <w:r w:rsidR="00CF2EF3" w:rsidRPr="003E6BE4">
        <w:rPr>
          <w:color w:val="000000"/>
        </w:rPr>
        <w:t>pC</w:t>
      </w:r>
      <w:proofErr w:type="spellEnd"/>
      <w:r w:rsidR="00CF2EF3" w:rsidRPr="003E6BE4">
        <w:rPr>
          <w:color w:val="000000"/>
        </w:rPr>
        <w:t>/N</w:t>
      </w:r>
      <w:r w:rsidRPr="003E6BE4">
        <w:rPr>
          <w:color w:val="000000"/>
        </w:rPr>
        <w:t xml:space="preserve">). When told C6 was a weak performer, it reduced C1’s prediction by about 49 </w:t>
      </w:r>
      <w:proofErr w:type="spellStart"/>
      <w:r w:rsidRPr="003E6BE4">
        <w:rPr>
          <w:color w:val="000000"/>
        </w:rPr>
        <w:t>pC</w:t>
      </w:r>
      <w:proofErr w:type="spellEnd"/>
      <w:r w:rsidRPr="003E6BE4">
        <w:rPr>
          <w:color w:val="000000"/>
        </w:rPr>
        <w:t xml:space="preserve">/N (532 </w:t>
      </w:r>
      <w:proofErr w:type="spellStart"/>
      <w:r w:rsidR="00CF2EF3" w:rsidRPr="003E6BE4">
        <w:rPr>
          <w:color w:val="000000"/>
        </w:rPr>
        <w:t>pC</w:t>
      </w:r>
      <w:proofErr w:type="spellEnd"/>
      <w:r w:rsidR="00CF2EF3" w:rsidRPr="003E6BE4">
        <w:rPr>
          <w:color w:val="000000"/>
        </w:rPr>
        <w:t>/N to</w:t>
      </w:r>
      <w:r w:rsidRPr="003E6BE4">
        <w:rPr>
          <w:color w:val="000000"/>
        </w:rPr>
        <w:t xml:space="preserve"> 483</w:t>
      </w:r>
      <w:r w:rsidR="00CF2EF3" w:rsidRPr="003E6BE4">
        <w:rPr>
          <w:color w:val="000000"/>
        </w:rPr>
        <w:t xml:space="preserve"> </w:t>
      </w:r>
      <w:proofErr w:type="spellStart"/>
      <w:r w:rsidR="00CF2EF3" w:rsidRPr="003E6BE4">
        <w:rPr>
          <w:color w:val="000000"/>
        </w:rPr>
        <w:t>pC</w:t>
      </w:r>
      <w:proofErr w:type="spellEnd"/>
      <w:r w:rsidR="00CF2EF3" w:rsidRPr="003E6BE4">
        <w:rPr>
          <w:color w:val="000000"/>
        </w:rPr>
        <w:t>/N</w:t>
      </w:r>
      <w:r w:rsidRPr="003E6BE4">
        <w:rPr>
          <w:color w:val="000000"/>
        </w:rPr>
        <w:t xml:space="preserve">). This </w:t>
      </w:r>
      <w:r w:rsidR="00CD26BD" w:rsidRPr="003E6BE4">
        <w:rPr>
          <w:color w:val="000000"/>
        </w:rPr>
        <w:t>indicates that</w:t>
      </w:r>
      <w:r w:rsidRPr="003E6BE4">
        <w:rPr>
          <w:color w:val="000000"/>
        </w:rPr>
        <w:t xml:space="preserve"> the model </w:t>
      </w:r>
      <w:r w:rsidR="00CD26BD" w:rsidRPr="003E6BE4">
        <w:rPr>
          <w:color w:val="000000"/>
        </w:rPr>
        <w:t>failed to</w:t>
      </w:r>
      <w:r w:rsidRPr="003E6BE4">
        <w:rPr>
          <w:color w:val="000000"/>
        </w:rPr>
        <w:t xml:space="preserve"> identify the </w:t>
      </w:r>
      <w:r w:rsidR="00CD26BD" w:rsidRPr="003E6BE4">
        <w:rPr>
          <w:color w:val="000000"/>
        </w:rPr>
        <w:t>actu</w:t>
      </w:r>
      <w:r w:rsidRPr="003E6BE4">
        <w:rPr>
          <w:color w:val="000000"/>
        </w:rPr>
        <w:t xml:space="preserve">al </w:t>
      </w:r>
      <w:r w:rsidR="00E93FC6" w:rsidRPr="003E6BE4">
        <w:rPr>
          <w:color w:val="000000"/>
        </w:rPr>
        <w:t>underlying</w:t>
      </w:r>
      <w:r w:rsidRPr="003E6BE4">
        <w:rPr>
          <w:color w:val="000000"/>
        </w:rPr>
        <w:t xml:space="preserve"> reason for C6’s poor performance</w:t>
      </w:r>
      <w:r w:rsidR="00E93FC6" w:rsidRPr="003E6BE4">
        <w:rPr>
          <w:color w:val="000000"/>
        </w:rPr>
        <w:t xml:space="preserve"> (i.e., </w:t>
      </w:r>
      <w:r w:rsidRPr="003E6BE4">
        <w:rPr>
          <w:color w:val="000000"/>
        </w:rPr>
        <w:t>a missing sintering aid that C1 had</w:t>
      </w:r>
      <w:r w:rsidR="00E93FC6" w:rsidRPr="003E6BE4">
        <w:rPr>
          <w:color w:val="000000"/>
        </w:rPr>
        <w:t>)</w:t>
      </w:r>
      <w:r w:rsidRPr="003E6BE4">
        <w:rPr>
          <w:color w:val="000000"/>
        </w:rPr>
        <w:t>. Instead, it relied on a simple “anchor-and-adjust” approach, rather than true physical reasoning.</w:t>
      </w:r>
    </w:p>
    <w:p w14:paraId="7F399B44" w14:textId="2437F1F7" w:rsidR="0041237F" w:rsidRDefault="0041237F" w:rsidP="00D3419A">
      <w:pPr>
        <w:spacing w:line="360" w:lineRule="auto"/>
        <w:jc w:val="both"/>
        <w:rPr>
          <w:color w:val="000000" w:themeColor="text1"/>
        </w:rPr>
      </w:pPr>
      <w:r w:rsidRPr="73CBF88F">
        <w:rPr>
          <w:color w:val="000000" w:themeColor="text1"/>
        </w:rPr>
        <w:t xml:space="preserve">The third experiment (Test 3) evaluated the model’s in-context learning by </w:t>
      </w:r>
      <w:proofErr w:type="spellStart"/>
      <w:r w:rsidRPr="73CBF88F">
        <w:rPr>
          <w:color w:val="000000" w:themeColor="text1"/>
        </w:rPr>
        <w:t>analyzing</w:t>
      </w:r>
      <w:proofErr w:type="spellEnd"/>
      <w:r w:rsidRPr="73CBF88F">
        <w:rPr>
          <w:color w:val="000000" w:themeColor="text1"/>
        </w:rPr>
        <w:t xml:space="preserve"> prediction error as a function of the number of reference examples (k). For each k ranging from 2 to 9, 20 random permutations were generated, where k compositions served as a “study set” to predict one remaining composition. This k-sweep was repeated five times (N = 5) to ensure statistical robustness, and the results were summarized using median error curves with interquartile ranges (IQR). The </w:t>
      </w:r>
      <w:r w:rsidR="009050E4" w:rsidRPr="73CBF88F">
        <w:rPr>
          <w:color w:val="000000" w:themeColor="text1"/>
        </w:rPr>
        <w:t xml:space="preserve">results </w:t>
      </w:r>
      <w:r w:rsidR="00125E4E" w:rsidRPr="73CBF88F">
        <w:rPr>
          <w:color w:val="000000" w:themeColor="text1"/>
        </w:rPr>
        <w:t>sh</w:t>
      </w:r>
      <w:r w:rsidR="009050E4" w:rsidRPr="73CBF88F">
        <w:rPr>
          <w:color w:val="000000" w:themeColor="text1"/>
        </w:rPr>
        <w:t>ow</w:t>
      </w:r>
      <w:r w:rsidRPr="73CBF88F">
        <w:rPr>
          <w:color w:val="000000" w:themeColor="text1"/>
        </w:rPr>
        <w:t xml:space="preserve"> that few-shot learning is highly unstable. Instead of a smooth improvement, the error increased from k = 2 to k = 4, peaking at ~120 </w:t>
      </w:r>
      <w:proofErr w:type="spellStart"/>
      <w:r w:rsidRPr="73CBF88F">
        <w:rPr>
          <w:color w:val="000000" w:themeColor="text1"/>
        </w:rPr>
        <w:t>pC</w:t>
      </w:r>
      <w:proofErr w:type="spellEnd"/>
      <w:r w:rsidRPr="73CBF88F">
        <w:rPr>
          <w:color w:val="000000" w:themeColor="text1"/>
        </w:rPr>
        <w:t xml:space="preserve">/N, indicating overfitting to small, non-representative subsets (e.g., when initial examples are all high performers, the model infers an incorrect rule). Reliable predictions only emerged when k exceeded 7, suggesting that a sufficiently diverse context is essential for generalization. </w:t>
      </w:r>
      <w:r w:rsidR="3079853F" w:rsidRPr="73CBF88F">
        <w:t>In short, while the model is deterministically configured (though technically subject to system-level variance) and responsive to new data, its reasoning remains weak, failing to capture underlying physical principles and exhibiting instability in low-data scenarios.</w:t>
      </w:r>
      <w:r w:rsidR="00A2757D">
        <w:t xml:space="preserve"> </w:t>
      </w:r>
      <w:r w:rsidR="00A2757D">
        <w:fldChar w:fldCharType="begin" w:fldLock="1"/>
      </w:r>
      <w:r w:rsidR="00216D4B">
        <w:instrText>ADDIN CSL_CITATION {"citationItems":[{"id":"ITEM-1","itemData":{"abstract":"Language models are essentially probability distributions over token sequences. Auto-regressive models generate sentences by iteratively computing and sampling from the distribution of the next token. This iterative sampling introduces stochasticity, leading to the assumption that language models make probabilistic decisions, similar to sampling from unknown distributions. Building on this assumption, prior research has used simulated Gibbs sampling, inspired by experiments designed to elicit human priors, to infer the priors of language models. In this paper, we revisit a critical question: Do language models possess Bayesian brains? Our findings show that under certain conditions, language models can exhibit near-deterministic decision-making, such as producing maximum likelihood estimations, even with a non-zero sampling temperature. This challenges the sampling assumption and undermines previous methods for eliciting human-like priors. Furthermore, we demonstrate that without proper scrutiny, a system with deterministic behavior undergoing simulated Gibbs sampling can converge to a \"false prior.\" To address this, we propose a straightforward approach to distinguish between stochastic and deterministic decision patterns in Gibbs sampling, helping to prevent the inference of misleading language model priors. We experiment on a variety of large language models to identify their decision patterns under various circumstances. Our results provide key insights in understanding decision making of large language models.","author":[{"dropping-particle":"","family":"Cui","given":"Andrea Yaoyun","non-dropping-particle":"","parse-names":false,"suffix":""},{"dropping-particle":"","family":"Yu","given":"Pengfei","non-dropping-particle":"","parse-names":false,"suffix":""}],"id":"ITEM-1","issued":{"date-parts":[["2025","6","12"]]},"title":"Do Language Models Have Bayesian Brains? Distinguishing Stochastic and Deterministic Decision Patterns within Large Language Models","type":"article-journal"},"uris":["http://www.mendeley.com/documents/?uuid=fc808976-22ec-36f3-b7ff-a589cb851ec7"]}],"mendeley":{"formattedCitation":"&lt;sup&gt;7&lt;/sup&gt;","plainTextFormattedCitation":"7","previouslyFormattedCitation":"&lt;sup&gt;7&lt;/sup&gt;"},"properties":{"noteIndex":0},"schema":"https://github.com/citation-style-language/schema/raw/master/csl-citation.json"}</w:instrText>
      </w:r>
      <w:r w:rsidR="00A2757D">
        <w:fldChar w:fldCharType="separate"/>
      </w:r>
      <w:r w:rsidR="00A2757D" w:rsidRPr="00A2757D">
        <w:rPr>
          <w:noProof/>
          <w:vertAlign w:val="superscript"/>
        </w:rPr>
        <w:t>7</w:t>
      </w:r>
      <w:r w:rsidR="00A2757D">
        <w:fldChar w:fldCharType="end"/>
      </w:r>
      <w:r w:rsidR="3079853F" w:rsidRPr="73CBF88F">
        <w:t xml:space="preserve"> </w:t>
      </w:r>
    </w:p>
    <w:p w14:paraId="30E91B4A" w14:textId="1895F01A" w:rsidR="0062204B" w:rsidRPr="003E6BE4" w:rsidRDefault="0062204B" w:rsidP="00D3419A">
      <w:pPr>
        <w:spacing w:line="360" w:lineRule="auto"/>
        <w:jc w:val="both"/>
      </w:pPr>
      <w:r w:rsidRPr="003E6BE4">
        <w:t>Nevertheless, as these models evolve, they show significant promise as a potential bridge between traditional, descriptor-driven machine learning and a more intuitive, natural-language-based approach to discovering physical insights.</w:t>
      </w:r>
    </w:p>
    <w:p w14:paraId="26616304" w14:textId="77777777" w:rsidR="0062204B" w:rsidRPr="003E6BE4" w:rsidRDefault="0062204B" w:rsidP="00D3419A">
      <w:pPr>
        <w:spacing w:line="360" w:lineRule="auto"/>
        <w:jc w:val="both"/>
      </w:pPr>
    </w:p>
    <w:p w14:paraId="5373C956" w14:textId="77777777" w:rsidR="00454793" w:rsidRPr="003E6BE4" w:rsidRDefault="0051680E" w:rsidP="00D3419A">
      <w:pPr>
        <w:keepNext/>
        <w:spacing w:line="360" w:lineRule="auto"/>
        <w:ind w:left="360"/>
        <w:jc w:val="both"/>
      </w:pPr>
      <w:r w:rsidRPr="003E6BE4">
        <w:rPr>
          <w:noProof/>
        </w:rPr>
        <w:lastRenderedPageBreak/>
        <w:drawing>
          <wp:inline distT="0" distB="0" distL="0" distR="0" wp14:anchorId="7BD7E4BC" wp14:editId="1E54B747">
            <wp:extent cx="6480000" cy="4424533"/>
            <wp:effectExtent l="0" t="0" r="0" b="0"/>
            <wp:docPr id="427298362" name="Picture 6" descr="A graph showing the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98362" name="Picture 6" descr="A graph showing the different types of data&#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399" t="6266" r="7184" b="6226"/>
                    <a:stretch>
                      <a:fillRect/>
                    </a:stretch>
                  </pic:blipFill>
                  <pic:spPr bwMode="auto">
                    <a:xfrm>
                      <a:off x="0" y="0"/>
                      <a:ext cx="6480000" cy="4424533"/>
                    </a:xfrm>
                    <a:prstGeom prst="rect">
                      <a:avLst/>
                    </a:prstGeom>
                    <a:noFill/>
                    <a:ln>
                      <a:noFill/>
                    </a:ln>
                    <a:extLst>
                      <a:ext uri="{53640926-AAD7-44D8-BBD7-CCE9431645EC}">
                        <a14:shadowObscured xmlns:a14="http://schemas.microsoft.com/office/drawing/2010/main"/>
                      </a:ext>
                    </a:extLst>
                  </pic:spPr>
                </pic:pic>
              </a:graphicData>
            </a:graphic>
          </wp:inline>
        </w:drawing>
      </w:r>
    </w:p>
    <w:p w14:paraId="4F1F92B8" w14:textId="6AFB64DE" w:rsidR="0051680E" w:rsidRPr="00A53A7A" w:rsidRDefault="00454793" w:rsidP="00D3419A">
      <w:pPr>
        <w:pStyle w:val="Caption"/>
        <w:spacing w:line="360" w:lineRule="auto"/>
        <w:jc w:val="both"/>
        <w:rPr>
          <w:i w:val="0"/>
          <w:iCs w:val="0"/>
          <w:sz w:val="24"/>
          <w:szCs w:val="24"/>
        </w:rPr>
      </w:pPr>
      <w:r w:rsidRPr="003E6BE4">
        <w:rPr>
          <w:rFonts w:eastAsiaTheme="minorHAnsi"/>
          <w:i w:val="0"/>
          <w:iCs w:val="0"/>
          <w:kern w:val="2"/>
          <w:sz w:val="24"/>
          <w:szCs w:val="24"/>
          <w:lang w:val="en-US" w:eastAsia="en-US"/>
          <w14:ligatures w14:val="standardContextual"/>
        </w:rPr>
        <w:t xml:space="preserve">Figure </w:t>
      </w:r>
      <w:r w:rsidR="009E3802" w:rsidRPr="003E6BE4">
        <w:rPr>
          <w:rFonts w:eastAsiaTheme="minorHAnsi"/>
          <w:i w:val="0"/>
          <w:iCs w:val="0"/>
          <w:kern w:val="2"/>
          <w:sz w:val="24"/>
          <w:szCs w:val="24"/>
          <w:lang w:val="en-US" w:eastAsia="en-US"/>
          <w14:ligatures w14:val="standardContextual"/>
        </w:rPr>
        <w:t>S4</w:t>
      </w:r>
      <w:r w:rsidRPr="003E6BE4">
        <w:rPr>
          <w:rFonts w:eastAsiaTheme="minorHAnsi"/>
          <w:i w:val="0"/>
          <w:iCs w:val="0"/>
          <w:kern w:val="2"/>
          <w:sz w:val="24"/>
          <w:szCs w:val="24"/>
          <w:lang w:val="en-US" w:eastAsia="en-US"/>
          <w14:ligatures w14:val="standardContextual"/>
        </w:rPr>
        <w:t>: C</w:t>
      </w:r>
      <w:r w:rsidRPr="003E6BE4">
        <w:rPr>
          <w:rFonts w:eastAsiaTheme="minorHAnsi"/>
          <w:i w:val="0"/>
          <w:iCs w:val="0"/>
          <w:color w:val="000000"/>
          <w:kern w:val="2"/>
          <w:sz w:val="24"/>
          <w:szCs w:val="24"/>
          <w:lang w:val="en-US" w:eastAsia="en-US"/>
          <w14:ligatures w14:val="standardContextual"/>
        </w:rPr>
        <w:t>omparison of predicted piezoelectric coefficients (</w:t>
      </w:r>
      <w:r w:rsidR="007F316A" w:rsidRPr="003E6BE4">
        <w:rPr>
          <w:rFonts w:eastAsiaTheme="minorHAnsi"/>
          <w:color w:val="000000"/>
          <w:kern w:val="2"/>
          <w:sz w:val="24"/>
          <w:szCs w:val="24"/>
          <w:lang w:val="en-US" w:eastAsia="en-US"/>
          <w14:ligatures w14:val="standardContextual"/>
        </w:rPr>
        <w:t>d</w:t>
      </w:r>
      <w:r w:rsidR="007F316A" w:rsidRPr="003E6BE4">
        <w:rPr>
          <w:rFonts w:eastAsiaTheme="minorHAnsi"/>
          <w:color w:val="000000"/>
          <w:kern w:val="2"/>
          <w:sz w:val="24"/>
          <w:szCs w:val="24"/>
          <w:vertAlign w:val="subscript"/>
          <w:lang w:val="en-US" w:eastAsia="en-US"/>
          <w14:ligatures w14:val="standardContextual"/>
        </w:rPr>
        <w:t>33</w:t>
      </w:r>
      <w:r w:rsidRPr="003E6BE4">
        <w:rPr>
          <w:rFonts w:eastAsiaTheme="minorHAnsi"/>
          <w:i w:val="0"/>
          <w:iCs w:val="0"/>
          <w:color w:val="000000"/>
          <w:kern w:val="2"/>
          <w:sz w:val="24"/>
          <w:szCs w:val="24"/>
          <w:lang w:val="en-US" w:eastAsia="en-US"/>
          <w14:ligatures w14:val="standardContextual"/>
        </w:rPr>
        <w:t xml:space="preserve">) for two unseen compositions (C1 and C6) across multiple large language models (LLMs) in a few-shot learning scenario. Each model was provided with 10 reference compositions and their d₃₃ values before predicting C1 (high performer) and C6 (low performer). Box plots show prediction distributions for C1 (green) and C6 (blue), with red diamonds indicating mean predictions. Dashed lines represent ground-truth d₃₃ values for C1 (660 </w:t>
      </w:r>
      <w:proofErr w:type="spellStart"/>
      <w:r w:rsidRPr="003E6BE4">
        <w:rPr>
          <w:rFonts w:eastAsiaTheme="minorHAnsi"/>
          <w:i w:val="0"/>
          <w:iCs w:val="0"/>
          <w:color w:val="000000"/>
          <w:kern w:val="2"/>
          <w:sz w:val="24"/>
          <w:szCs w:val="24"/>
          <w:lang w:val="en-US" w:eastAsia="en-US"/>
          <w14:ligatures w14:val="standardContextual"/>
        </w:rPr>
        <w:t>pC</w:t>
      </w:r>
      <w:proofErr w:type="spellEnd"/>
      <w:r w:rsidRPr="003E6BE4">
        <w:rPr>
          <w:rFonts w:eastAsiaTheme="minorHAnsi"/>
          <w:i w:val="0"/>
          <w:iCs w:val="0"/>
          <w:color w:val="000000"/>
          <w:kern w:val="2"/>
          <w:sz w:val="24"/>
          <w:szCs w:val="24"/>
          <w:lang w:val="en-US" w:eastAsia="en-US"/>
          <w14:ligatures w14:val="standardContextual"/>
        </w:rPr>
        <w:t xml:space="preserve">/N) and C6 (450 </w:t>
      </w:r>
      <w:proofErr w:type="spellStart"/>
      <w:r w:rsidRPr="003E6BE4">
        <w:rPr>
          <w:rFonts w:eastAsiaTheme="minorHAnsi"/>
          <w:i w:val="0"/>
          <w:iCs w:val="0"/>
          <w:color w:val="000000"/>
          <w:kern w:val="2"/>
          <w:sz w:val="24"/>
          <w:szCs w:val="24"/>
          <w:lang w:val="en-US" w:eastAsia="en-US"/>
          <w14:ligatures w14:val="standardContextual"/>
        </w:rPr>
        <w:t>pC</w:t>
      </w:r>
      <w:proofErr w:type="spellEnd"/>
      <w:r w:rsidRPr="003E6BE4">
        <w:rPr>
          <w:rFonts w:eastAsiaTheme="minorHAnsi"/>
          <w:i w:val="0"/>
          <w:iCs w:val="0"/>
          <w:color w:val="000000"/>
          <w:kern w:val="2"/>
          <w:sz w:val="24"/>
          <w:szCs w:val="24"/>
          <w:lang w:val="en-US" w:eastAsia="en-US"/>
          <w14:ligatures w14:val="standardContextual"/>
        </w:rPr>
        <w:t>/N).</w:t>
      </w:r>
    </w:p>
    <w:p w14:paraId="39D1A37A" w14:textId="74BFB7A1" w:rsidR="00061332" w:rsidRPr="003E6BE4" w:rsidRDefault="001C69D6" w:rsidP="00D3419A">
      <w:pPr>
        <w:spacing w:line="360" w:lineRule="auto"/>
        <w:jc w:val="both"/>
        <w:rPr>
          <w:color w:val="EE0000"/>
        </w:rPr>
      </w:pPr>
      <w:r w:rsidRPr="003E6BE4">
        <w:rPr>
          <w:color w:val="000000"/>
        </w:rPr>
        <w:t xml:space="preserve">The system failed to detect the physically meaningful differentiator, namely the absence of a sintering-aid descriptor in C6, which was explicitly encoded in C1. </w:t>
      </w:r>
      <w:r w:rsidR="00EE275B" w:rsidRPr="003E6BE4">
        <w:t xml:space="preserve">This confirms that the reasoning heuristic was dominated by an anchor-adjust bias rather than crystal-chemistry causal inference, underscoring a critical challenge in using generative LLMs for scientific concept attribution: token-space attention does not guarantee physical insight extraction. The third stage examined in-context learning stability via permutation-sampled compositional prompting. Here, 20 random prompt orderings were constructed for each context size k = 2 to 9, repeating the entire k-parametric sweep five times (N = 5) to assess reliability in low-data contexts. The median prediction error with IQR visualization reveals a non-monotonic learning trajectory; notably, the model’s error increased between k = 2 </w:t>
      </w:r>
      <w:r w:rsidR="003F1D9E" w:rsidRPr="003E6BE4">
        <w:t>and</w:t>
      </w:r>
      <w:r w:rsidR="00EE275B" w:rsidRPr="003E6BE4">
        <w:t xml:space="preserve"> 4 (peak MAE ≈120 </w:t>
      </w:r>
      <w:proofErr w:type="spellStart"/>
      <w:r w:rsidR="00EE275B" w:rsidRPr="003E6BE4">
        <w:t>pC</w:t>
      </w:r>
      <w:proofErr w:type="spellEnd"/>
      <w:r w:rsidR="00EE275B" w:rsidRPr="003E6BE4">
        <w:t xml:space="preserve">/N), consistent with a tendency to construct rigid, over-collapsed compositional rules when first exposed to small, non-representative high-performer clusters. </w:t>
      </w:r>
    </w:p>
    <w:p w14:paraId="58A116A1" w14:textId="77777777" w:rsidR="00061332" w:rsidRDefault="00061332" w:rsidP="00D3419A">
      <w:pPr>
        <w:spacing w:line="360" w:lineRule="auto"/>
        <w:jc w:val="both"/>
      </w:pPr>
    </w:p>
    <w:p w14:paraId="15D3E2BB" w14:textId="77777777" w:rsidR="00B07FEE" w:rsidRPr="003E6BE4" w:rsidRDefault="00B07FEE" w:rsidP="00D3419A">
      <w:pPr>
        <w:spacing w:line="360" w:lineRule="auto"/>
        <w:jc w:val="both"/>
      </w:pPr>
    </w:p>
    <w:p w14:paraId="0E37E149" w14:textId="31A00C70" w:rsidR="00E0730C" w:rsidRPr="00EB4A15" w:rsidRDefault="00BD116E" w:rsidP="00D3419A">
      <w:pPr>
        <w:spacing w:line="360" w:lineRule="auto"/>
        <w:ind w:left="360"/>
        <w:jc w:val="both"/>
        <w:rPr>
          <w:b/>
          <w:i/>
          <w:iCs/>
        </w:rPr>
      </w:pPr>
      <w:r w:rsidRPr="00EB4A15">
        <w:rPr>
          <w:b/>
          <w:i/>
          <w:iCs/>
        </w:rPr>
        <w:lastRenderedPageBreak/>
        <w:t xml:space="preserve">S5. </w:t>
      </w:r>
      <w:r w:rsidR="00893898" w:rsidRPr="00EB4A15">
        <w:rPr>
          <w:b/>
          <w:i/>
          <w:iCs/>
        </w:rPr>
        <w:t xml:space="preserve">Microstructure and Phase Analysis of </w:t>
      </w:r>
      <w:r w:rsidR="00E0730C" w:rsidRPr="00EB4A15">
        <w:rPr>
          <w:b/>
          <w:i/>
          <w:iCs/>
        </w:rPr>
        <w:t>Optimized Composition</w:t>
      </w:r>
    </w:p>
    <w:p w14:paraId="334FCB6B" w14:textId="77777777" w:rsidR="00751415" w:rsidRPr="003E6BE4" w:rsidRDefault="00751415" w:rsidP="00D3419A">
      <w:pPr>
        <w:pStyle w:val="ListParagraph"/>
        <w:spacing w:line="360" w:lineRule="auto"/>
        <w:ind w:firstLine="0"/>
        <w:rPr>
          <w:rFonts w:ascii="Times New Roman" w:hAnsi="Times New Roman" w:cs="Times New Roman"/>
          <w:b/>
          <w:bCs/>
          <w:sz w:val="24"/>
          <w:szCs w:val="24"/>
        </w:rPr>
      </w:pPr>
    </w:p>
    <w:p w14:paraId="3393C1E4" w14:textId="77777777" w:rsidR="00EC1454" w:rsidRDefault="006B5942" w:rsidP="00EC1454">
      <w:pPr>
        <w:pStyle w:val="ListParagraph"/>
        <w:spacing w:line="360" w:lineRule="auto"/>
        <w:rPr>
          <w:rFonts w:ascii="Times New Roman" w:hAnsi="Times New Roman" w:cs="Times New Roman"/>
          <w:sz w:val="24"/>
          <w:szCs w:val="24"/>
        </w:rPr>
      </w:pPr>
      <w:r w:rsidRPr="003E6BE4">
        <w:rPr>
          <w:rFonts w:ascii="Times New Roman" w:hAnsi="Times New Roman" w:cs="Times New Roman"/>
          <w:b/>
          <w:bCs/>
          <w:noProof/>
          <w:sz w:val="24"/>
          <w:szCs w:val="24"/>
        </w:rPr>
        <w:drawing>
          <wp:inline distT="0" distB="0" distL="0" distR="0" wp14:anchorId="73A4E37F" wp14:editId="6C47FEED">
            <wp:extent cx="6478492" cy="2296823"/>
            <wp:effectExtent l="0" t="0" r="0" b="8255"/>
            <wp:docPr id="1591154719" name="Picture 3" descr="A graph of a sam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154719" name="Picture 3" descr="A graph of a sample&#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103" b="38703"/>
                    <a:stretch>
                      <a:fillRect/>
                    </a:stretch>
                  </pic:blipFill>
                  <pic:spPr bwMode="auto">
                    <a:xfrm>
                      <a:off x="0" y="0"/>
                      <a:ext cx="6480000" cy="2297358"/>
                    </a:xfrm>
                    <a:prstGeom prst="rect">
                      <a:avLst/>
                    </a:prstGeom>
                    <a:noFill/>
                    <a:ln>
                      <a:noFill/>
                    </a:ln>
                    <a:extLst>
                      <a:ext uri="{53640926-AAD7-44D8-BBD7-CCE9431645EC}">
                        <a14:shadowObscured xmlns:a14="http://schemas.microsoft.com/office/drawing/2010/main"/>
                      </a:ext>
                    </a:extLst>
                  </pic:spPr>
                </pic:pic>
              </a:graphicData>
            </a:graphic>
          </wp:inline>
        </w:drawing>
      </w:r>
    </w:p>
    <w:p w14:paraId="169E2E9B" w14:textId="3A21890E" w:rsidR="00A526E0" w:rsidRPr="00EC1454" w:rsidRDefault="00751415" w:rsidP="00EC1454">
      <w:pPr>
        <w:pStyle w:val="ListParagraph"/>
        <w:spacing w:line="360" w:lineRule="auto"/>
        <w:rPr>
          <w:rFonts w:ascii="Times New Roman" w:hAnsi="Times New Roman" w:cs="Times New Roman"/>
          <w:b/>
          <w:bCs/>
          <w:sz w:val="24"/>
          <w:szCs w:val="24"/>
        </w:rPr>
      </w:pPr>
      <w:r w:rsidRPr="00EC1454">
        <w:rPr>
          <w:rFonts w:ascii="Times New Roman" w:hAnsi="Times New Roman" w:cs="Times New Roman"/>
          <w:sz w:val="24"/>
          <w:szCs w:val="24"/>
        </w:rPr>
        <w:t xml:space="preserve">Figure S5. </w:t>
      </w:r>
      <w:r w:rsidR="00247D3B" w:rsidRPr="00EC1454">
        <w:rPr>
          <w:rFonts w:ascii="Times New Roman" w:hAnsi="Times New Roman" w:cs="Times New Roman"/>
          <w:sz w:val="24"/>
          <w:szCs w:val="24"/>
        </w:rPr>
        <w:t>Rietveld</w:t>
      </w:r>
      <w:r w:rsidR="00EE69B2" w:rsidRPr="00EC1454">
        <w:rPr>
          <w:rFonts w:ascii="Times New Roman" w:hAnsi="Times New Roman" w:cs="Times New Roman"/>
          <w:sz w:val="24"/>
          <w:szCs w:val="24"/>
        </w:rPr>
        <w:t xml:space="preserve"> refinement analysis of </w:t>
      </w:r>
      <w:r w:rsidR="00E11485" w:rsidRPr="00EC1454">
        <w:rPr>
          <w:rFonts w:ascii="Times New Roman" w:hAnsi="Times New Roman" w:cs="Times New Roman"/>
          <w:sz w:val="24"/>
          <w:szCs w:val="24"/>
        </w:rPr>
        <w:t xml:space="preserve">random compositions </w:t>
      </w:r>
    </w:p>
    <w:p w14:paraId="500ED767" w14:textId="77777777" w:rsidR="00751415" w:rsidRPr="003E6BE4" w:rsidRDefault="00751415" w:rsidP="00D3419A">
      <w:pPr>
        <w:pStyle w:val="ListParagraph"/>
        <w:spacing w:line="360" w:lineRule="auto"/>
        <w:ind w:firstLine="0"/>
        <w:rPr>
          <w:rFonts w:ascii="Times New Roman" w:hAnsi="Times New Roman" w:cs="Times New Roman"/>
          <w:b/>
          <w:bCs/>
          <w:sz w:val="24"/>
          <w:szCs w:val="24"/>
        </w:rPr>
      </w:pPr>
    </w:p>
    <w:p w14:paraId="7B248DF0" w14:textId="7DE8EFE4" w:rsidR="00E11485" w:rsidRPr="00A53A7A" w:rsidRDefault="00F214C4" w:rsidP="00D3419A">
      <w:pPr>
        <w:pStyle w:val="ListParagraph"/>
        <w:spacing w:line="360" w:lineRule="auto"/>
        <w:rPr>
          <w:rFonts w:ascii="Times New Roman" w:hAnsi="Times New Roman" w:cs="Times New Roman"/>
          <w:b/>
          <w:bCs/>
          <w:sz w:val="24"/>
          <w:szCs w:val="24"/>
        </w:rPr>
      </w:pPr>
      <w:r w:rsidRPr="003E6BE4">
        <w:rPr>
          <w:rFonts w:ascii="Times New Roman" w:hAnsi="Times New Roman" w:cs="Times New Roman"/>
          <w:b/>
          <w:bCs/>
          <w:noProof/>
          <w:sz w:val="24"/>
          <w:szCs w:val="24"/>
        </w:rPr>
        <w:drawing>
          <wp:inline distT="0" distB="0" distL="0" distR="0" wp14:anchorId="26B56C4F" wp14:editId="6D973BB0">
            <wp:extent cx="6480000" cy="2990159"/>
            <wp:effectExtent l="0" t="0" r="0" b="1270"/>
            <wp:docPr id="1988501455" name="Picture 10" descr="A close-up of several images of different types of parti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501455" name="Picture 10" descr="A close-up of several images of different types of particles&#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380" b="18383"/>
                    <a:stretch>
                      <a:fillRect/>
                    </a:stretch>
                  </pic:blipFill>
                  <pic:spPr bwMode="auto">
                    <a:xfrm>
                      <a:off x="0" y="0"/>
                      <a:ext cx="6480000" cy="2990159"/>
                    </a:xfrm>
                    <a:prstGeom prst="rect">
                      <a:avLst/>
                    </a:prstGeom>
                    <a:noFill/>
                    <a:ln>
                      <a:noFill/>
                    </a:ln>
                    <a:extLst>
                      <a:ext uri="{53640926-AAD7-44D8-BBD7-CCE9431645EC}">
                        <a14:shadowObscured xmlns:a14="http://schemas.microsoft.com/office/drawing/2010/main"/>
                      </a:ext>
                    </a:extLst>
                  </pic:spPr>
                </pic:pic>
              </a:graphicData>
            </a:graphic>
          </wp:inline>
        </w:drawing>
      </w:r>
    </w:p>
    <w:p w14:paraId="71B49E86" w14:textId="60F39193" w:rsidR="00F214C4" w:rsidRPr="00B07FEE" w:rsidRDefault="00F214C4" w:rsidP="00D3419A">
      <w:pPr>
        <w:pStyle w:val="ListParagraph"/>
        <w:spacing w:line="360" w:lineRule="auto"/>
        <w:rPr>
          <w:rFonts w:ascii="Times New Roman" w:hAnsi="Times New Roman" w:cs="Times New Roman"/>
          <w:sz w:val="24"/>
          <w:szCs w:val="24"/>
        </w:rPr>
      </w:pPr>
      <w:r w:rsidRPr="00B07FEE">
        <w:rPr>
          <w:rFonts w:ascii="Times New Roman" w:hAnsi="Times New Roman" w:cs="Times New Roman"/>
          <w:sz w:val="24"/>
          <w:szCs w:val="24"/>
        </w:rPr>
        <w:t xml:space="preserve">Figure S6. </w:t>
      </w:r>
      <w:r w:rsidR="00E11485" w:rsidRPr="00B07FEE">
        <w:rPr>
          <w:rFonts w:ascii="Times New Roman" w:hAnsi="Times New Roman" w:cs="Times New Roman"/>
          <w:sz w:val="24"/>
          <w:szCs w:val="24"/>
        </w:rPr>
        <w:t>SEM micrograph captured through backscattered detector</w:t>
      </w:r>
    </w:p>
    <w:p w14:paraId="609DA942" w14:textId="77777777" w:rsidR="00751415" w:rsidRPr="003E6BE4" w:rsidRDefault="00751415" w:rsidP="00D3419A">
      <w:pPr>
        <w:pStyle w:val="ListParagraph"/>
        <w:spacing w:line="360" w:lineRule="auto"/>
        <w:ind w:firstLine="0"/>
        <w:rPr>
          <w:rFonts w:ascii="Times New Roman" w:hAnsi="Times New Roman" w:cs="Times New Roman"/>
          <w:b/>
          <w:bCs/>
          <w:sz w:val="24"/>
          <w:szCs w:val="24"/>
        </w:rPr>
      </w:pPr>
    </w:p>
    <w:p w14:paraId="2222A762" w14:textId="64C73A3D" w:rsidR="006B5942" w:rsidRPr="003E6BE4" w:rsidRDefault="006B5942" w:rsidP="00D3419A">
      <w:pPr>
        <w:pStyle w:val="ListParagraph"/>
        <w:spacing w:line="360" w:lineRule="auto"/>
        <w:rPr>
          <w:rFonts w:ascii="Times New Roman" w:hAnsi="Times New Roman" w:cs="Times New Roman"/>
          <w:b/>
          <w:bCs/>
          <w:sz w:val="24"/>
          <w:szCs w:val="24"/>
        </w:rPr>
      </w:pPr>
      <w:r w:rsidRPr="003E6BE4">
        <w:rPr>
          <w:rFonts w:ascii="Times New Roman" w:hAnsi="Times New Roman" w:cs="Times New Roman"/>
          <w:b/>
          <w:bCs/>
          <w:noProof/>
          <w:sz w:val="24"/>
          <w:szCs w:val="24"/>
        </w:rPr>
        <w:lastRenderedPageBreak/>
        <w:drawing>
          <wp:inline distT="0" distB="0" distL="0" distR="0" wp14:anchorId="03BDC45C" wp14:editId="3EB8AD16">
            <wp:extent cx="6480000" cy="3373055"/>
            <wp:effectExtent l="0" t="0" r="0" b="0"/>
            <wp:docPr id="2022720919" name="Picture 5" descr="A group of graphs showing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720919" name="Picture 5" descr="A group of graphs showing different types of data&#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1898"/>
                    <a:stretch>
                      <a:fillRect/>
                    </a:stretch>
                  </pic:blipFill>
                  <pic:spPr bwMode="auto">
                    <a:xfrm>
                      <a:off x="0" y="0"/>
                      <a:ext cx="6480000" cy="3373055"/>
                    </a:xfrm>
                    <a:prstGeom prst="rect">
                      <a:avLst/>
                    </a:prstGeom>
                    <a:noFill/>
                    <a:ln>
                      <a:noFill/>
                    </a:ln>
                    <a:extLst>
                      <a:ext uri="{53640926-AAD7-44D8-BBD7-CCE9431645EC}">
                        <a14:shadowObscured xmlns:a14="http://schemas.microsoft.com/office/drawing/2010/main"/>
                      </a:ext>
                    </a:extLst>
                  </pic:spPr>
                </pic:pic>
              </a:graphicData>
            </a:graphic>
          </wp:inline>
        </w:drawing>
      </w:r>
    </w:p>
    <w:p w14:paraId="3850ABE6" w14:textId="72227A88" w:rsidR="00102F6C" w:rsidRPr="00B07FEE" w:rsidRDefault="006B5942" w:rsidP="00D3419A">
      <w:pPr>
        <w:pStyle w:val="ListParagraph"/>
        <w:spacing w:line="360" w:lineRule="auto"/>
        <w:rPr>
          <w:rFonts w:ascii="Times New Roman" w:hAnsi="Times New Roman" w:cs="Times New Roman"/>
          <w:sz w:val="24"/>
          <w:szCs w:val="24"/>
        </w:rPr>
      </w:pPr>
      <w:r w:rsidRPr="00B07FEE">
        <w:rPr>
          <w:rFonts w:ascii="Times New Roman" w:hAnsi="Times New Roman" w:cs="Times New Roman"/>
          <w:sz w:val="24"/>
          <w:szCs w:val="24"/>
        </w:rPr>
        <w:t xml:space="preserve">Figure S7. </w:t>
      </w:r>
      <w:r w:rsidR="00E11485" w:rsidRPr="00B07FEE">
        <w:rPr>
          <w:rFonts w:ascii="Times New Roman" w:hAnsi="Times New Roman" w:cs="Times New Roman"/>
          <w:sz w:val="24"/>
          <w:szCs w:val="24"/>
        </w:rPr>
        <w:t xml:space="preserve">Impedance </w:t>
      </w:r>
      <w:proofErr w:type="gramStart"/>
      <w:r w:rsidR="00E11485" w:rsidRPr="00B07FEE">
        <w:rPr>
          <w:rFonts w:ascii="Times New Roman" w:hAnsi="Times New Roman" w:cs="Times New Roman"/>
          <w:sz w:val="24"/>
          <w:szCs w:val="24"/>
        </w:rPr>
        <w:t>sweep</w:t>
      </w:r>
      <w:proofErr w:type="gramEnd"/>
      <w:r w:rsidR="00E11485" w:rsidRPr="00B07FEE">
        <w:rPr>
          <w:rFonts w:ascii="Times New Roman" w:hAnsi="Times New Roman" w:cs="Times New Roman"/>
          <w:sz w:val="24"/>
          <w:szCs w:val="24"/>
        </w:rPr>
        <w:t xml:space="preserve"> and its corresponding phase </w:t>
      </w:r>
      <w:r w:rsidR="00550C14" w:rsidRPr="00B07FEE">
        <w:rPr>
          <w:rFonts w:ascii="Times New Roman" w:hAnsi="Times New Roman" w:cs="Times New Roman"/>
          <w:sz w:val="24"/>
          <w:szCs w:val="24"/>
        </w:rPr>
        <w:t>matching</w:t>
      </w:r>
    </w:p>
    <w:p w14:paraId="531335EF" w14:textId="77777777" w:rsidR="00A900E7" w:rsidRDefault="00A900E7">
      <w:pPr>
        <w:ind w:left="720" w:hanging="360"/>
        <w:jc w:val="both"/>
        <w:rPr>
          <w:i/>
          <w:iCs/>
        </w:rPr>
      </w:pPr>
      <w:r>
        <w:rPr>
          <w:i/>
          <w:iCs/>
        </w:rPr>
        <w:br w:type="page"/>
      </w:r>
    </w:p>
    <w:p w14:paraId="2287474E" w14:textId="40E2ACFD" w:rsidR="006B5942" w:rsidRPr="00EB4A15" w:rsidRDefault="00102F6C" w:rsidP="00D3419A">
      <w:pPr>
        <w:spacing w:line="360" w:lineRule="auto"/>
        <w:ind w:left="360"/>
        <w:jc w:val="both"/>
        <w:rPr>
          <w:b/>
          <w:i/>
          <w:iCs/>
        </w:rPr>
      </w:pPr>
      <w:r w:rsidRPr="00EB4A15">
        <w:rPr>
          <w:b/>
          <w:i/>
          <w:iCs/>
        </w:rPr>
        <w:lastRenderedPageBreak/>
        <w:t xml:space="preserve">S6. Literature on DME and </w:t>
      </w:r>
      <w:r w:rsidR="005D02F3" w:rsidRPr="00EB4A15">
        <w:rPr>
          <w:b/>
          <w:i/>
          <w:iCs/>
        </w:rPr>
        <w:t>Energy Harvesting Measurements</w:t>
      </w:r>
      <w:r w:rsidRPr="00EB4A15">
        <w:rPr>
          <w:b/>
          <w:i/>
          <w:iCs/>
        </w:rPr>
        <w:t xml:space="preserve"> </w:t>
      </w:r>
    </w:p>
    <w:p w14:paraId="3C5034F4" w14:textId="4A29F04B" w:rsidR="00ED6D94" w:rsidRPr="00ED6D94" w:rsidRDefault="00ED6D94" w:rsidP="00ED6D94">
      <w:pPr>
        <w:spacing w:line="360" w:lineRule="auto"/>
        <w:ind w:left="360"/>
        <w:jc w:val="both"/>
        <w:rPr>
          <w:i/>
          <w:iCs/>
          <w:lang w:val="en-US"/>
        </w:rPr>
      </w:pPr>
    </w:p>
    <w:p w14:paraId="10B0E49E" w14:textId="415EA11A" w:rsidR="00EE2EBA" w:rsidRPr="002D395F" w:rsidRDefault="00EE2EBA" w:rsidP="0040219C">
      <w:pPr>
        <w:spacing w:line="360" w:lineRule="auto"/>
        <w:jc w:val="both"/>
        <w:rPr>
          <w:bCs/>
        </w:rPr>
      </w:pPr>
      <w:r w:rsidRPr="002D395F">
        <w:rPr>
          <w:bCs/>
        </w:rPr>
        <w:t xml:space="preserve">Table S3. Literature reports of Pb-free magnetoelectric composites and </w:t>
      </w:r>
      <w:r w:rsidR="0060405E" w:rsidRPr="002D395F">
        <w:rPr>
          <w:bCs/>
        </w:rPr>
        <w:t>their</w:t>
      </w:r>
      <w:r w:rsidRPr="002D395F">
        <w:rPr>
          <w:bCs/>
        </w:rPr>
        <w:t xml:space="preserve"> α (DME)</w:t>
      </w:r>
    </w:p>
    <w:p w14:paraId="6D3F2A15" w14:textId="77777777" w:rsidR="00EE2EBA" w:rsidRPr="003E6BE4" w:rsidRDefault="00EE2EBA" w:rsidP="00D3419A">
      <w:pPr>
        <w:spacing w:line="360" w:lineRule="auto"/>
        <w:ind w:left="360"/>
        <w:jc w:val="both"/>
      </w:pPr>
    </w:p>
    <w:tbl>
      <w:tblPr>
        <w:tblStyle w:val="TableGrid"/>
        <w:tblW w:w="11004" w:type="dxa"/>
        <w:jc w:val="center"/>
        <w:tblLayout w:type="fixed"/>
        <w:tblLook w:val="04A0" w:firstRow="1" w:lastRow="0" w:firstColumn="1" w:lastColumn="0" w:noHBand="0" w:noVBand="1"/>
      </w:tblPr>
      <w:tblGrid>
        <w:gridCol w:w="3670"/>
        <w:gridCol w:w="2823"/>
        <w:gridCol w:w="2855"/>
        <w:gridCol w:w="1656"/>
      </w:tblGrid>
      <w:tr w:rsidR="00E04DF9" w:rsidRPr="003E6BE4" w14:paraId="3FC8E6AB" w14:textId="77777777" w:rsidTr="00CD66A8">
        <w:trPr>
          <w:jc w:val="center"/>
        </w:trPr>
        <w:tc>
          <w:tcPr>
            <w:tcW w:w="3670" w:type="dxa"/>
            <w:hideMark/>
          </w:tcPr>
          <w:p w14:paraId="79E97435" w14:textId="77777777" w:rsidR="00E04DF9" w:rsidRPr="003E6BE4" w:rsidRDefault="00E04DF9" w:rsidP="00CD57D2">
            <w:pPr>
              <w:spacing w:line="360" w:lineRule="auto"/>
              <w:ind w:left="360"/>
              <w:jc w:val="both"/>
              <w:rPr>
                <w:b/>
                <w:color w:val="000000" w:themeColor="text1"/>
              </w:rPr>
            </w:pPr>
            <w:r w:rsidRPr="003E6BE4">
              <w:rPr>
                <w:color w:val="000000" w:themeColor="text1"/>
              </w:rPr>
              <w:t>Material System</w:t>
            </w:r>
          </w:p>
        </w:tc>
        <w:tc>
          <w:tcPr>
            <w:tcW w:w="2823" w:type="dxa"/>
            <w:hideMark/>
          </w:tcPr>
          <w:p w14:paraId="0C1C0533" w14:textId="77777777" w:rsidR="00E04DF9" w:rsidRPr="003E6BE4" w:rsidRDefault="00E04DF9" w:rsidP="00CD57D2">
            <w:pPr>
              <w:spacing w:line="360" w:lineRule="auto"/>
              <w:ind w:left="360"/>
              <w:jc w:val="both"/>
              <w:rPr>
                <w:b/>
                <w:color w:val="000000" w:themeColor="text1"/>
              </w:rPr>
            </w:pPr>
            <w:r w:rsidRPr="003E6BE4">
              <w:rPr>
                <w:color w:val="000000" w:themeColor="text1"/>
              </w:rPr>
              <w:t>Composite Form</w:t>
            </w:r>
          </w:p>
        </w:tc>
        <w:tc>
          <w:tcPr>
            <w:tcW w:w="2855" w:type="dxa"/>
            <w:hideMark/>
          </w:tcPr>
          <w:p w14:paraId="2A003764" w14:textId="77777777" w:rsidR="00E04DF9" w:rsidRPr="003E6BE4" w:rsidRDefault="00E04DF9" w:rsidP="00CD57D2">
            <w:pPr>
              <w:spacing w:line="360" w:lineRule="auto"/>
              <w:ind w:left="360"/>
              <w:jc w:val="both"/>
              <w:rPr>
                <w:b/>
                <w:color w:val="000000" w:themeColor="text1"/>
              </w:rPr>
            </w:pPr>
            <w:r w:rsidRPr="003E6BE4">
              <w:rPr>
                <w:color w:val="000000" w:themeColor="text1"/>
              </w:rPr>
              <w:t>α (DME) (mV/</w:t>
            </w:r>
            <w:proofErr w:type="spellStart"/>
            <w:proofErr w:type="gramStart"/>
            <w:r w:rsidRPr="003E6BE4">
              <w:rPr>
                <w:color w:val="000000" w:themeColor="text1"/>
              </w:rPr>
              <w:t>cm.Oe</w:t>
            </w:r>
            <w:proofErr w:type="spellEnd"/>
            <w:proofErr w:type="gramEnd"/>
            <w:r w:rsidRPr="003E6BE4">
              <w:rPr>
                <w:color w:val="000000" w:themeColor="text1"/>
              </w:rPr>
              <w:t>)</w:t>
            </w:r>
          </w:p>
        </w:tc>
        <w:tc>
          <w:tcPr>
            <w:tcW w:w="1656" w:type="dxa"/>
            <w:hideMark/>
          </w:tcPr>
          <w:p w14:paraId="6559C434" w14:textId="77777777" w:rsidR="00E04DF9" w:rsidRPr="003E6BE4" w:rsidRDefault="00E04DF9" w:rsidP="00CD57D2">
            <w:pPr>
              <w:spacing w:line="360" w:lineRule="auto"/>
              <w:ind w:left="360"/>
              <w:jc w:val="both"/>
              <w:rPr>
                <w:b/>
                <w:color w:val="000000" w:themeColor="text1"/>
              </w:rPr>
            </w:pPr>
            <w:r w:rsidRPr="003E6BE4">
              <w:rPr>
                <w:color w:val="000000" w:themeColor="text1"/>
              </w:rPr>
              <w:t>Ref</w:t>
            </w:r>
          </w:p>
        </w:tc>
      </w:tr>
      <w:tr w:rsidR="00E04DF9" w:rsidRPr="003E6BE4" w14:paraId="4DDC8AB9" w14:textId="77777777" w:rsidTr="00CD66A8">
        <w:trPr>
          <w:jc w:val="center"/>
        </w:trPr>
        <w:tc>
          <w:tcPr>
            <w:tcW w:w="3670" w:type="dxa"/>
            <w:hideMark/>
          </w:tcPr>
          <w:p w14:paraId="1945F78E" w14:textId="77777777" w:rsidR="00E04DF9" w:rsidRPr="003E6BE4" w:rsidRDefault="00E04DF9" w:rsidP="00CD57D2">
            <w:pPr>
              <w:spacing w:line="360" w:lineRule="auto"/>
              <w:ind w:left="360"/>
              <w:jc w:val="both"/>
              <w:rPr>
                <w:b/>
                <w:color w:val="000000" w:themeColor="text1"/>
              </w:rPr>
            </w:pPr>
            <w:proofErr w:type="spellStart"/>
            <w:r w:rsidRPr="003E6BE4">
              <w:rPr>
                <w:color w:val="000000" w:themeColor="text1"/>
              </w:rPr>
              <w:t>Metglass</w:t>
            </w:r>
            <w:proofErr w:type="spellEnd"/>
            <w:r w:rsidRPr="003E6BE4">
              <w:rPr>
                <w:color w:val="000000" w:themeColor="text1"/>
              </w:rPr>
              <w:t xml:space="preserve"> / NBT-BT / </w:t>
            </w:r>
            <w:proofErr w:type="spellStart"/>
            <w:r w:rsidRPr="003E6BE4">
              <w:rPr>
                <w:color w:val="000000" w:themeColor="text1"/>
              </w:rPr>
              <w:t>Metglass</w:t>
            </w:r>
            <w:proofErr w:type="spellEnd"/>
          </w:p>
        </w:tc>
        <w:tc>
          <w:tcPr>
            <w:tcW w:w="2823" w:type="dxa"/>
            <w:hideMark/>
          </w:tcPr>
          <w:p w14:paraId="2C36B65D" w14:textId="77777777" w:rsidR="00E04DF9" w:rsidRPr="003E6BE4" w:rsidRDefault="00E04DF9" w:rsidP="00E77BEF">
            <w:pPr>
              <w:spacing w:line="360" w:lineRule="auto"/>
              <w:jc w:val="center"/>
              <w:rPr>
                <w:color w:val="000000" w:themeColor="text1"/>
              </w:rPr>
            </w:pPr>
            <w:r w:rsidRPr="003E6BE4">
              <w:rPr>
                <w:color w:val="000000" w:themeColor="text1"/>
              </w:rPr>
              <w:t>Laminated</w:t>
            </w:r>
          </w:p>
        </w:tc>
        <w:tc>
          <w:tcPr>
            <w:tcW w:w="2855" w:type="dxa"/>
            <w:hideMark/>
          </w:tcPr>
          <w:p w14:paraId="49FED4F7" w14:textId="77777777" w:rsidR="00E04DF9" w:rsidRPr="003E6BE4" w:rsidRDefault="00E04DF9" w:rsidP="00886A10">
            <w:pPr>
              <w:spacing w:line="360" w:lineRule="auto"/>
              <w:jc w:val="center"/>
              <w:rPr>
                <w:color w:val="000000" w:themeColor="text1"/>
              </w:rPr>
            </w:pPr>
            <w:r w:rsidRPr="003E6BE4">
              <w:rPr>
                <w:color w:val="000000" w:themeColor="text1"/>
              </w:rPr>
              <w:t>45.7</w:t>
            </w:r>
          </w:p>
        </w:tc>
        <w:tc>
          <w:tcPr>
            <w:tcW w:w="1656" w:type="dxa"/>
            <w:hideMark/>
          </w:tcPr>
          <w:p w14:paraId="503CF700" w14:textId="25A0A356" w:rsidR="00E04DF9" w:rsidRPr="003E6BE4" w:rsidRDefault="00E65B63" w:rsidP="00CD57D2">
            <w:pPr>
              <w:spacing w:line="360" w:lineRule="auto"/>
              <w:ind w:left="360"/>
              <w:jc w:val="both"/>
              <w:rPr>
                <w:color w:val="000000" w:themeColor="text1"/>
              </w:rPr>
            </w:pPr>
            <w:r>
              <w:rPr>
                <w:color w:val="000000" w:themeColor="text1"/>
              </w:rPr>
              <w:fldChar w:fldCharType="begin" w:fldLock="1"/>
            </w:r>
            <w:r w:rsidR="00B23265">
              <w:rPr>
                <w:color w:val="000000" w:themeColor="text1"/>
              </w:rPr>
              <w:instrText>ADDIN CSL_CITATION {"citationItems":[{"id":"ITEM-1","itemData":{"DOI":"10.1016/j.jpcs.2021.110306","ISSN":"00223697","abstract":"The ferromagnetic and ferroelectric laminated structure has been utilized to study the magnetoelectric (ME) effect, which holds great potential to fabricate micro-electro-mechanical devices with a high figure of merit. Designed a laminated heterostructure using ribbons of Metglas (Fe–Co–Si–B alloy) having high magnetic permeability and lead-free piezoelectric composites of 0.92(Na0.5Bi0.5)TiO3-0.08BaTiO3 (NBT-BT) to generate the significant magnitude of direct ME voltage. The displacement-voltage measurements of NBT-BT yield a high response showing the nature of the piezoelectricity effect. The strength of ME coupling is determined from the ME voltage coefficient (αME), ME measurements have been carried out in the range of 0–6 kHz frequencies. The magnitude of the direct ME effect was found about 45–50 mV/Oe.cm over a low magnetic field of less than ±8 kOe. The real-time ME effect produced nearly 274.5 and 280.2 mV of ME voltages for the applied field of 200 and 300 Oe, respectively. It shows that the trilayer composite structure may be used as weak magnetic field sensors and energy harvesters.","author":[{"dropping-particle":"","family":"Borkar","given":"Hitesh","non-dropping-particle":"","parse-names":false,"suffix":""},{"dropping-particle":"","family":"Gaikwad","given":"Vishwajit M.","non-dropping-particle":"","parse-names":false,"suffix":""},{"dropping-particle":"","family":"Dutta","given":"Soma","non-dropping-particle":"","parse-names":false,"suffix":""},{"dropping-particle":"","family":"Tomar","given":"M.","non-dropping-particle":"","parse-names":false,"suffix":""},{"dropping-particle":"","family":"Gupta","given":"Vinay","non-dropping-particle":"","parse-names":false,"suffix":""},{"dropping-particle":"","family":"Kumar","given":"Ashok","non-dropping-particle":"","parse-names":false,"suffix":""}],"container-title":"Journal of Physics and Chemistry of Solids","id":"ITEM-1","issue":"August 2021","issued":{"date-parts":[["2022"]]},"page":"110306","publisher":"Elsevier Ltd","title":"Lead-free laminated structures for eco-friendly energy harvesters and magnetoelectric sensors","type":"article-journal","volume":"160"},"uris":["http://www.mendeley.com/documents/?uuid=7a227ae7-4e12-4ce0-b015-b4d70128d120"]}],"mendeley":{"formattedCitation":"&lt;sup&gt;8&lt;/sup&gt;","plainTextFormattedCitation":"8","previouslyFormattedCitation":"&lt;sup&gt;8&lt;/sup&gt;"},"properties":{"noteIndex":0},"schema":"https://github.com/citation-style-language/schema/raw/master/csl-citation.json"}</w:instrText>
            </w:r>
            <w:r>
              <w:rPr>
                <w:color w:val="000000" w:themeColor="text1"/>
              </w:rPr>
              <w:fldChar w:fldCharType="separate"/>
            </w:r>
            <w:r w:rsidRPr="00E65B63">
              <w:rPr>
                <w:noProof/>
                <w:color w:val="000000" w:themeColor="text1"/>
                <w:vertAlign w:val="superscript"/>
              </w:rPr>
              <w:t>8</w:t>
            </w:r>
            <w:r>
              <w:rPr>
                <w:color w:val="000000" w:themeColor="text1"/>
              </w:rPr>
              <w:fldChar w:fldCharType="end"/>
            </w:r>
          </w:p>
        </w:tc>
      </w:tr>
      <w:tr w:rsidR="00E04DF9" w:rsidRPr="003E6BE4" w14:paraId="03145BAF" w14:textId="77777777" w:rsidTr="00CD66A8">
        <w:trPr>
          <w:jc w:val="center"/>
        </w:trPr>
        <w:tc>
          <w:tcPr>
            <w:tcW w:w="3670" w:type="dxa"/>
            <w:hideMark/>
          </w:tcPr>
          <w:p w14:paraId="20C2BF3D" w14:textId="3CCF8853" w:rsidR="00E04DF9" w:rsidRPr="003E6BE4" w:rsidRDefault="00E04DF9" w:rsidP="00CD57D2">
            <w:pPr>
              <w:spacing w:line="360" w:lineRule="auto"/>
              <w:ind w:left="360"/>
              <w:jc w:val="both"/>
              <w:rPr>
                <w:b/>
                <w:color w:val="000000" w:themeColor="text1"/>
              </w:rPr>
            </w:pPr>
            <w:r w:rsidRPr="003E6BE4">
              <w:rPr>
                <w:color w:val="000000" w:themeColor="text1"/>
              </w:rPr>
              <w:t>NFO / BTO / NFO</w:t>
            </w:r>
          </w:p>
        </w:tc>
        <w:tc>
          <w:tcPr>
            <w:tcW w:w="2823" w:type="dxa"/>
            <w:hideMark/>
          </w:tcPr>
          <w:p w14:paraId="6A2F4D71" w14:textId="72626717" w:rsidR="00E04DF9" w:rsidRPr="003E6BE4" w:rsidRDefault="004B6A6E" w:rsidP="00E77BEF">
            <w:pPr>
              <w:spacing w:line="360" w:lineRule="auto"/>
              <w:jc w:val="center"/>
              <w:rPr>
                <w:color w:val="000000" w:themeColor="text1"/>
              </w:rPr>
            </w:pPr>
            <w:r>
              <w:rPr>
                <w:color w:val="000000" w:themeColor="text1"/>
              </w:rPr>
              <w:t>Laminated</w:t>
            </w:r>
          </w:p>
        </w:tc>
        <w:tc>
          <w:tcPr>
            <w:tcW w:w="2855" w:type="dxa"/>
            <w:hideMark/>
          </w:tcPr>
          <w:p w14:paraId="33BAD06D" w14:textId="7C58E759" w:rsidR="00E04DF9" w:rsidRPr="003E6BE4" w:rsidRDefault="00E7382F" w:rsidP="00886A10">
            <w:pPr>
              <w:spacing w:line="360" w:lineRule="auto"/>
              <w:jc w:val="center"/>
              <w:rPr>
                <w:color w:val="000000" w:themeColor="text1"/>
              </w:rPr>
            </w:pPr>
            <w:r>
              <w:rPr>
                <w:color w:val="000000" w:themeColor="text1"/>
              </w:rPr>
              <w:t>14.73</w:t>
            </w:r>
          </w:p>
        </w:tc>
        <w:tc>
          <w:tcPr>
            <w:tcW w:w="1656" w:type="dxa"/>
            <w:hideMark/>
          </w:tcPr>
          <w:p w14:paraId="20DAC06A" w14:textId="3605F31F" w:rsidR="00E04DF9" w:rsidRPr="003E6BE4" w:rsidRDefault="00E13BBA" w:rsidP="00CD57D2">
            <w:pPr>
              <w:spacing w:line="360" w:lineRule="auto"/>
              <w:ind w:left="360"/>
              <w:jc w:val="both"/>
              <w:rPr>
                <w:color w:val="000000" w:themeColor="text1"/>
              </w:rPr>
            </w:pPr>
            <w:r>
              <w:rPr>
                <w:color w:val="000000" w:themeColor="text1"/>
              </w:rPr>
              <w:fldChar w:fldCharType="begin" w:fldLock="1"/>
            </w:r>
            <w:r w:rsidR="00B23265">
              <w:rPr>
                <w:color w:val="000000" w:themeColor="text1"/>
              </w:rPr>
              <w:instrText>ADDIN CSL_CITATION {"citationItems":[{"id":"ITEM-1","itemData":{"DOI":"10.4236/msce.2016.48001","ISSN":"2327-6045","abstract":"We report the magnetoelectric (ME) coupling in ME composites composed of NiFe2O4 (NFO) or metglas as magnetostrictive phases and BaTiO3 (BTO) as piezoelectric phase, targeting lead free magetnic field sensors. NFO and BTO phases were synthesized by solid state sintering method and further characterized by using XRD and FESEM techniques. The P-E hysteresis curve shows good ferroelectric behavior with saturation polarization of Ps = 15.87 C/cm2 and coercive electric field of 130 kV/cm. The ME response was characterized as a function of dc magnetic field at a fixed frequency. The transverse ME voltage coefficient, αME31 shows 2 times larger magnitude than that of longitudinal ME voltage coefficient, αME31. The maximum αME31 of 37 mV/cm•Oe (@Hdc = 250 Oe) is observed for NFO/BTO/NFO ME composites with thickness ratio of tm/tp = 1.0. The ME coupling is further enhanced by replacing NFO layers by highly magnetostrictive metglas layers. Metglas/BTO/metglas laminates show large αME31 value of 81 mV/cm•Oe at relatively lower Hdc of 145 Oe. The present laminates can offer promising opportunities of engineering environmental friendly ME laminate for applications in ME devices such as energy harvester and magnetic field sensors.","author":[{"dropping-particle":"","family":"Patil","given":"S. D.","non-dropping-particle":"","parse-names":false,"suffix":""},{"dropping-particle":"","family":"Rajpure","given":"K. Y.","non-dropping-particle":"","parse-names":false,"suffix":""},{"dropping-particle":"","family":"Shaikh","given":"A. M.","non-dropping-particle":"","parse-names":false,"suffix":""}],"container-title":"Journal of Materials Science and Chemical Engineering","id":"ITEM-1","issue":"08","issued":{"date-parts":[["2016"]]},"page":"1-7","title":"Magnetoelectric Coupling in Metglas/BaTiO&amp;lt;sub&amp;gt;3&amp;lt;/sub&amp;gt;/Metglas Lead-Free Magnetoelectric Composites","type":"article-journal","volume":"04"},"uris":["http://www.mendeley.com/documents/?uuid=ce6bce64-2d09-4a65-81d2-f5217216c92f"]}],"mendeley":{"formattedCitation":"&lt;sup&gt;9&lt;/sup&gt;","plainTextFormattedCitation":"9","previouslyFormattedCitation":"&lt;sup&gt;9&lt;/sup&gt;"},"properties":{"noteIndex":0},"schema":"https://github.com/citation-style-language/schema/raw/master/csl-citation.json"}</w:instrText>
            </w:r>
            <w:r>
              <w:rPr>
                <w:color w:val="000000" w:themeColor="text1"/>
              </w:rPr>
              <w:fldChar w:fldCharType="separate"/>
            </w:r>
            <w:r w:rsidR="00E65B63" w:rsidRPr="00E65B63">
              <w:rPr>
                <w:noProof/>
                <w:color w:val="000000" w:themeColor="text1"/>
                <w:vertAlign w:val="superscript"/>
              </w:rPr>
              <w:t>9</w:t>
            </w:r>
            <w:r>
              <w:rPr>
                <w:color w:val="000000" w:themeColor="text1"/>
              </w:rPr>
              <w:fldChar w:fldCharType="end"/>
            </w:r>
          </w:p>
        </w:tc>
      </w:tr>
      <w:tr w:rsidR="00E04DF9" w:rsidRPr="003E6BE4" w14:paraId="506978C6" w14:textId="77777777" w:rsidTr="00CD66A8">
        <w:trPr>
          <w:jc w:val="center"/>
        </w:trPr>
        <w:tc>
          <w:tcPr>
            <w:tcW w:w="3670" w:type="dxa"/>
            <w:hideMark/>
          </w:tcPr>
          <w:p w14:paraId="3F0DEC64" w14:textId="0A5EFCF4" w:rsidR="00E04DF9" w:rsidRPr="003E6BE4" w:rsidRDefault="00E04DF9" w:rsidP="00CD57D2">
            <w:pPr>
              <w:spacing w:line="360" w:lineRule="auto"/>
              <w:ind w:left="360"/>
              <w:jc w:val="both"/>
              <w:rPr>
                <w:b/>
                <w:color w:val="000000" w:themeColor="text1"/>
              </w:rPr>
            </w:pPr>
            <w:r w:rsidRPr="003E6BE4">
              <w:rPr>
                <w:color w:val="000000" w:themeColor="text1"/>
              </w:rPr>
              <w:t>CFO</w:t>
            </w:r>
            <w:r w:rsidR="00984DC3">
              <w:rPr>
                <w:color w:val="000000" w:themeColor="text1"/>
              </w:rPr>
              <w:t xml:space="preserve"> - </w:t>
            </w:r>
            <w:r w:rsidRPr="003E6BE4">
              <w:rPr>
                <w:color w:val="000000" w:themeColor="text1"/>
              </w:rPr>
              <w:t xml:space="preserve">KNN-LS </w:t>
            </w:r>
          </w:p>
        </w:tc>
        <w:tc>
          <w:tcPr>
            <w:tcW w:w="2823" w:type="dxa"/>
            <w:hideMark/>
          </w:tcPr>
          <w:p w14:paraId="14328B6E" w14:textId="4419D265" w:rsidR="00E04DF9" w:rsidRPr="003E6BE4" w:rsidRDefault="00E04DF9" w:rsidP="00E77BEF">
            <w:pPr>
              <w:spacing w:line="360" w:lineRule="auto"/>
              <w:jc w:val="center"/>
              <w:rPr>
                <w:color w:val="000000" w:themeColor="text1"/>
              </w:rPr>
            </w:pPr>
            <w:r w:rsidRPr="003E6BE4">
              <w:rPr>
                <w:color w:val="000000" w:themeColor="text1"/>
              </w:rPr>
              <w:t>Particulate Composite</w:t>
            </w:r>
          </w:p>
        </w:tc>
        <w:tc>
          <w:tcPr>
            <w:tcW w:w="2855" w:type="dxa"/>
            <w:hideMark/>
          </w:tcPr>
          <w:p w14:paraId="721BAFEF" w14:textId="4C22A6A1" w:rsidR="00E04DF9" w:rsidRPr="003E6BE4" w:rsidRDefault="00E04DF9" w:rsidP="00886A10">
            <w:pPr>
              <w:spacing w:line="360" w:lineRule="auto"/>
              <w:jc w:val="center"/>
              <w:rPr>
                <w:color w:val="000000" w:themeColor="text1"/>
              </w:rPr>
            </w:pPr>
            <w:r w:rsidRPr="003E6BE4">
              <w:rPr>
                <w:color w:val="000000" w:themeColor="text1"/>
              </w:rPr>
              <w:t>15.01</w:t>
            </w:r>
          </w:p>
        </w:tc>
        <w:tc>
          <w:tcPr>
            <w:tcW w:w="1656" w:type="dxa"/>
            <w:hideMark/>
          </w:tcPr>
          <w:p w14:paraId="2B394DC6" w14:textId="08177666" w:rsidR="00E04DF9" w:rsidRPr="003E6BE4" w:rsidRDefault="004B76AA" w:rsidP="00CD57D2">
            <w:pPr>
              <w:spacing w:line="360" w:lineRule="auto"/>
              <w:ind w:left="360"/>
              <w:jc w:val="both"/>
              <w:rPr>
                <w:color w:val="000000" w:themeColor="text1"/>
              </w:rPr>
            </w:pPr>
            <w:r>
              <w:rPr>
                <w:color w:val="000000" w:themeColor="text1"/>
              </w:rPr>
              <w:fldChar w:fldCharType="begin" w:fldLock="1"/>
            </w:r>
            <w:r w:rsidR="00B23265">
              <w:rPr>
                <w:color w:val="000000" w:themeColor="text1"/>
              </w:rPr>
              <w:instrText>ADDIN CSL_CITATION {"citationItems":[{"id":"ITEM-1","itemData":{"DOI":"10.4028/www.scientific.net/AMM.80-81.271","ISBN":"9783037852125","ISSN":"16609336","abstract":"Lead-free multiferroic magnetoelectric composites were prepared by incorporating the dispersed 0.4CoFe 2O 4 ferromagnetic nanoparticles into 0.6(K 0.5Na 0.5)NbO 3- LiSbO 3 ferroelectric micromatrix. From the x-ray diffraction analysis, it was observed that almost no chemical reaction occurs between the ferrite and the ferroelectric materials used to form the composite. Dielectric properties as a function of frequency were measured. The magnetoelectric couple effect was given as a function of magnetic field with a maximum magnetoelectric voltage coefficient of 15.01mV·cm -1 ·Oe -1 at 1kHz, which was a very high value in the lead-free magnetoelectric composites system for the potential use on actuators and sensors, etc. © (2011) Trans Tech Publications.","author":[{"dropping-particle":"","family":"Ye","given":"You Xiang","non-dropping-particle":"","parse-names":false,"suffix":""},{"dropping-particle":"","family":"Zhou","given":"Sheng Hua","non-dropping-particle":"","parse-names":false,"suffix":""},{"dropping-particle":"","family":"Zhou","given":"Yun","non-dropping-particle":"","parse-names":false,"suffix":""}],"container-title":"Applied Mechanics and Materials","id":"ITEM-1","issued":{"date-parts":[["2011"]]},"page":"271-275","title":"Dielectric and magnetoelectric properties of nano-microscale lead-free composite by 0.4Co-ferrite and 0.6(K0.5Na0.5)NbO3-based ferroelectric matrix","type":"article-journal","volume":"80-81"},"uris":["http://www.mendeley.com/documents/?uuid=63f0aa3f-5df0-4472-a022-d8ded618faae"]}],"mendeley":{"formattedCitation":"&lt;sup&gt;10&lt;/sup&gt;","plainTextFormattedCitation":"10","previouslyFormattedCitation":"&lt;sup&gt;10&lt;/sup&gt;"},"properties":{"noteIndex":0},"schema":"https://github.com/citation-style-language/schema/raw/master/csl-citation.json"}</w:instrText>
            </w:r>
            <w:r>
              <w:rPr>
                <w:color w:val="000000" w:themeColor="text1"/>
              </w:rPr>
              <w:fldChar w:fldCharType="separate"/>
            </w:r>
            <w:r w:rsidR="00E65B63" w:rsidRPr="00E65B63">
              <w:rPr>
                <w:noProof/>
                <w:color w:val="000000" w:themeColor="text1"/>
                <w:vertAlign w:val="superscript"/>
              </w:rPr>
              <w:t>10</w:t>
            </w:r>
            <w:r>
              <w:rPr>
                <w:color w:val="000000" w:themeColor="text1"/>
              </w:rPr>
              <w:fldChar w:fldCharType="end"/>
            </w:r>
          </w:p>
        </w:tc>
      </w:tr>
      <w:tr w:rsidR="00E04DF9" w:rsidRPr="003E6BE4" w14:paraId="45567EC2" w14:textId="77777777" w:rsidTr="00CD66A8">
        <w:trPr>
          <w:jc w:val="center"/>
        </w:trPr>
        <w:tc>
          <w:tcPr>
            <w:tcW w:w="3670" w:type="dxa"/>
            <w:hideMark/>
          </w:tcPr>
          <w:p w14:paraId="794B2795" w14:textId="4029490D" w:rsidR="00E04DF9" w:rsidRPr="003E6BE4" w:rsidRDefault="00E04DF9" w:rsidP="00CD57D2">
            <w:pPr>
              <w:spacing w:line="360" w:lineRule="auto"/>
              <w:ind w:left="360"/>
              <w:jc w:val="both"/>
              <w:rPr>
                <w:b/>
                <w:color w:val="000000" w:themeColor="text1"/>
              </w:rPr>
            </w:pPr>
            <w:r w:rsidRPr="003E6BE4">
              <w:rPr>
                <w:color w:val="000000" w:themeColor="text1"/>
              </w:rPr>
              <w:t xml:space="preserve">KNN-0.3BHF </w:t>
            </w:r>
          </w:p>
        </w:tc>
        <w:tc>
          <w:tcPr>
            <w:tcW w:w="2823" w:type="dxa"/>
            <w:hideMark/>
          </w:tcPr>
          <w:p w14:paraId="0D5F5090" w14:textId="56822B62" w:rsidR="00E04DF9" w:rsidRPr="003E6BE4" w:rsidRDefault="00702D0D" w:rsidP="00B23265">
            <w:pPr>
              <w:spacing w:line="360" w:lineRule="auto"/>
              <w:jc w:val="center"/>
              <w:rPr>
                <w:color w:val="000000" w:themeColor="text1"/>
              </w:rPr>
            </w:pPr>
            <w:r w:rsidRPr="003E6BE4">
              <w:rPr>
                <w:color w:val="000000" w:themeColor="text1"/>
              </w:rPr>
              <w:t>Particulate Composite</w:t>
            </w:r>
          </w:p>
          <w:p w14:paraId="533A6F4C" w14:textId="4BA829FB" w:rsidR="00E04DF9" w:rsidRPr="003E6BE4" w:rsidRDefault="00E04DF9" w:rsidP="00B23265">
            <w:pPr>
              <w:spacing w:line="360" w:lineRule="auto"/>
              <w:ind w:left="360"/>
              <w:jc w:val="center"/>
              <w:rPr>
                <w:color w:val="000000" w:themeColor="text1"/>
              </w:rPr>
            </w:pPr>
          </w:p>
        </w:tc>
        <w:tc>
          <w:tcPr>
            <w:tcW w:w="2855" w:type="dxa"/>
            <w:hideMark/>
          </w:tcPr>
          <w:p w14:paraId="03CC8D4E" w14:textId="4A9CE7E6" w:rsidR="00E04DF9" w:rsidRPr="003E6BE4" w:rsidRDefault="00E04DF9" w:rsidP="00886A10">
            <w:pPr>
              <w:spacing w:line="360" w:lineRule="auto"/>
              <w:jc w:val="center"/>
              <w:rPr>
                <w:color w:val="000000" w:themeColor="text1"/>
              </w:rPr>
            </w:pPr>
            <w:r w:rsidRPr="003E6BE4">
              <w:rPr>
                <w:color w:val="000000" w:themeColor="text1"/>
              </w:rPr>
              <w:t>4.08</w:t>
            </w:r>
            <w:r w:rsidR="00A851B3">
              <w:rPr>
                <w:color w:val="000000" w:themeColor="text1"/>
              </w:rPr>
              <w:t xml:space="preserve"> (DC)</w:t>
            </w:r>
          </w:p>
        </w:tc>
        <w:tc>
          <w:tcPr>
            <w:tcW w:w="1656" w:type="dxa"/>
            <w:hideMark/>
          </w:tcPr>
          <w:p w14:paraId="5955A2E1" w14:textId="3A64DED2" w:rsidR="00E04DF9" w:rsidRPr="003E6BE4" w:rsidRDefault="00B23265" w:rsidP="00CD57D2">
            <w:pPr>
              <w:spacing w:line="360" w:lineRule="auto"/>
              <w:ind w:left="360"/>
              <w:jc w:val="both"/>
              <w:rPr>
                <w:color w:val="000000" w:themeColor="text1"/>
              </w:rPr>
            </w:pPr>
            <w:r>
              <w:rPr>
                <w:color w:val="000000" w:themeColor="text1"/>
              </w:rPr>
              <w:fldChar w:fldCharType="begin" w:fldLock="1"/>
            </w:r>
            <w:r>
              <w:rPr>
                <w:color w:val="000000" w:themeColor="text1"/>
              </w:rPr>
              <w:instrText>ADDIN CSL_CITATION {"citationItems":[{"id":"ITEM-1","itemData":{"DOI":"10.1007/s40145-019-0315-7","ISSN":"22278508","abstract":"Lead-free magnetoelectric composites (1−x)K0.5Na0.5NbO3—(x)BaFe12O19 (x = 30, 40, and 50 wt%) are synthesized using solid state reaction method. X-ray diffraction (XRD) patterns confirm formation of diphase composites. Field emission scanning electron microscopy (FE-SEM) gives information about grain size, connectivity, and microstructure of constituent phases. Dielectric parameters of composite samples are studied as a function of temperature and the transition temperatures corresponding to both the constituent phases are observed in the composite samples. Dielectric constant has been found to decrease with addition of ferrite. Room temperature multiferroic behaviour has been confirmed using P-E and M-H hysteresis loops and magnetoelectric measurement. Polarization is found to decrease; however, magnetization increases with ferrite weight percentage. The highest αME of 4.08 mV/(cm·Oe) is obtained for x = 30 wt% composite and it is realized that ferrite content significantly affects magnetoelectric behaviour.","author":[{"dropping-particle":"","family":"Kumar","given":"Yogesh","non-dropping-particle":"","parse-names":false,"suffix":""},{"dropping-particle":"","family":"Yadav","given":"K. L.","non-dropping-particle":"","parse-names":false,"suffix":""},{"dropping-particle":"","family":"Shah","given":"Jyoti","non-dropping-particle":"","parse-names":false,"suffix":""},{"dropping-particle":"","family":"Kotnala","given":"R. K.","non-dropping-particle":"","parse-names":false,"suffix":""}],"container-title":"Journal of Advanced Ceramics","id":"ITEM-1","issue":"3","issued":{"date-parts":[["2019"]]},"page":"333-344","title":"Investigation of magnetoelectric effect in lead free K0.5Na0.5NbO3-BaFe12O19 novel composite system","type":"article-journal","volume":"8"},"uris":["http://www.mendeley.com/documents/?uuid=6ad94fd7-2883-43d3-93dc-255b9fb320ee"]}],"mendeley":{"formattedCitation":"&lt;sup&gt;11&lt;/sup&gt;","plainTextFormattedCitation":"11"},"properties":{"noteIndex":0},"schema":"https://github.com/citation-style-language/schema/raw/master/csl-citation.json"}</w:instrText>
            </w:r>
            <w:r>
              <w:rPr>
                <w:color w:val="000000" w:themeColor="text1"/>
              </w:rPr>
              <w:fldChar w:fldCharType="separate"/>
            </w:r>
            <w:r w:rsidRPr="00B23265">
              <w:rPr>
                <w:noProof/>
                <w:color w:val="000000" w:themeColor="text1"/>
                <w:vertAlign w:val="superscript"/>
              </w:rPr>
              <w:t>11</w:t>
            </w:r>
            <w:r>
              <w:rPr>
                <w:color w:val="000000" w:themeColor="text1"/>
              </w:rPr>
              <w:fldChar w:fldCharType="end"/>
            </w:r>
          </w:p>
        </w:tc>
      </w:tr>
      <w:tr w:rsidR="00E04DF9" w:rsidRPr="003E6BE4" w14:paraId="1E393C13" w14:textId="77777777" w:rsidTr="00CD66A8">
        <w:trPr>
          <w:jc w:val="center"/>
        </w:trPr>
        <w:tc>
          <w:tcPr>
            <w:tcW w:w="3670" w:type="dxa"/>
            <w:hideMark/>
          </w:tcPr>
          <w:p w14:paraId="2249BD55" w14:textId="72876516" w:rsidR="00E04DF9" w:rsidRPr="003E6BE4" w:rsidRDefault="00E04DF9" w:rsidP="00CD57D2">
            <w:pPr>
              <w:spacing w:line="360" w:lineRule="auto"/>
              <w:ind w:left="360"/>
              <w:jc w:val="both"/>
              <w:rPr>
                <w:b/>
                <w:color w:val="000000" w:themeColor="text1"/>
              </w:rPr>
            </w:pPr>
            <w:r w:rsidRPr="003E6BE4">
              <w:rPr>
                <w:color w:val="000000" w:themeColor="text1"/>
              </w:rPr>
              <w:t>Ni / Random / Ni</w:t>
            </w:r>
          </w:p>
        </w:tc>
        <w:tc>
          <w:tcPr>
            <w:tcW w:w="2823" w:type="dxa"/>
            <w:hideMark/>
          </w:tcPr>
          <w:p w14:paraId="01F12C17" w14:textId="53653B14" w:rsidR="00E04DF9" w:rsidRPr="003E6BE4" w:rsidRDefault="00702D0D" w:rsidP="00702D0D">
            <w:pPr>
              <w:spacing w:line="360" w:lineRule="auto"/>
              <w:jc w:val="center"/>
              <w:rPr>
                <w:color w:val="000000" w:themeColor="text1"/>
              </w:rPr>
            </w:pPr>
            <w:r>
              <w:rPr>
                <w:color w:val="000000" w:themeColor="text1"/>
              </w:rPr>
              <w:t>Laminated</w:t>
            </w:r>
          </w:p>
        </w:tc>
        <w:tc>
          <w:tcPr>
            <w:tcW w:w="2855" w:type="dxa"/>
            <w:hideMark/>
          </w:tcPr>
          <w:p w14:paraId="1C352967" w14:textId="3F11A7DF" w:rsidR="00E04DF9" w:rsidRPr="003E6BE4" w:rsidRDefault="00E04DF9" w:rsidP="00886A10">
            <w:pPr>
              <w:spacing w:line="360" w:lineRule="auto"/>
              <w:jc w:val="center"/>
              <w:rPr>
                <w:color w:val="000000" w:themeColor="text1"/>
              </w:rPr>
            </w:pPr>
            <w:r w:rsidRPr="003E6BE4">
              <w:rPr>
                <w:color w:val="000000" w:themeColor="text1"/>
              </w:rPr>
              <w:t>27</w:t>
            </w:r>
          </w:p>
        </w:tc>
        <w:tc>
          <w:tcPr>
            <w:tcW w:w="1656" w:type="dxa"/>
            <w:hideMark/>
          </w:tcPr>
          <w:p w14:paraId="3E820CFE" w14:textId="759AD481" w:rsidR="00E04DF9" w:rsidRPr="003E6BE4" w:rsidRDefault="00E77BEF" w:rsidP="00CD57D2">
            <w:pPr>
              <w:spacing w:line="360" w:lineRule="auto"/>
              <w:ind w:left="360"/>
              <w:jc w:val="both"/>
              <w:rPr>
                <w:color w:val="000000" w:themeColor="text1"/>
              </w:rPr>
            </w:pPr>
            <w:r>
              <w:rPr>
                <w:color w:val="000000" w:themeColor="text1"/>
              </w:rPr>
              <w:t>This work</w:t>
            </w:r>
          </w:p>
        </w:tc>
      </w:tr>
      <w:tr w:rsidR="00E04DF9" w:rsidRPr="003E6BE4" w14:paraId="070E2FE5" w14:textId="77777777" w:rsidTr="00CD66A8">
        <w:trPr>
          <w:jc w:val="center"/>
        </w:trPr>
        <w:tc>
          <w:tcPr>
            <w:tcW w:w="3670" w:type="dxa"/>
            <w:hideMark/>
          </w:tcPr>
          <w:p w14:paraId="14C2698A" w14:textId="122739E4" w:rsidR="00E04DF9" w:rsidRPr="003E6BE4" w:rsidRDefault="00E04DF9" w:rsidP="00CD57D2">
            <w:pPr>
              <w:spacing w:line="360" w:lineRule="auto"/>
              <w:ind w:left="360"/>
              <w:jc w:val="both"/>
              <w:rPr>
                <w:b/>
                <w:color w:val="000000" w:themeColor="text1"/>
              </w:rPr>
            </w:pPr>
            <w:r w:rsidRPr="003E6BE4">
              <w:rPr>
                <w:color w:val="000000" w:themeColor="text1"/>
              </w:rPr>
              <w:t>Ni / Textured / Ni</w:t>
            </w:r>
          </w:p>
        </w:tc>
        <w:tc>
          <w:tcPr>
            <w:tcW w:w="2823" w:type="dxa"/>
            <w:hideMark/>
          </w:tcPr>
          <w:p w14:paraId="0157954C" w14:textId="24280424" w:rsidR="00E04DF9" w:rsidRPr="003E6BE4" w:rsidRDefault="00702D0D" w:rsidP="00702D0D">
            <w:pPr>
              <w:spacing w:line="360" w:lineRule="auto"/>
              <w:jc w:val="center"/>
              <w:rPr>
                <w:color w:val="000000" w:themeColor="text1"/>
              </w:rPr>
            </w:pPr>
            <w:r>
              <w:rPr>
                <w:color w:val="000000" w:themeColor="text1"/>
              </w:rPr>
              <w:t>Laminated</w:t>
            </w:r>
          </w:p>
        </w:tc>
        <w:tc>
          <w:tcPr>
            <w:tcW w:w="2855" w:type="dxa"/>
            <w:hideMark/>
          </w:tcPr>
          <w:p w14:paraId="18074700" w14:textId="25810C58" w:rsidR="00E04DF9" w:rsidRPr="003E6BE4" w:rsidRDefault="00395B16" w:rsidP="00886A10">
            <w:pPr>
              <w:spacing w:line="360" w:lineRule="auto"/>
              <w:jc w:val="center"/>
              <w:rPr>
                <w:color w:val="000000" w:themeColor="text1"/>
              </w:rPr>
            </w:pPr>
            <w:r>
              <w:rPr>
                <w:color w:val="000000" w:themeColor="text1"/>
              </w:rPr>
              <w:t>58</w:t>
            </w:r>
          </w:p>
        </w:tc>
        <w:tc>
          <w:tcPr>
            <w:tcW w:w="1656" w:type="dxa"/>
            <w:hideMark/>
          </w:tcPr>
          <w:p w14:paraId="6A3B7BED" w14:textId="7B5EDFF4" w:rsidR="00E04DF9" w:rsidRPr="003E6BE4" w:rsidRDefault="00E77BEF" w:rsidP="00CD57D2">
            <w:pPr>
              <w:spacing w:line="360" w:lineRule="auto"/>
              <w:ind w:left="360"/>
              <w:jc w:val="both"/>
              <w:rPr>
                <w:color w:val="000000" w:themeColor="text1"/>
              </w:rPr>
            </w:pPr>
            <w:r>
              <w:rPr>
                <w:color w:val="000000" w:themeColor="text1"/>
              </w:rPr>
              <w:t>This work</w:t>
            </w:r>
          </w:p>
        </w:tc>
      </w:tr>
    </w:tbl>
    <w:p w14:paraId="7080BB46" w14:textId="77777777" w:rsidR="00162B89" w:rsidRPr="003E6BE4" w:rsidRDefault="00162B89" w:rsidP="00D3419A">
      <w:pPr>
        <w:spacing w:line="360" w:lineRule="auto"/>
        <w:jc w:val="both"/>
      </w:pPr>
    </w:p>
    <w:p w14:paraId="3E57B3AC" w14:textId="77777777" w:rsidR="00055AC8" w:rsidRPr="003E6BE4" w:rsidRDefault="00055AC8" w:rsidP="00D3419A">
      <w:pPr>
        <w:spacing w:line="360" w:lineRule="auto"/>
        <w:ind w:left="360"/>
        <w:jc w:val="both"/>
      </w:pPr>
    </w:p>
    <w:p w14:paraId="5EF34357" w14:textId="28D23ADD" w:rsidR="00EE2EBA" w:rsidRPr="00EB4A15" w:rsidRDefault="00EE2EBA" w:rsidP="00D3419A">
      <w:pPr>
        <w:spacing w:line="360" w:lineRule="auto"/>
        <w:ind w:left="360"/>
        <w:jc w:val="both"/>
        <w:rPr>
          <w:b/>
        </w:rPr>
      </w:pPr>
      <w:r w:rsidRPr="00EB4A15">
        <w:rPr>
          <w:b/>
        </w:rPr>
        <w:t xml:space="preserve">Table S4. </w:t>
      </w:r>
      <w:r w:rsidR="00796202" w:rsidRPr="00EB4A15">
        <w:rPr>
          <w:b/>
        </w:rPr>
        <w:t xml:space="preserve">Comparison of </w:t>
      </w:r>
      <w:r w:rsidR="00BD3FE7" w:rsidRPr="00EB4A15">
        <w:rPr>
          <w:b/>
        </w:rPr>
        <w:t xml:space="preserve">ME energy harvesting capabilities of Pb-free systems </w:t>
      </w:r>
    </w:p>
    <w:p w14:paraId="78D0B504" w14:textId="77777777" w:rsidR="00796202" w:rsidRPr="003E6BE4" w:rsidRDefault="00796202" w:rsidP="00D3419A">
      <w:pPr>
        <w:spacing w:line="360" w:lineRule="auto"/>
        <w:ind w:left="360"/>
        <w:jc w:val="both"/>
      </w:pPr>
    </w:p>
    <w:tbl>
      <w:tblPr>
        <w:tblStyle w:val="TableGrid"/>
        <w:tblW w:w="11375" w:type="dxa"/>
        <w:jc w:val="center"/>
        <w:tblLayout w:type="fixed"/>
        <w:tblLook w:val="04A0" w:firstRow="1" w:lastRow="0" w:firstColumn="1" w:lastColumn="0" w:noHBand="0" w:noVBand="1"/>
      </w:tblPr>
      <w:tblGrid>
        <w:gridCol w:w="3393"/>
        <w:gridCol w:w="3172"/>
        <w:gridCol w:w="3298"/>
        <w:gridCol w:w="1512"/>
      </w:tblGrid>
      <w:tr w:rsidR="00EE2EBA" w:rsidRPr="003E6BE4" w14:paraId="48A2D7B6" w14:textId="77777777" w:rsidTr="00162B89">
        <w:trPr>
          <w:jc w:val="center"/>
        </w:trPr>
        <w:tc>
          <w:tcPr>
            <w:tcW w:w="3393" w:type="dxa"/>
            <w:hideMark/>
          </w:tcPr>
          <w:p w14:paraId="356B4622" w14:textId="77777777" w:rsidR="00EE2EBA" w:rsidRPr="003E6BE4" w:rsidRDefault="00EE2EBA" w:rsidP="00D3419A">
            <w:pPr>
              <w:spacing w:line="360" w:lineRule="auto"/>
              <w:ind w:left="360"/>
              <w:jc w:val="both"/>
              <w:rPr>
                <w:b/>
              </w:rPr>
            </w:pPr>
            <w:r w:rsidRPr="003E6BE4">
              <w:t>Material System</w:t>
            </w:r>
          </w:p>
        </w:tc>
        <w:tc>
          <w:tcPr>
            <w:tcW w:w="3172" w:type="dxa"/>
          </w:tcPr>
          <w:p w14:paraId="6F6E64E9" w14:textId="5A54C5B8" w:rsidR="00EE2EBA" w:rsidRPr="00BD5E8B" w:rsidRDefault="00BD5E8B" w:rsidP="00D3419A">
            <w:pPr>
              <w:spacing w:line="360" w:lineRule="auto"/>
              <w:ind w:left="360"/>
              <w:jc w:val="both"/>
              <w:rPr>
                <w:bCs/>
              </w:rPr>
            </w:pPr>
            <w:r w:rsidRPr="00BD5E8B">
              <w:rPr>
                <w:bCs/>
              </w:rPr>
              <w:t>Power Density(</w:t>
            </w:r>
            <w:proofErr w:type="spellStart"/>
            <w:r w:rsidRPr="00BD5E8B">
              <w:rPr>
                <w:bCs/>
              </w:rPr>
              <w:t>μW</w:t>
            </w:r>
            <w:proofErr w:type="spellEnd"/>
            <w:r w:rsidRPr="00BD5E8B">
              <w:rPr>
                <w:bCs/>
              </w:rPr>
              <w:t>/cm</w:t>
            </w:r>
            <w:r w:rsidRPr="00BD5E8B">
              <w:rPr>
                <w:bCs/>
                <w:vertAlign w:val="superscript"/>
              </w:rPr>
              <w:t>3</w:t>
            </w:r>
            <w:r w:rsidRPr="00BD5E8B">
              <w:rPr>
                <w:bCs/>
              </w:rPr>
              <w:t>)</w:t>
            </w:r>
            <w:r w:rsidR="00700206">
              <w:rPr>
                <w:bCs/>
              </w:rPr>
              <w:t xml:space="preserve"> (Ceramic/ Composite)</w:t>
            </w:r>
          </w:p>
        </w:tc>
        <w:tc>
          <w:tcPr>
            <w:tcW w:w="3298" w:type="dxa"/>
          </w:tcPr>
          <w:p w14:paraId="2D654F89" w14:textId="72654BC5" w:rsidR="00EE2EBA" w:rsidRPr="00BD5E8B" w:rsidRDefault="00BD5E8B" w:rsidP="00D3419A">
            <w:pPr>
              <w:spacing w:line="360" w:lineRule="auto"/>
              <w:ind w:left="360"/>
              <w:jc w:val="both"/>
              <w:rPr>
                <w:bCs/>
              </w:rPr>
            </w:pPr>
            <w:r w:rsidRPr="00BD5E8B">
              <w:rPr>
                <w:bCs/>
              </w:rPr>
              <w:t>Power Density(</w:t>
            </w:r>
            <w:proofErr w:type="spellStart"/>
            <w:r w:rsidRPr="00BD5E8B">
              <w:rPr>
                <w:bCs/>
              </w:rPr>
              <w:t>μW</w:t>
            </w:r>
            <w:proofErr w:type="spellEnd"/>
            <w:r w:rsidRPr="00BD5E8B">
              <w:rPr>
                <w:bCs/>
              </w:rPr>
              <w:t>/cm</w:t>
            </w:r>
            <w:r w:rsidRPr="00BD5E8B">
              <w:rPr>
                <w:bCs/>
                <w:vertAlign w:val="superscript"/>
              </w:rPr>
              <w:t>3</w:t>
            </w:r>
            <w:r w:rsidRPr="00BD5E8B">
              <w:rPr>
                <w:bCs/>
              </w:rPr>
              <w:t>.Oe</w:t>
            </w:r>
            <w:r w:rsidRPr="00BD5E8B">
              <w:rPr>
                <w:bCs/>
                <w:vertAlign w:val="superscript"/>
              </w:rPr>
              <w:t>2</w:t>
            </w:r>
            <w:r w:rsidRPr="00BD5E8B">
              <w:rPr>
                <w:bCs/>
              </w:rPr>
              <w:t>)</w:t>
            </w:r>
            <w:r w:rsidR="00700206">
              <w:rPr>
                <w:bCs/>
              </w:rPr>
              <w:t xml:space="preserve"> (Ceramic/Composite)</w:t>
            </w:r>
          </w:p>
        </w:tc>
        <w:tc>
          <w:tcPr>
            <w:tcW w:w="1512" w:type="dxa"/>
            <w:hideMark/>
          </w:tcPr>
          <w:p w14:paraId="22A90147" w14:textId="77777777" w:rsidR="00EE2EBA" w:rsidRPr="003E6BE4" w:rsidRDefault="00EE2EBA" w:rsidP="00D3419A">
            <w:pPr>
              <w:spacing w:line="360" w:lineRule="auto"/>
              <w:ind w:left="360"/>
              <w:jc w:val="both"/>
              <w:rPr>
                <w:b/>
              </w:rPr>
            </w:pPr>
            <w:r w:rsidRPr="003E6BE4">
              <w:t>Ref</w:t>
            </w:r>
          </w:p>
        </w:tc>
      </w:tr>
      <w:tr w:rsidR="00EE2EBA" w:rsidRPr="003E6BE4" w14:paraId="035EBC0C" w14:textId="77777777" w:rsidTr="00162B89">
        <w:trPr>
          <w:jc w:val="center"/>
        </w:trPr>
        <w:tc>
          <w:tcPr>
            <w:tcW w:w="3393" w:type="dxa"/>
            <w:hideMark/>
          </w:tcPr>
          <w:p w14:paraId="2A3A2F92" w14:textId="04D5B446" w:rsidR="00EE2EBA" w:rsidRPr="003E6BE4" w:rsidRDefault="00EE2EBA" w:rsidP="00D3419A">
            <w:pPr>
              <w:spacing w:line="360" w:lineRule="auto"/>
              <w:ind w:left="360"/>
              <w:jc w:val="both"/>
              <w:rPr>
                <w:b/>
              </w:rPr>
            </w:pPr>
            <w:r w:rsidRPr="003E6BE4">
              <w:t>BCT-BZT /Ni</w:t>
            </w:r>
          </w:p>
        </w:tc>
        <w:tc>
          <w:tcPr>
            <w:tcW w:w="3172" w:type="dxa"/>
          </w:tcPr>
          <w:p w14:paraId="153FAE56" w14:textId="1CE0DD19" w:rsidR="00EE2EBA" w:rsidRPr="003E6BE4" w:rsidRDefault="00BD5E8B" w:rsidP="00D3419A">
            <w:pPr>
              <w:spacing w:line="360" w:lineRule="auto"/>
              <w:ind w:left="360"/>
              <w:jc w:val="both"/>
            </w:pPr>
            <w:r>
              <w:t>502</w:t>
            </w:r>
            <w:r w:rsidR="003E6F40">
              <w:t>/70.6</w:t>
            </w:r>
          </w:p>
        </w:tc>
        <w:tc>
          <w:tcPr>
            <w:tcW w:w="3298" w:type="dxa"/>
          </w:tcPr>
          <w:p w14:paraId="45FF2B91" w14:textId="01F8EF16" w:rsidR="00EE2EBA" w:rsidRPr="003E6BE4" w:rsidRDefault="009C5B8D" w:rsidP="00D3419A">
            <w:pPr>
              <w:spacing w:line="360" w:lineRule="auto"/>
              <w:ind w:left="360"/>
              <w:jc w:val="both"/>
            </w:pPr>
            <w:r>
              <w:t>50.1/7.05</w:t>
            </w:r>
          </w:p>
        </w:tc>
        <w:tc>
          <w:tcPr>
            <w:tcW w:w="1512" w:type="dxa"/>
            <w:hideMark/>
          </w:tcPr>
          <w:p w14:paraId="693723A1" w14:textId="354FD3F2" w:rsidR="00EE2EBA" w:rsidRPr="003E6BE4" w:rsidRDefault="00EE2EBA" w:rsidP="00D3419A">
            <w:pPr>
              <w:spacing w:line="360" w:lineRule="auto"/>
              <w:ind w:left="360"/>
              <w:jc w:val="both"/>
            </w:pPr>
            <w:r w:rsidRPr="003E6BE4">
              <w:fldChar w:fldCharType="begin" w:fldLock="1"/>
            </w:r>
            <w:r w:rsidR="00B23265">
              <w:instrText>ADDIN CSL_CITATION {"citationItems":[{"id":"ITEM-1","itemData":{"DOI":"10.1039/d3se01517c","ISSN":"23984902","abstract":"The integration of magnetoelectric (ME) principles using magneto-mechano-electrical (MME) generators enables the construction of self-powered wireless sensor networks (WSNs) for mechanical energy harvesting. In this study, we propose a lead-free, flexible MME generator that incorporates poly(vinylidene fluoride) (PVDF)/Ba0.85Ca0.15Ti0.9Zr0.1O3 (BCZT) fiber composites and Metglas. This generator produces a robust output voltage even in the presence of stray magnetic fields, without requiring a magnetic bias field. We prepared flexible PVDF/BCZT fiber composites by electrospinning the components at various proportions, and a magnetostrictive Metglas layer was incorporated during the ME composite fabrication process. Under resonance conditions (50 Hz), the optimized ME composition yielded a maximum ME voltage of 472 V cm−1 Oe−1 without a magnetic DC bias field. This significant improvement is attributed to the interfacial interactions between the surface of inorganic BCZT nanoparticles and dipoles within the PVDF polymer matrix, as well as the high permeability of Metglas. Additionally, the flexible MME generator proposed in this study produced an open-circuit voltage of 14.8 V and an approximate power density of 4.7 µW cm−3 under an AC magnetic field of 10 Oe with a frequency of 50 Hz. We demonstrate that our MME device can be used to monitor the health of a muffle furnace by tapping into the magnetic field noise coming from its electronic cables. The as-developed lead-free flexible MME generator shows potential for advanced applications in self-powered WSN and energy harvesting technologies.","author":[{"dropping-particle":"","family":"Kaarthik","given":"J.","non-dropping-particle":"","parse-names":false,"suffix":""},{"dropping-particle":"","family":"Ram","given":"Nayak","non-dropping-particle":"","parse-names":false,"suffix":""},{"dropping-particle":"","family":"Aepuru","given":"Radhamanohar","non-dropping-particle":"","parse-names":false,"suffix":""},{"dropping-particle":"","family":"Reddy","given":"Salla Gangi","non-dropping-particle":"","parse-names":false,"suffix":""},{"dropping-particle":"","family":"Pabba","given":"Durga Prasad","non-dropping-particle":"","parse-names":false,"suffix":""},{"dropping-particle":"","family":"Venkateswarlu","given":"Annapureddy","non-dropping-particle":"","parse-names":false,"suffix":""}],"container-title":"Sustainable Energy and Fuels","id":"ITEM-1","issue":"12","issued":{"date-parts":[["2024"]]},"page":"2583-2592","publisher":"Royal Society of Chemistry","title":"Robust magnetic energy harvesting with flexible lead-free poly(vinylidene fluoride)-Ba0.85Ca0.15Ti0.9Zr0.1O3 fibers and Metglas-based magnetoelectric composites","type":"article-journal","volume":"8"},"uris":["http://www.mendeley.com/documents/?uuid=53f85da8-047b-4ccc-a56d-447f133bc7e0"]}],"mendeley":{"formattedCitation":"&lt;sup&gt;12&lt;/sup&gt;","plainTextFormattedCitation":"12","previouslyFormattedCitation":"&lt;sup&gt;11&lt;/sup&gt;"},"properties":{"noteIndex":0},"schema":"https://github.com/citation-style-language/schema/raw/master/csl-citation.json"}</w:instrText>
            </w:r>
            <w:r w:rsidRPr="003E6BE4">
              <w:fldChar w:fldCharType="separate"/>
            </w:r>
            <w:r w:rsidR="00B23265" w:rsidRPr="00B23265">
              <w:rPr>
                <w:noProof/>
                <w:vertAlign w:val="superscript"/>
              </w:rPr>
              <w:t>12</w:t>
            </w:r>
            <w:r w:rsidRPr="003E6BE4">
              <w:fldChar w:fldCharType="end"/>
            </w:r>
          </w:p>
        </w:tc>
      </w:tr>
      <w:tr w:rsidR="00EE2EBA" w:rsidRPr="003E6BE4" w14:paraId="2FA8596E" w14:textId="77777777" w:rsidTr="00162B89">
        <w:trPr>
          <w:jc w:val="center"/>
        </w:trPr>
        <w:tc>
          <w:tcPr>
            <w:tcW w:w="3393" w:type="dxa"/>
            <w:hideMark/>
          </w:tcPr>
          <w:p w14:paraId="6460C2B1" w14:textId="3EE32D0A" w:rsidR="00EE2EBA" w:rsidRPr="003E6BE4" w:rsidRDefault="00EE2EBA" w:rsidP="00D3419A">
            <w:pPr>
              <w:spacing w:line="360" w:lineRule="auto"/>
              <w:ind w:left="360"/>
              <w:jc w:val="both"/>
              <w:rPr>
                <w:b/>
              </w:rPr>
            </w:pPr>
            <w:r w:rsidRPr="003E6BE4">
              <w:t>PVDF-BCT-BZT/</w:t>
            </w:r>
            <w:proofErr w:type="spellStart"/>
            <w:r w:rsidRPr="003E6BE4">
              <w:t>Metglass</w:t>
            </w:r>
            <w:proofErr w:type="spellEnd"/>
          </w:p>
        </w:tc>
        <w:tc>
          <w:tcPr>
            <w:tcW w:w="3172" w:type="dxa"/>
          </w:tcPr>
          <w:p w14:paraId="6F19F230" w14:textId="54C0015C" w:rsidR="00EE2EBA" w:rsidRPr="003E6BE4" w:rsidRDefault="003E6F40" w:rsidP="00D3419A">
            <w:pPr>
              <w:spacing w:line="360" w:lineRule="auto"/>
              <w:ind w:left="360"/>
              <w:jc w:val="both"/>
            </w:pPr>
            <w:r>
              <w:t>1.06/</w:t>
            </w:r>
            <w:r w:rsidR="0047277A">
              <w:t>0.74</w:t>
            </w:r>
          </w:p>
        </w:tc>
        <w:tc>
          <w:tcPr>
            <w:tcW w:w="3298" w:type="dxa"/>
          </w:tcPr>
          <w:p w14:paraId="62542E1E" w14:textId="70FF35A4" w:rsidR="00EE2EBA" w:rsidRPr="003E6BE4" w:rsidRDefault="00F10D98" w:rsidP="00D3419A">
            <w:pPr>
              <w:spacing w:line="360" w:lineRule="auto"/>
              <w:ind w:left="360"/>
              <w:jc w:val="both"/>
            </w:pPr>
            <w:r>
              <w:t>0.21</w:t>
            </w:r>
            <w:r w:rsidR="001E71D3">
              <w:t>/0.14</w:t>
            </w:r>
          </w:p>
        </w:tc>
        <w:tc>
          <w:tcPr>
            <w:tcW w:w="1512" w:type="dxa"/>
            <w:hideMark/>
          </w:tcPr>
          <w:p w14:paraId="527A0F43" w14:textId="2BECA388" w:rsidR="00EE2EBA" w:rsidRPr="003E6BE4" w:rsidRDefault="00EE2EBA" w:rsidP="00D3419A">
            <w:pPr>
              <w:spacing w:line="360" w:lineRule="auto"/>
              <w:ind w:left="360"/>
              <w:jc w:val="both"/>
            </w:pPr>
            <w:r w:rsidRPr="003E6BE4">
              <w:fldChar w:fldCharType="begin" w:fldLock="1"/>
            </w:r>
            <w:r w:rsidR="00B23265">
              <w:instrText>ADDIN CSL_CITATION {"citationItems":[{"id":"ITEM-1","itemData":{"DOI":"10.1016/j.ceramint.2024.06.115","ISSN":"02728842","abstract":"The exploration of energy harvesting encompasses a wide array of sources, with a specific focus on recovering mechanical and magnetic energy from overlooked outlets, driving current research endeavours. In this study, we developed highly flexible Magneto-Mechano-Electric (MME) harvesters by combining poly(vinylidene fluoride) (PVDF)/barium calcium zirconium titanate (BCT-BZT) composite films with metglas. The flexible piezoelectric polymer-ceramic composite films were fabricated using a solvent casting technique. The high piezoelectric BCT-BZT fillers were synthesized through a sol-gel reaction route. A thorough analysis was carried out on these composites to evaluate their structural, functional, microstructural, and dielectric properties. The composite film loaded with 20 wt% BCT-BZT filler achieved a 78 % β-phase with a significant enhancement in the dielectric properties, resulting in a high permittivity</w:instrText>
            </w:r>
            <w:r w:rsidR="00B23265">
              <w:rPr>
                <w:rFonts w:ascii="Cambria Math" w:hAnsi="Cambria Math" w:cs="Cambria Math"/>
              </w:rPr>
              <w:instrText>∼</w:instrText>
            </w:r>
            <w:r w:rsidR="00B23265">
              <w:instrText>40 and low dielectric loss. Employing these films, we engineered nanogenerators capable of converting mechanical energy into electrical energy, yielding an output voltage of 11 V. Thereafter, to harvest mechanical and stray magnetic fields, we developed a MME generator comprising a magnetic Metglas layer and PVDF-BCT-BZT composite and achieved an output voltage of 3.3 V with a power density of 85 μW/m2 when subjected to an AC magnetic field of 5 Oe. Furthermore, the MME generator has demonstrated the ability to charge various capacitors showcasing its potential for usage in self-powered, non-contact, and implantable devices.","author":[{"dropping-particle":"","family":"Pabba","given":"Durga Prasad","non-dropping-particle":"","parse-names":false,"suffix":""},{"dropping-particle":"","family":"Ram","given":"Nayak","non-dropping-particle":"","parse-names":false,"suffix":""},{"dropping-particle":"","family":"Kaarthik","given":"J.","non-dropping-particle":"","parse-names":false,"suffix":""},{"dropping-particle":"","family":"Bhaviripudi","given":"Vijayabhaskara Rao","non-dropping-particle":"","parse-names":false,"suffix":""},{"dropping-particle":"","family":"Yadav","given":"Sandeep Kumar","non-dropping-particle":"","parse-names":false,"suffix":""},{"dropping-particle":"","family":"Soosairaj","given":"Amutha","non-dropping-particle":"","parse-names":false,"suffix":""},{"dropping-particle":"","family":"Pabba","given":"Naveen Kumar","non-dropping-particle":"","parse-names":false,"suffix":""},{"dropping-particle":"","family":"Annapureddy","given":"Venkateswarlu","non-dropping-particle":"","parse-names":false,"suffix":""},{"dropping-particle":"","family":"Thirumurugan","given":"Arun","non-dropping-particle":"","parse-names":false,"suffix":""},{"dropping-particle":"","family":"Panda","given":"H. S.","non-dropping-particle":"","parse-names":false,"suffix":""},{"dropping-particle":"","family":"Aepuru","given":"Radhamanohar","non-dropping-particle":"","parse-names":false,"suffix":""}],"container-title":"Ceramics International","id":"ITEM-1","issue":"18","issued":{"date-parts":[["2024"]]},"page":"33009-33017","publisher":"Elsevier Ltd","title":"Assessing mechanical and stray magnetic field energy harvesting capabilities in lead-free PVDF/BCT-BZT composites integrated with metglas","type":"article-journal","volume":"50"},"uris":["http://www.mendeley.com/documents/?uuid=a736b0e4-5a47-4c54-aa94-7561e2ccb95d"]}],"mendeley":{"formattedCitation":"&lt;sup&gt;13&lt;/sup&gt;","plainTextFormattedCitation":"13","previouslyFormattedCitation":"&lt;sup&gt;12&lt;/sup&gt;"},"properties":{"noteIndex":0},"schema":"https://github.com/citation-style-language/schema/raw/master/csl-citation.json"}</w:instrText>
            </w:r>
            <w:r w:rsidRPr="003E6BE4">
              <w:fldChar w:fldCharType="separate"/>
            </w:r>
            <w:r w:rsidR="00B23265" w:rsidRPr="00B23265">
              <w:rPr>
                <w:noProof/>
                <w:vertAlign w:val="superscript"/>
              </w:rPr>
              <w:t>13</w:t>
            </w:r>
            <w:r w:rsidRPr="003E6BE4">
              <w:fldChar w:fldCharType="end"/>
            </w:r>
          </w:p>
        </w:tc>
      </w:tr>
      <w:tr w:rsidR="00EE2EBA" w:rsidRPr="003E6BE4" w14:paraId="796D705E" w14:textId="77777777" w:rsidTr="00162B89">
        <w:trPr>
          <w:jc w:val="center"/>
        </w:trPr>
        <w:tc>
          <w:tcPr>
            <w:tcW w:w="3393" w:type="dxa"/>
            <w:hideMark/>
          </w:tcPr>
          <w:p w14:paraId="687B8D80" w14:textId="77777777" w:rsidR="00EE2EBA" w:rsidRPr="003E6BE4" w:rsidRDefault="00EE2EBA" w:rsidP="00D3419A">
            <w:pPr>
              <w:spacing w:line="360" w:lineRule="auto"/>
              <w:ind w:left="360"/>
              <w:jc w:val="both"/>
              <w:rPr>
                <w:b/>
              </w:rPr>
            </w:pPr>
            <w:r w:rsidRPr="003E6BE4">
              <w:t xml:space="preserve">BCZT–PVDF / </w:t>
            </w:r>
            <w:proofErr w:type="spellStart"/>
            <w:r w:rsidRPr="003E6BE4">
              <w:t>Metglas</w:t>
            </w:r>
            <w:proofErr w:type="spellEnd"/>
          </w:p>
        </w:tc>
        <w:tc>
          <w:tcPr>
            <w:tcW w:w="3172" w:type="dxa"/>
          </w:tcPr>
          <w:p w14:paraId="66F05EB5" w14:textId="574B7F49" w:rsidR="00EE2EBA" w:rsidRPr="003E6BE4" w:rsidRDefault="0047277A" w:rsidP="00D3419A">
            <w:pPr>
              <w:spacing w:line="360" w:lineRule="auto"/>
              <w:ind w:left="360"/>
              <w:jc w:val="both"/>
            </w:pPr>
            <w:r>
              <w:t>4.7/4.38</w:t>
            </w:r>
          </w:p>
        </w:tc>
        <w:tc>
          <w:tcPr>
            <w:tcW w:w="3298" w:type="dxa"/>
          </w:tcPr>
          <w:p w14:paraId="57703A52" w14:textId="7302FA32" w:rsidR="00EE2EBA" w:rsidRPr="003E6BE4" w:rsidRDefault="00593883" w:rsidP="00D3419A">
            <w:pPr>
              <w:spacing w:line="360" w:lineRule="auto"/>
              <w:ind w:left="360"/>
              <w:jc w:val="both"/>
            </w:pPr>
            <w:r>
              <w:t>0.47/0.438</w:t>
            </w:r>
          </w:p>
        </w:tc>
        <w:tc>
          <w:tcPr>
            <w:tcW w:w="1512" w:type="dxa"/>
            <w:hideMark/>
          </w:tcPr>
          <w:p w14:paraId="077A49CA" w14:textId="4D3C0B73" w:rsidR="00EE2EBA" w:rsidRPr="003E6BE4" w:rsidRDefault="00EE2EBA" w:rsidP="00D3419A">
            <w:pPr>
              <w:spacing w:line="360" w:lineRule="auto"/>
              <w:ind w:left="360"/>
              <w:jc w:val="both"/>
            </w:pPr>
            <w:r w:rsidRPr="003E6BE4">
              <w:fldChar w:fldCharType="begin" w:fldLock="1"/>
            </w:r>
            <w:r w:rsidR="00B23265">
              <w:instrText>ADDIN CSL_CITATION {"citationItems":[{"id":"ITEM-1","itemData":{"DOI":"10.1007/s13391-020-00215-2","ISBN":"0123456789","ISSN":"20936788","abstract":"Abstract: The development of flexible, durable, and biocompatible multi-functional energy harvesters with exceptional power density is a challenging task for scavenging electricity from readily available energy resources to power e-healthcare monitoring devices and real smart electronics. Using flexible and biocompatible lead-free BZT-BCT single-crystal fibers, herein, we developed a magneto-mechano-electric (MME) generator with promising performance to harvest ambient magnetic energy with high robustness. Our optimized lead-free MME generator can produce an open-circuit voltage of 11 V and a short-circuit current of 62 μA with a low alternating current magnetic field of 1 mT (≡10 Oe; resonant frequency = 60 Hz). After voltage rectification, a maximum DC power density of 504 μW-cm−3 was generated by this energy harvester, which was more than two to three orders of magnitude higher than the power density generated by a previously reported lead-free BaTiO3 nano-generator (0.84 µW-cm−3)1 and was comparable to that of a hazardous lead-based PZT/Ni generator (270 μW-cm−3)2. The harvested power was large enough to light a light-emitting diode (LED). The proposed lead-free MME generator was demonstrated to scavenge ambient magnetic energy and could be potentially applied in eco-friendly self-powered systems. Graphic Abstract: [Figure not available: see fulltext.].","author":[{"dropping-particle":"","family":"Park","given":"Sung Hoon","non-dropping-particle":"","parse-names":false,"suffix":""},{"dropping-particle":"","family":"Kumar","given":"Ajeet","non-dropping-particle":"","parse-names":false,"suffix":""},{"dropping-particle":"","family":"Kaarthik","given":"J.","non-dropping-particle":"","parse-names":false,"suffix":""},{"dropping-particle":"","family":"Annapureddy","given":"Venkateswarlu","non-dropping-particle":"","parse-names":false,"suffix":""},{"dropping-particle":"","family":"Ryu","given":"Jungho","non-dropping-particle":"","parse-names":false,"suffix":""}],"container-title":"Electronic Materials Letters","id":"ITEM-1","issue":"4","issued":{"date-parts":[["2020"]]},"page":"369-375","publisher":"The Korean Institute of Metals and Materials","title":"A Magneto-Mechano-Electric Generator Based on Lead-Free Single-Crystal Fibers for Robust Scavenging of Ambient Magnetic Energy","type":"article-journal","volume":"16"},"uris":["http://www.mendeley.com/documents/?uuid=7b645e90-78a8-4b5e-96de-4b1dae01e77f"]}],"mendeley":{"formattedCitation":"&lt;sup&gt;14&lt;/sup&gt;","plainTextFormattedCitation":"14","previouslyFormattedCitation":"&lt;sup&gt;13&lt;/sup&gt;"},"properties":{"noteIndex":0},"schema":"https://github.com/citation-style-language/schema/raw/master/csl-citation.json"}</w:instrText>
            </w:r>
            <w:r w:rsidRPr="003E6BE4">
              <w:fldChar w:fldCharType="separate"/>
            </w:r>
            <w:r w:rsidR="00B23265" w:rsidRPr="00B23265">
              <w:rPr>
                <w:noProof/>
                <w:vertAlign w:val="superscript"/>
              </w:rPr>
              <w:t>14</w:t>
            </w:r>
            <w:r w:rsidRPr="003E6BE4">
              <w:fldChar w:fldCharType="end"/>
            </w:r>
          </w:p>
        </w:tc>
      </w:tr>
      <w:tr w:rsidR="00EE2EBA" w:rsidRPr="003E6BE4" w14:paraId="370FB59C" w14:textId="77777777" w:rsidTr="00162B89">
        <w:trPr>
          <w:jc w:val="center"/>
        </w:trPr>
        <w:tc>
          <w:tcPr>
            <w:tcW w:w="3393" w:type="dxa"/>
            <w:hideMark/>
          </w:tcPr>
          <w:p w14:paraId="767CC9DF" w14:textId="77777777" w:rsidR="00EE2EBA" w:rsidRPr="003E6BE4" w:rsidRDefault="00EE2EBA" w:rsidP="00D3419A">
            <w:pPr>
              <w:spacing w:line="360" w:lineRule="auto"/>
              <w:ind w:left="360"/>
              <w:jc w:val="both"/>
              <w:rPr>
                <w:b/>
              </w:rPr>
            </w:pPr>
            <w:r w:rsidRPr="003E6BE4">
              <w:t>Random / Ni</w:t>
            </w:r>
          </w:p>
        </w:tc>
        <w:tc>
          <w:tcPr>
            <w:tcW w:w="3172" w:type="dxa"/>
          </w:tcPr>
          <w:p w14:paraId="2C595671" w14:textId="4C7D8085" w:rsidR="00EE2EBA" w:rsidRPr="003E6BE4" w:rsidRDefault="00045B55" w:rsidP="00D3419A">
            <w:pPr>
              <w:spacing w:line="360" w:lineRule="auto"/>
              <w:ind w:left="360"/>
              <w:jc w:val="both"/>
            </w:pPr>
            <w:r>
              <w:t>1.031/</w:t>
            </w:r>
            <w:r w:rsidR="009907E6">
              <w:t>1.031</w:t>
            </w:r>
          </w:p>
        </w:tc>
        <w:tc>
          <w:tcPr>
            <w:tcW w:w="3298" w:type="dxa"/>
          </w:tcPr>
          <w:p w14:paraId="4D53D88A" w14:textId="08C6090F" w:rsidR="00EE2EBA" w:rsidRPr="003E6BE4" w:rsidRDefault="009C5B8D" w:rsidP="00D3419A">
            <w:pPr>
              <w:spacing w:line="360" w:lineRule="auto"/>
              <w:ind w:left="360"/>
              <w:jc w:val="both"/>
            </w:pPr>
            <w:r>
              <w:t>0.103/0.103</w:t>
            </w:r>
          </w:p>
        </w:tc>
        <w:tc>
          <w:tcPr>
            <w:tcW w:w="1512" w:type="dxa"/>
            <w:vMerge w:val="restart"/>
            <w:hideMark/>
          </w:tcPr>
          <w:p w14:paraId="24A708F7" w14:textId="77777777" w:rsidR="00EE2EBA" w:rsidRPr="003E6BE4" w:rsidRDefault="00EE2EBA" w:rsidP="00D3419A">
            <w:pPr>
              <w:spacing w:line="360" w:lineRule="auto"/>
              <w:ind w:left="360"/>
              <w:jc w:val="both"/>
            </w:pPr>
            <w:r w:rsidRPr="003E6BE4">
              <w:t>This Work</w:t>
            </w:r>
          </w:p>
        </w:tc>
      </w:tr>
      <w:tr w:rsidR="00EE2EBA" w:rsidRPr="003E6BE4" w14:paraId="717A129A" w14:textId="77777777" w:rsidTr="00162B89">
        <w:trPr>
          <w:jc w:val="center"/>
        </w:trPr>
        <w:tc>
          <w:tcPr>
            <w:tcW w:w="3393" w:type="dxa"/>
            <w:hideMark/>
          </w:tcPr>
          <w:p w14:paraId="70B6FF41" w14:textId="77777777" w:rsidR="00EE2EBA" w:rsidRPr="003E6BE4" w:rsidRDefault="00EE2EBA" w:rsidP="00D3419A">
            <w:pPr>
              <w:spacing w:line="360" w:lineRule="auto"/>
              <w:ind w:left="360"/>
              <w:jc w:val="both"/>
              <w:rPr>
                <w:b/>
              </w:rPr>
            </w:pPr>
            <w:r w:rsidRPr="003E6BE4">
              <w:t>Textured / Ni</w:t>
            </w:r>
          </w:p>
        </w:tc>
        <w:tc>
          <w:tcPr>
            <w:tcW w:w="3172" w:type="dxa"/>
          </w:tcPr>
          <w:p w14:paraId="376B5BCC" w14:textId="54E5499F" w:rsidR="00EE2EBA" w:rsidRPr="003E6BE4" w:rsidRDefault="009907E6" w:rsidP="00D3419A">
            <w:pPr>
              <w:spacing w:line="360" w:lineRule="auto"/>
              <w:ind w:left="360"/>
              <w:jc w:val="both"/>
            </w:pPr>
            <w:r>
              <w:t>705.6/705.4</w:t>
            </w:r>
          </w:p>
        </w:tc>
        <w:tc>
          <w:tcPr>
            <w:tcW w:w="3298" w:type="dxa"/>
          </w:tcPr>
          <w:p w14:paraId="141F274D" w14:textId="03921155" w:rsidR="00EE2EBA" w:rsidRPr="003E6BE4" w:rsidRDefault="009907E6" w:rsidP="00D3419A">
            <w:pPr>
              <w:spacing w:line="360" w:lineRule="auto"/>
              <w:ind w:left="360"/>
              <w:jc w:val="both"/>
            </w:pPr>
            <w:r>
              <w:t>70.55/70.33</w:t>
            </w:r>
          </w:p>
        </w:tc>
        <w:tc>
          <w:tcPr>
            <w:tcW w:w="1512" w:type="dxa"/>
            <w:vMerge/>
            <w:hideMark/>
          </w:tcPr>
          <w:p w14:paraId="0A336A1A" w14:textId="77777777" w:rsidR="00EE2EBA" w:rsidRPr="003E6BE4" w:rsidRDefault="00EE2EBA" w:rsidP="00D3419A">
            <w:pPr>
              <w:spacing w:line="360" w:lineRule="auto"/>
              <w:ind w:left="360"/>
              <w:jc w:val="both"/>
            </w:pPr>
          </w:p>
        </w:tc>
      </w:tr>
    </w:tbl>
    <w:p w14:paraId="62F7C99F" w14:textId="77777777" w:rsidR="00A2757D" w:rsidRDefault="00A2757D" w:rsidP="00D3419A">
      <w:pPr>
        <w:spacing w:line="360" w:lineRule="auto"/>
        <w:jc w:val="both"/>
      </w:pPr>
    </w:p>
    <w:p w14:paraId="0538E28F" w14:textId="77777777" w:rsidR="00A2757D" w:rsidRPr="003E6BE4" w:rsidRDefault="00A2757D" w:rsidP="00D3419A">
      <w:pPr>
        <w:spacing w:line="360" w:lineRule="auto"/>
        <w:ind w:left="360"/>
        <w:jc w:val="both"/>
      </w:pPr>
    </w:p>
    <w:p w14:paraId="0693A31B" w14:textId="15E3093B" w:rsidR="003F1003" w:rsidRPr="003E6BE4" w:rsidRDefault="003F1003" w:rsidP="00D3419A">
      <w:pPr>
        <w:spacing w:line="360" w:lineRule="auto"/>
        <w:jc w:val="both"/>
        <w:rPr>
          <w:b/>
        </w:rPr>
      </w:pPr>
      <w:r w:rsidRPr="003E6BE4">
        <w:rPr>
          <w:b/>
        </w:rPr>
        <w:t>References</w:t>
      </w:r>
    </w:p>
    <w:p w14:paraId="76051A5D" w14:textId="090FBF22" w:rsidR="00B23265" w:rsidRPr="00B23265" w:rsidRDefault="003F1003" w:rsidP="00B23265">
      <w:pPr>
        <w:widowControl w:val="0"/>
        <w:autoSpaceDE w:val="0"/>
        <w:autoSpaceDN w:val="0"/>
        <w:adjustRightInd w:val="0"/>
        <w:spacing w:line="360" w:lineRule="auto"/>
        <w:ind w:left="640" w:hanging="640"/>
        <w:rPr>
          <w:noProof/>
        </w:rPr>
      </w:pPr>
      <w:r w:rsidRPr="003E6BE4">
        <w:rPr>
          <w:b/>
        </w:rPr>
        <w:fldChar w:fldCharType="begin" w:fldLock="1"/>
      </w:r>
      <w:r w:rsidRPr="003E6BE4">
        <w:rPr>
          <w:b/>
        </w:rPr>
        <w:instrText xml:space="preserve">ADDIN Mendeley Bibliography CSL_BIBLIOGRAPHY </w:instrText>
      </w:r>
      <w:r w:rsidRPr="003E6BE4">
        <w:rPr>
          <w:b/>
        </w:rPr>
        <w:fldChar w:fldCharType="separate"/>
      </w:r>
      <w:r w:rsidR="00B23265" w:rsidRPr="00B23265">
        <w:rPr>
          <w:noProof/>
        </w:rPr>
        <w:t>(1)</w:t>
      </w:r>
      <w:r w:rsidR="00B23265" w:rsidRPr="00B23265">
        <w:rPr>
          <w:noProof/>
        </w:rPr>
        <w:tab/>
        <w:t xml:space="preserve">Wu, J.; Xiao, D.; Zhu, J. Potassium-Sodium Niobate Lead-Free Piezoelectric Materials: Past, Present, and Future of Phase Boundaries. </w:t>
      </w:r>
      <w:r w:rsidR="00B23265" w:rsidRPr="00B23265">
        <w:rPr>
          <w:i/>
          <w:iCs/>
          <w:noProof/>
        </w:rPr>
        <w:t>Chem. Rev.</w:t>
      </w:r>
      <w:r w:rsidR="00B23265" w:rsidRPr="00B23265">
        <w:rPr>
          <w:noProof/>
        </w:rPr>
        <w:t xml:space="preserve"> </w:t>
      </w:r>
      <w:r w:rsidR="00B23265" w:rsidRPr="00B23265">
        <w:rPr>
          <w:b/>
          <w:bCs/>
          <w:noProof/>
        </w:rPr>
        <w:t>2015</w:t>
      </w:r>
      <w:r w:rsidR="00B23265" w:rsidRPr="00B23265">
        <w:rPr>
          <w:noProof/>
        </w:rPr>
        <w:t xml:space="preserve">, </w:t>
      </w:r>
      <w:r w:rsidR="00B23265" w:rsidRPr="00B23265">
        <w:rPr>
          <w:i/>
          <w:iCs/>
          <w:noProof/>
        </w:rPr>
        <w:t>115</w:t>
      </w:r>
      <w:r w:rsidR="00B23265" w:rsidRPr="00B23265">
        <w:rPr>
          <w:noProof/>
        </w:rPr>
        <w:t xml:space="preserve"> (7), 2559–2595. https://doi.org/10.1021/CR5006809/ASSET/IMAGES/LARGE/CR-2014-006809_0023.JPEG.</w:t>
      </w:r>
    </w:p>
    <w:p w14:paraId="3CD14A89" w14:textId="77777777" w:rsidR="00B23265" w:rsidRPr="00B23265" w:rsidRDefault="00B23265" w:rsidP="00B23265">
      <w:pPr>
        <w:widowControl w:val="0"/>
        <w:autoSpaceDE w:val="0"/>
        <w:autoSpaceDN w:val="0"/>
        <w:adjustRightInd w:val="0"/>
        <w:spacing w:line="360" w:lineRule="auto"/>
        <w:ind w:left="640" w:hanging="640"/>
        <w:rPr>
          <w:noProof/>
        </w:rPr>
      </w:pPr>
      <w:r w:rsidRPr="00B23265">
        <w:rPr>
          <w:noProof/>
        </w:rPr>
        <w:t>(2)</w:t>
      </w:r>
      <w:r w:rsidRPr="00B23265">
        <w:rPr>
          <w:noProof/>
        </w:rPr>
        <w:tab/>
        <w:t xml:space="preserve">Lv, X.; Wu, J.; Zhang, X. X. Tuning the Covalency of A-O Bonds to Improve the Performance of KNN-Based Ceramics with Multiphase Coexistence. </w:t>
      </w:r>
      <w:r w:rsidRPr="00B23265">
        <w:rPr>
          <w:i/>
          <w:iCs/>
          <w:noProof/>
        </w:rPr>
        <w:t>ACS Appl. Mater. Interfaces</w:t>
      </w:r>
      <w:r w:rsidRPr="00B23265">
        <w:rPr>
          <w:noProof/>
        </w:rPr>
        <w:t xml:space="preserve"> </w:t>
      </w:r>
      <w:r w:rsidRPr="00B23265">
        <w:rPr>
          <w:b/>
          <w:bCs/>
          <w:noProof/>
        </w:rPr>
        <w:t>2020</w:t>
      </w:r>
      <w:r w:rsidRPr="00B23265">
        <w:rPr>
          <w:noProof/>
        </w:rPr>
        <w:t xml:space="preserve">, </w:t>
      </w:r>
      <w:r w:rsidRPr="00B23265">
        <w:rPr>
          <w:i/>
          <w:iCs/>
          <w:noProof/>
        </w:rPr>
        <w:t>12</w:t>
      </w:r>
      <w:r w:rsidRPr="00B23265">
        <w:rPr>
          <w:noProof/>
        </w:rPr>
        <w:t xml:space="preserve"> (44), 49795–49804. https://doi.org/10.1021/ACSAMI.0C14910/ASSET/IMAGES/MEDIUM/AM0C14910_M002.GIF.</w:t>
      </w:r>
    </w:p>
    <w:p w14:paraId="44254136" w14:textId="77777777" w:rsidR="00B23265" w:rsidRPr="00B23265" w:rsidRDefault="00B23265" w:rsidP="00B23265">
      <w:pPr>
        <w:widowControl w:val="0"/>
        <w:autoSpaceDE w:val="0"/>
        <w:autoSpaceDN w:val="0"/>
        <w:adjustRightInd w:val="0"/>
        <w:spacing w:line="360" w:lineRule="auto"/>
        <w:ind w:left="640" w:hanging="640"/>
        <w:rPr>
          <w:noProof/>
        </w:rPr>
      </w:pPr>
      <w:r w:rsidRPr="00B23265">
        <w:rPr>
          <w:noProof/>
        </w:rPr>
        <w:t>(3)</w:t>
      </w:r>
      <w:r w:rsidRPr="00B23265">
        <w:rPr>
          <w:noProof/>
        </w:rPr>
        <w:tab/>
        <w:t xml:space="preserve">Cheng, Y.; Xing, J.; Wu, C.; Wang, T.; Xie, L.; Liu, Y.; Xu, X.; Wang, K.; Xiao, D.; Zhu, J. Investigation of High Piezoelectric Properties of KNNSb-SrxBNZ Ceramics. </w:t>
      </w:r>
      <w:r w:rsidRPr="00B23265">
        <w:rPr>
          <w:i/>
          <w:iCs/>
          <w:noProof/>
        </w:rPr>
        <w:t>J. Alloys Compd.</w:t>
      </w:r>
      <w:r w:rsidRPr="00B23265">
        <w:rPr>
          <w:noProof/>
        </w:rPr>
        <w:t xml:space="preserve"> </w:t>
      </w:r>
      <w:r w:rsidRPr="00B23265">
        <w:rPr>
          <w:b/>
          <w:bCs/>
          <w:noProof/>
        </w:rPr>
        <w:t>2020</w:t>
      </w:r>
      <w:r w:rsidRPr="00B23265">
        <w:rPr>
          <w:noProof/>
        </w:rPr>
        <w:t xml:space="preserve">, </w:t>
      </w:r>
      <w:r w:rsidRPr="00B23265">
        <w:rPr>
          <w:i/>
          <w:iCs/>
          <w:noProof/>
        </w:rPr>
        <w:lastRenderedPageBreak/>
        <w:t>815</w:t>
      </w:r>
      <w:r w:rsidRPr="00B23265">
        <w:rPr>
          <w:noProof/>
        </w:rPr>
        <w:t>, 152252. https://doi.org/10.1016/j.jallcom.2019.152252.</w:t>
      </w:r>
    </w:p>
    <w:p w14:paraId="64438D7B" w14:textId="77777777" w:rsidR="00B23265" w:rsidRPr="00B23265" w:rsidRDefault="00B23265" w:rsidP="00B23265">
      <w:pPr>
        <w:widowControl w:val="0"/>
        <w:autoSpaceDE w:val="0"/>
        <w:autoSpaceDN w:val="0"/>
        <w:adjustRightInd w:val="0"/>
        <w:spacing w:line="360" w:lineRule="auto"/>
        <w:ind w:left="640" w:hanging="640"/>
        <w:rPr>
          <w:noProof/>
        </w:rPr>
      </w:pPr>
      <w:r w:rsidRPr="00B23265">
        <w:rPr>
          <w:noProof/>
        </w:rPr>
        <w:t>(4)</w:t>
      </w:r>
      <w:r w:rsidRPr="00B23265">
        <w:rPr>
          <w:noProof/>
        </w:rPr>
        <w:tab/>
        <w:t xml:space="preserve">Lv, X.; Zhang, N.; Wu, J.; Zhang, X. xiang. The Role of Adding Bi0.5A0.5ZrO3 in Affecting Orthorhombic-Tetragonal Phase Transition Temperature and Electrical Properties in Potassium Sodium Niobate Ceramics. </w:t>
      </w:r>
      <w:r w:rsidRPr="00B23265">
        <w:rPr>
          <w:i/>
          <w:iCs/>
          <w:noProof/>
        </w:rPr>
        <w:t>Acta Mater.</w:t>
      </w:r>
      <w:r w:rsidRPr="00B23265">
        <w:rPr>
          <w:noProof/>
        </w:rPr>
        <w:t xml:space="preserve"> </w:t>
      </w:r>
      <w:r w:rsidRPr="00B23265">
        <w:rPr>
          <w:b/>
          <w:bCs/>
          <w:noProof/>
        </w:rPr>
        <w:t>2020</w:t>
      </w:r>
      <w:r w:rsidRPr="00B23265">
        <w:rPr>
          <w:noProof/>
        </w:rPr>
        <w:t xml:space="preserve">, </w:t>
      </w:r>
      <w:r w:rsidRPr="00B23265">
        <w:rPr>
          <w:i/>
          <w:iCs/>
          <w:noProof/>
        </w:rPr>
        <w:t>197</w:t>
      </w:r>
      <w:r w:rsidRPr="00B23265">
        <w:rPr>
          <w:noProof/>
        </w:rPr>
        <w:t>, 224–234. https://doi.org/10.1016/J.ACTAMAT.2020.07.053.</w:t>
      </w:r>
    </w:p>
    <w:p w14:paraId="0E9791DC" w14:textId="77777777" w:rsidR="00B23265" w:rsidRPr="00B23265" w:rsidRDefault="00B23265" w:rsidP="00B23265">
      <w:pPr>
        <w:widowControl w:val="0"/>
        <w:autoSpaceDE w:val="0"/>
        <w:autoSpaceDN w:val="0"/>
        <w:adjustRightInd w:val="0"/>
        <w:spacing w:line="360" w:lineRule="auto"/>
        <w:ind w:left="640" w:hanging="640"/>
        <w:rPr>
          <w:noProof/>
        </w:rPr>
      </w:pPr>
      <w:r w:rsidRPr="00B23265">
        <w:rPr>
          <w:noProof/>
        </w:rPr>
        <w:t>(5)</w:t>
      </w:r>
      <w:r w:rsidRPr="00B23265">
        <w:rPr>
          <w:noProof/>
        </w:rPr>
        <w:tab/>
        <w:t xml:space="preserve">Shvartsman, V. V.; Lupascu, D. C. Lead-Free Relaxor Ferroelectrics. </w:t>
      </w:r>
      <w:r w:rsidRPr="00B23265">
        <w:rPr>
          <w:i/>
          <w:iCs/>
          <w:noProof/>
        </w:rPr>
        <w:t>J. Am. Ceram. Soc.</w:t>
      </w:r>
      <w:r w:rsidRPr="00B23265">
        <w:rPr>
          <w:noProof/>
        </w:rPr>
        <w:t xml:space="preserve"> </w:t>
      </w:r>
      <w:r w:rsidRPr="00B23265">
        <w:rPr>
          <w:b/>
          <w:bCs/>
          <w:noProof/>
        </w:rPr>
        <w:t>2012</w:t>
      </w:r>
      <w:r w:rsidRPr="00B23265">
        <w:rPr>
          <w:noProof/>
        </w:rPr>
        <w:t xml:space="preserve">, </w:t>
      </w:r>
      <w:r w:rsidRPr="00B23265">
        <w:rPr>
          <w:i/>
          <w:iCs/>
          <w:noProof/>
        </w:rPr>
        <w:t>95</w:t>
      </w:r>
      <w:r w:rsidRPr="00B23265">
        <w:rPr>
          <w:noProof/>
        </w:rPr>
        <w:t xml:space="preserve"> (1), 1–26. https://doi.org/10.1111/J.1551-2916.2011.04952.X.</w:t>
      </w:r>
    </w:p>
    <w:p w14:paraId="67C36728" w14:textId="77777777" w:rsidR="00B23265" w:rsidRPr="00B23265" w:rsidRDefault="00B23265" w:rsidP="00B23265">
      <w:pPr>
        <w:widowControl w:val="0"/>
        <w:autoSpaceDE w:val="0"/>
        <w:autoSpaceDN w:val="0"/>
        <w:adjustRightInd w:val="0"/>
        <w:spacing w:line="360" w:lineRule="auto"/>
        <w:ind w:left="640" w:hanging="640"/>
        <w:rPr>
          <w:noProof/>
        </w:rPr>
      </w:pPr>
      <w:r w:rsidRPr="00B23265">
        <w:rPr>
          <w:noProof/>
        </w:rPr>
        <w:t>(6)</w:t>
      </w:r>
      <w:r w:rsidRPr="00B23265">
        <w:rPr>
          <w:noProof/>
        </w:rPr>
        <w:tab/>
        <w:t xml:space="preserve">Wong, T. T. Performance Evaluation of Classification Algorithms by K-Fold and Leave-One-out Cross Validation. </w:t>
      </w:r>
      <w:r w:rsidRPr="00B23265">
        <w:rPr>
          <w:i/>
          <w:iCs/>
          <w:noProof/>
        </w:rPr>
        <w:t>Pattern Recognit.</w:t>
      </w:r>
      <w:r w:rsidRPr="00B23265">
        <w:rPr>
          <w:noProof/>
        </w:rPr>
        <w:t xml:space="preserve"> </w:t>
      </w:r>
      <w:r w:rsidRPr="00B23265">
        <w:rPr>
          <w:b/>
          <w:bCs/>
          <w:noProof/>
        </w:rPr>
        <w:t>2015</w:t>
      </w:r>
      <w:r w:rsidRPr="00B23265">
        <w:rPr>
          <w:noProof/>
        </w:rPr>
        <w:t xml:space="preserve">, </w:t>
      </w:r>
      <w:r w:rsidRPr="00B23265">
        <w:rPr>
          <w:i/>
          <w:iCs/>
          <w:noProof/>
        </w:rPr>
        <w:t>48</w:t>
      </w:r>
      <w:r w:rsidRPr="00B23265">
        <w:rPr>
          <w:noProof/>
        </w:rPr>
        <w:t xml:space="preserve"> (9), 2839–2846. https://doi.org/10.1016/J.PATCOG.2015.03.009.</w:t>
      </w:r>
    </w:p>
    <w:p w14:paraId="4E595940" w14:textId="77777777" w:rsidR="00B23265" w:rsidRPr="00B23265" w:rsidRDefault="00B23265" w:rsidP="00B23265">
      <w:pPr>
        <w:widowControl w:val="0"/>
        <w:autoSpaceDE w:val="0"/>
        <w:autoSpaceDN w:val="0"/>
        <w:adjustRightInd w:val="0"/>
        <w:spacing w:line="360" w:lineRule="auto"/>
        <w:ind w:left="640" w:hanging="640"/>
        <w:rPr>
          <w:noProof/>
        </w:rPr>
      </w:pPr>
      <w:r w:rsidRPr="00B23265">
        <w:rPr>
          <w:noProof/>
        </w:rPr>
        <w:t>(7)</w:t>
      </w:r>
      <w:r w:rsidRPr="00B23265">
        <w:rPr>
          <w:noProof/>
        </w:rPr>
        <w:tab/>
        <w:t xml:space="preserve">Cui, A. Y.; Yu, P. Do Language Models Have Bayesian Brains? Distinguishing Stochastic and Deterministic Decision Patterns within Large Language Models. </w:t>
      </w:r>
      <w:r w:rsidRPr="00B23265">
        <w:rPr>
          <w:b/>
          <w:bCs/>
          <w:noProof/>
        </w:rPr>
        <w:t>2025</w:t>
      </w:r>
      <w:r w:rsidRPr="00B23265">
        <w:rPr>
          <w:noProof/>
        </w:rPr>
        <w:t>.</w:t>
      </w:r>
    </w:p>
    <w:p w14:paraId="54C1BF6B" w14:textId="77777777" w:rsidR="00B23265" w:rsidRPr="00B23265" w:rsidRDefault="00B23265" w:rsidP="00B23265">
      <w:pPr>
        <w:widowControl w:val="0"/>
        <w:autoSpaceDE w:val="0"/>
        <w:autoSpaceDN w:val="0"/>
        <w:adjustRightInd w:val="0"/>
        <w:spacing w:line="360" w:lineRule="auto"/>
        <w:ind w:left="640" w:hanging="640"/>
        <w:rPr>
          <w:noProof/>
        </w:rPr>
      </w:pPr>
      <w:r w:rsidRPr="00B23265">
        <w:rPr>
          <w:noProof/>
        </w:rPr>
        <w:t>(8)</w:t>
      </w:r>
      <w:r w:rsidRPr="00B23265">
        <w:rPr>
          <w:noProof/>
        </w:rPr>
        <w:tab/>
        <w:t xml:space="preserve">Borkar, H.; Gaikwad, V. M.; Dutta, S.; Tomar, M.; Gupta, V.; Kumar, A. Lead-Free Laminated Structures for Eco-Friendly Energy Harvesters and Magnetoelectric Sensors. </w:t>
      </w:r>
      <w:r w:rsidRPr="00B23265">
        <w:rPr>
          <w:i/>
          <w:iCs/>
          <w:noProof/>
        </w:rPr>
        <w:t>J. Phys. Chem. Solids</w:t>
      </w:r>
      <w:r w:rsidRPr="00B23265">
        <w:rPr>
          <w:noProof/>
        </w:rPr>
        <w:t xml:space="preserve"> </w:t>
      </w:r>
      <w:r w:rsidRPr="00B23265">
        <w:rPr>
          <w:b/>
          <w:bCs/>
          <w:noProof/>
        </w:rPr>
        <w:t>2022</w:t>
      </w:r>
      <w:r w:rsidRPr="00B23265">
        <w:rPr>
          <w:noProof/>
        </w:rPr>
        <w:t xml:space="preserve">, </w:t>
      </w:r>
      <w:r w:rsidRPr="00B23265">
        <w:rPr>
          <w:i/>
          <w:iCs/>
          <w:noProof/>
        </w:rPr>
        <w:t>160</w:t>
      </w:r>
      <w:r w:rsidRPr="00B23265">
        <w:rPr>
          <w:noProof/>
        </w:rPr>
        <w:t xml:space="preserve"> (August 2021), 110306. https://doi.org/10.1016/j.jpcs.2021.110306.</w:t>
      </w:r>
    </w:p>
    <w:p w14:paraId="27D95D8A" w14:textId="77777777" w:rsidR="00B23265" w:rsidRPr="00B23265" w:rsidRDefault="00B23265" w:rsidP="00B23265">
      <w:pPr>
        <w:widowControl w:val="0"/>
        <w:autoSpaceDE w:val="0"/>
        <w:autoSpaceDN w:val="0"/>
        <w:adjustRightInd w:val="0"/>
        <w:spacing w:line="360" w:lineRule="auto"/>
        <w:ind w:left="640" w:hanging="640"/>
        <w:rPr>
          <w:noProof/>
        </w:rPr>
      </w:pPr>
      <w:r w:rsidRPr="00B23265">
        <w:rPr>
          <w:noProof/>
        </w:rPr>
        <w:t>(9)</w:t>
      </w:r>
      <w:r w:rsidRPr="00B23265">
        <w:rPr>
          <w:noProof/>
        </w:rPr>
        <w:tab/>
        <w:t xml:space="preserve">Patil, S. D.; Rajpure, K. Y.; Shaikh, A. M. Magnetoelectric Coupling in Metglas/BaTiO&amp;lt;Sub&amp;gt;3&amp;lt;/Sub&amp;gt;/Metglas Lead-Free Magnetoelectric Composites. </w:t>
      </w:r>
      <w:r w:rsidRPr="00B23265">
        <w:rPr>
          <w:i/>
          <w:iCs/>
          <w:noProof/>
        </w:rPr>
        <w:t>J. Mater. Sci. Chem. Eng.</w:t>
      </w:r>
      <w:r w:rsidRPr="00B23265">
        <w:rPr>
          <w:noProof/>
        </w:rPr>
        <w:t xml:space="preserve"> </w:t>
      </w:r>
      <w:r w:rsidRPr="00B23265">
        <w:rPr>
          <w:b/>
          <w:bCs/>
          <w:noProof/>
        </w:rPr>
        <w:t>2016</w:t>
      </w:r>
      <w:r w:rsidRPr="00B23265">
        <w:rPr>
          <w:noProof/>
        </w:rPr>
        <w:t xml:space="preserve">, </w:t>
      </w:r>
      <w:r w:rsidRPr="00B23265">
        <w:rPr>
          <w:i/>
          <w:iCs/>
          <w:noProof/>
        </w:rPr>
        <w:t>04</w:t>
      </w:r>
      <w:r w:rsidRPr="00B23265">
        <w:rPr>
          <w:noProof/>
        </w:rPr>
        <w:t xml:space="preserve"> (08), 1–7. https://doi.org/10.4236/msce.2016.48001.</w:t>
      </w:r>
    </w:p>
    <w:p w14:paraId="58E63FAA" w14:textId="77777777" w:rsidR="00B23265" w:rsidRPr="00B23265" w:rsidRDefault="00B23265" w:rsidP="00B23265">
      <w:pPr>
        <w:widowControl w:val="0"/>
        <w:autoSpaceDE w:val="0"/>
        <w:autoSpaceDN w:val="0"/>
        <w:adjustRightInd w:val="0"/>
        <w:spacing w:line="360" w:lineRule="auto"/>
        <w:ind w:left="640" w:hanging="640"/>
        <w:rPr>
          <w:noProof/>
        </w:rPr>
      </w:pPr>
      <w:r w:rsidRPr="00B23265">
        <w:rPr>
          <w:noProof/>
        </w:rPr>
        <w:t>(10)</w:t>
      </w:r>
      <w:r w:rsidRPr="00B23265">
        <w:rPr>
          <w:noProof/>
        </w:rPr>
        <w:tab/>
        <w:t xml:space="preserve">Ye, Y. X.; Zhou, S. H.; Zhou, Y. Dielectric and Magnetoelectric Properties of Nano-Microscale Lead-Free Composite by 0.4Co-Ferrite and 0.6(K0.5Na0.5)NbO3-Based Ferroelectric Matrix. </w:t>
      </w:r>
      <w:r w:rsidRPr="00B23265">
        <w:rPr>
          <w:i/>
          <w:iCs/>
          <w:noProof/>
        </w:rPr>
        <w:t>Appl. Mech. Mater.</w:t>
      </w:r>
      <w:r w:rsidRPr="00B23265">
        <w:rPr>
          <w:noProof/>
        </w:rPr>
        <w:t xml:space="preserve"> </w:t>
      </w:r>
      <w:r w:rsidRPr="00B23265">
        <w:rPr>
          <w:b/>
          <w:bCs/>
          <w:noProof/>
        </w:rPr>
        <w:t>2011</w:t>
      </w:r>
      <w:r w:rsidRPr="00B23265">
        <w:rPr>
          <w:noProof/>
        </w:rPr>
        <w:t xml:space="preserve">, </w:t>
      </w:r>
      <w:r w:rsidRPr="00B23265">
        <w:rPr>
          <w:i/>
          <w:iCs/>
          <w:noProof/>
        </w:rPr>
        <w:t>80</w:t>
      </w:r>
      <w:r w:rsidRPr="00B23265">
        <w:rPr>
          <w:noProof/>
        </w:rPr>
        <w:t>–</w:t>
      </w:r>
      <w:r w:rsidRPr="00B23265">
        <w:rPr>
          <w:i/>
          <w:iCs/>
          <w:noProof/>
        </w:rPr>
        <w:t>81</w:t>
      </w:r>
      <w:r w:rsidRPr="00B23265">
        <w:rPr>
          <w:noProof/>
        </w:rPr>
        <w:t>, 271–275. https://doi.org/10.4028/www.scientific.net/AMM.80-81.271.</w:t>
      </w:r>
    </w:p>
    <w:p w14:paraId="14253002" w14:textId="77777777" w:rsidR="00B23265" w:rsidRPr="00B23265" w:rsidRDefault="00B23265" w:rsidP="00B23265">
      <w:pPr>
        <w:widowControl w:val="0"/>
        <w:autoSpaceDE w:val="0"/>
        <w:autoSpaceDN w:val="0"/>
        <w:adjustRightInd w:val="0"/>
        <w:spacing w:line="360" w:lineRule="auto"/>
        <w:ind w:left="640" w:hanging="640"/>
        <w:rPr>
          <w:noProof/>
        </w:rPr>
      </w:pPr>
      <w:r w:rsidRPr="00B23265">
        <w:rPr>
          <w:noProof/>
        </w:rPr>
        <w:t>(11)</w:t>
      </w:r>
      <w:r w:rsidRPr="00B23265">
        <w:rPr>
          <w:noProof/>
        </w:rPr>
        <w:tab/>
        <w:t xml:space="preserve">Kumar, Y.; Yadav, K. L.; Shah, J.; Kotnala, R. K. Investigation of Magnetoelectric Effect in Lead Free K0.5Na0.5NbO3-BaFe12O19 Novel Composite System. </w:t>
      </w:r>
      <w:r w:rsidRPr="00B23265">
        <w:rPr>
          <w:i/>
          <w:iCs/>
          <w:noProof/>
        </w:rPr>
        <w:t>J. Adv. Ceram.</w:t>
      </w:r>
      <w:r w:rsidRPr="00B23265">
        <w:rPr>
          <w:noProof/>
        </w:rPr>
        <w:t xml:space="preserve"> </w:t>
      </w:r>
      <w:r w:rsidRPr="00B23265">
        <w:rPr>
          <w:b/>
          <w:bCs/>
          <w:noProof/>
        </w:rPr>
        <w:t>2019</w:t>
      </w:r>
      <w:r w:rsidRPr="00B23265">
        <w:rPr>
          <w:noProof/>
        </w:rPr>
        <w:t xml:space="preserve">, </w:t>
      </w:r>
      <w:r w:rsidRPr="00B23265">
        <w:rPr>
          <w:i/>
          <w:iCs/>
          <w:noProof/>
        </w:rPr>
        <w:t>8</w:t>
      </w:r>
      <w:r w:rsidRPr="00B23265">
        <w:rPr>
          <w:noProof/>
        </w:rPr>
        <w:t xml:space="preserve"> (3), 333–344. https://doi.org/10.1007/s40145-019-0315-7.</w:t>
      </w:r>
    </w:p>
    <w:p w14:paraId="71AF68A2" w14:textId="77777777" w:rsidR="00B23265" w:rsidRPr="00B23265" w:rsidRDefault="00B23265" w:rsidP="00B23265">
      <w:pPr>
        <w:widowControl w:val="0"/>
        <w:autoSpaceDE w:val="0"/>
        <w:autoSpaceDN w:val="0"/>
        <w:adjustRightInd w:val="0"/>
        <w:spacing w:line="360" w:lineRule="auto"/>
        <w:ind w:left="640" w:hanging="640"/>
        <w:rPr>
          <w:noProof/>
        </w:rPr>
      </w:pPr>
      <w:r w:rsidRPr="00B23265">
        <w:rPr>
          <w:noProof/>
        </w:rPr>
        <w:t>(12)</w:t>
      </w:r>
      <w:r w:rsidRPr="00B23265">
        <w:rPr>
          <w:noProof/>
        </w:rPr>
        <w:tab/>
        <w:t xml:space="preserve">Kaarthik, J.; Ram, N.; Aepuru, R.; Reddy, S. G.; Pabba, D. P.; Venkateswarlu, A. Robust Magnetic Energy Harvesting with Flexible Lead-Free Poly(Vinylidene Fluoride)-Ba0.85Ca0.15Ti0.9Zr0.1O3 Fibers and Metglas-Based Magnetoelectric Composites. </w:t>
      </w:r>
      <w:r w:rsidRPr="00B23265">
        <w:rPr>
          <w:i/>
          <w:iCs/>
          <w:noProof/>
        </w:rPr>
        <w:t>Sustain. Energy Fuels</w:t>
      </w:r>
      <w:r w:rsidRPr="00B23265">
        <w:rPr>
          <w:noProof/>
        </w:rPr>
        <w:t xml:space="preserve"> </w:t>
      </w:r>
      <w:r w:rsidRPr="00B23265">
        <w:rPr>
          <w:b/>
          <w:bCs/>
          <w:noProof/>
        </w:rPr>
        <w:t>2024</w:t>
      </w:r>
      <w:r w:rsidRPr="00B23265">
        <w:rPr>
          <w:noProof/>
        </w:rPr>
        <w:t xml:space="preserve">, </w:t>
      </w:r>
      <w:r w:rsidRPr="00B23265">
        <w:rPr>
          <w:i/>
          <w:iCs/>
          <w:noProof/>
        </w:rPr>
        <w:t>8</w:t>
      </w:r>
      <w:r w:rsidRPr="00B23265">
        <w:rPr>
          <w:noProof/>
        </w:rPr>
        <w:t xml:space="preserve"> (12), 2583–2592. https://doi.org/10.1039/d3se01517c.</w:t>
      </w:r>
    </w:p>
    <w:p w14:paraId="714DF99F" w14:textId="77777777" w:rsidR="00B23265" w:rsidRPr="00B23265" w:rsidRDefault="00B23265" w:rsidP="00B23265">
      <w:pPr>
        <w:widowControl w:val="0"/>
        <w:autoSpaceDE w:val="0"/>
        <w:autoSpaceDN w:val="0"/>
        <w:adjustRightInd w:val="0"/>
        <w:spacing w:line="360" w:lineRule="auto"/>
        <w:ind w:left="640" w:hanging="640"/>
        <w:rPr>
          <w:noProof/>
        </w:rPr>
      </w:pPr>
      <w:r w:rsidRPr="00B23265">
        <w:rPr>
          <w:noProof/>
        </w:rPr>
        <w:t>(13)</w:t>
      </w:r>
      <w:r w:rsidRPr="00B23265">
        <w:rPr>
          <w:noProof/>
        </w:rPr>
        <w:tab/>
        <w:t xml:space="preserve">Pabba, D. P.; Ram, N.; Kaarthik, J.; Bhaviripudi, V. R.; Yadav, S. K.; Soosairaj, A.; Pabba, N. K.; Annapureddy, V.; Thirumurugan, A.; Panda, H. S.; Aepuru, R. Assessing Mechanical and Stray Magnetic Field Energy Harvesting Capabilities in Lead-Free PVDF/BCT-BZT Composites Integrated with Metglas. </w:t>
      </w:r>
      <w:r w:rsidRPr="00B23265">
        <w:rPr>
          <w:i/>
          <w:iCs/>
          <w:noProof/>
        </w:rPr>
        <w:t>Ceram. Int.</w:t>
      </w:r>
      <w:r w:rsidRPr="00B23265">
        <w:rPr>
          <w:noProof/>
        </w:rPr>
        <w:t xml:space="preserve"> </w:t>
      </w:r>
      <w:r w:rsidRPr="00B23265">
        <w:rPr>
          <w:b/>
          <w:bCs/>
          <w:noProof/>
        </w:rPr>
        <w:t>2024</w:t>
      </w:r>
      <w:r w:rsidRPr="00B23265">
        <w:rPr>
          <w:noProof/>
        </w:rPr>
        <w:t xml:space="preserve">, </w:t>
      </w:r>
      <w:r w:rsidRPr="00B23265">
        <w:rPr>
          <w:i/>
          <w:iCs/>
          <w:noProof/>
        </w:rPr>
        <w:t>50</w:t>
      </w:r>
      <w:r w:rsidRPr="00B23265">
        <w:rPr>
          <w:noProof/>
        </w:rPr>
        <w:t xml:space="preserve"> (18), 33009–33017. https://doi.org/10.1016/j.ceramint.2024.06.115.</w:t>
      </w:r>
    </w:p>
    <w:p w14:paraId="576E42D2" w14:textId="77777777" w:rsidR="00B23265" w:rsidRPr="00B23265" w:rsidRDefault="00B23265" w:rsidP="00B23265">
      <w:pPr>
        <w:widowControl w:val="0"/>
        <w:autoSpaceDE w:val="0"/>
        <w:autoSpaceDN w:val="0"/>
        <w:adjustRightInd w:val="0"/>
        <w:spacing w:line="360" w:lineRule="auto"/>
        <w:ind w:left="640" w:hanging="640"/>
        <w:rPr>
          <w:noProof/>
        </w:rPr>
      </w:pPr>
      <w:r w:rsidRPr="00B23265">
        <w:rPr>
          <w:noProof/>
        </w:rPr>
        <w:t>(14)</w:t>
      </w:r>
      <w:r w:rsidRPr="00B23265">
        <w:rPr>
          <w:noProof/>
        </w:rPr>
        <w:tab/>
        <w:t xml:space="preserve">Park, S. H.; Kumar, A.; Kaarthik, J.; Annapureddy, V.; Ryu, J. A Magneto-Mechano-Electric Generator Based on Lead-Free Single-Crystal Fibers for Robust Scavenging of Ambient Magnetic Energy. </w:t>
      </w:r>
      <w:r w:rsidRPr="00B23265">
        <w:rPr>
          <w:i/>
          <w:iCs/>
          <w:noProof/>
        </w:rPr>
        <w:t>Electron. Mater. Lett.</w:t>
      </w:r>
      <w:r w:rsidRPr="00B23265">
        <w:rPr>
          <w:noProof/>
        </w:rPr>
        <w:t xml:space="preserve"> </w:t>
      </w:r>
      <w:r w:rsidRPr="00B23265">
        <w:rPr>
          <w:b/>
          <w:bCs/>
          <w:noProof/>
        </w:rPr>
        <w:t>2020</w:t>
      </w:r>
      <w:r w:rsidRPr="00B23265">
        <w:rPr>
          <w:noProof/>
        </w:rPr>
        <w:t xml:space="preserve">, </w:t>
      </w:r>
      <w:r w:rsidRPr="00B23265">
        <w:rPr>
          <w:i/>
          <w:iCs/>
          <w:noProof/>
        </w:rPr>
        <w:t>16</w:t>
      </w:r>
      <w:r w:rsidRPr="00B23265">
        <w:rPr>
          <w:noProof/>
        </w:rPr>
        <w:t xml:space="preserve"> (4), 369–375. https://doi.org/10.1007/s13391-020-00215-2.</w:t>
      </w:r>
    </w:p>
    <w:p w14:paraId="485150CB" w14:textId="649E5825" w:rsidR="003F1003" w:rsidRPr="003E6BE4" w:rsidRDefault="003F1003" w:rsidP="00D3419A">
      <w:pPr>
        <w:spacing w:line="360" w:lineRule="auto"/>
        <w:jc w:val="both"/>
        <w:rPr>
          <w:b/>
        </w:rPr>
      </w:pPr>
      <w:r w:rsidRPr="003E6BE4">
        <w:rPr>
          <w:b/>
        </w:rPr>
        <w:fldChar w:fldCharType="end"/>
      </w:r>
    </w:p>
    <w:p w14:paraId="558EB369" w14:textId="77777777" w:rsidR="003F1003" w:rsidRPr="003E6BE4" w:rsidRDefault="003F1003" w:rsidP="00D3419A">
      <w:pPr>
        <w:spacing w:line="360" w:lineRule="auto"/>
        <w:jc w:val="both"/>
      </w:pPr>
    </w:p>
    <w:sectPr w:rsidR="003F1003" w:rsidRPr="003E6BE4" w:rsidSect="0053007A">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821C0"/>
    <w:multiLevelType w:val="multilevel"/>
    <w:tmpl w:val="F9000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315FC8"/>
    <w:multiLevelType w:val="hybridMultilevel"/>
    <w:tmpl w:val="66066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192882"/>
    <w:multiLevelType w:val="hybridMultilevel"/>
    <w:tmpl w:val="68BC7E50"/>
    <w:lvl w:ilvl="0" w:tplc="0C7A2532">
      <w:start w:val="1"/>
      <w:numFmt w:val="lowerLetter"/>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3" w15:restartNumberingAfterBreak="0">
    <w:nsid w:val="23D00DA4"/>
    <w:multiLevelType w:val="hybridMultilevel"/>
    <w:tmpl w:val="7F74FC50"/>
    <w:lvl w:ilvl="0" w:tplc="5734FC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5B132C"/>
    <w:multiLevelType w:val="hybridMultilevel"/>
    <w:tmpl w:val="C5944466"/>
    <w:lvl w:ilvl="0" w:tplc="4EAC72C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E659E2"/>
    <w:multiLevelType w:val="hybridMultilevel"/>
    <w:tmpl w:val="8D5ED86E"/>
    <w:lvl w:ilvl="0" w:tplc="58DA17F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B159EC"/>
    <w:multiLevelType w:val="hybridMultilevel"/>
    <w:tmpl w:val="A5C28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1E39EF"/>
    <w:multiLevelType w:val="multilevel"/>
    <w:tmpl w:val="D1089B0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5DCE62AD"/>
    <w:multiLevelType w:val="hybridMultilevel"/>
    <w:tmpl w:val="16F290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903750"/>
    <w:multiLevelType w:val="multilevel"/>
    <w:tmpl w:val="6BF88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3F66380"/>
    <w:multiLevelType w:val="hybridMultilevel"/>
    <w:tmpl w:val="4B28C084"/>
    <w:lvl w:ilvl="0" w:tplc="DDCA3B16">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90420266">
    <w:abstractNumId w:val="8"/>
  </w:num>
  <w:num w:numId="2" w16cid:durableId="1754012499">
    <w:abstractNumId w:val="7"/>
  </w:num>
  <w:num w:numId="3" w16cid:durableId="1024477107">
    <w:abstractNumId w:val="2"/>
  </w:num>
  <w:num w:numId="4" w16cid:durableId="1869180751">
    <w:abstractNumId w:val="6"/>
  </w:num>
  <w:num w:numId="5" w16cid:durableId="609122312">
    <w:abstractNumId w:val="0"/>
  </w:num>
  <w:num w:numId="6" w16cid:durableId="1235512121">
    <w:abstractNumId w:val="9"/>
  </w:num>
  <w:num w:numId="7" w16cid:durableId="455566083">
    <w:abstractNumId w:val="3"/>
  </w:num>
  <w:num w:numId="8" w16cid:durableId="914778956">
    <w:abstractNumId w:val="4"/>
  </w:num>
  <w:num w:numId="9" w16cid:durableId="1598100914">
    <w:abstractNumId w:val="1"/>
  </w:num>
  <w:num w:numId="10" w16cid:durableId="1192643100">
    <w:abstractNumId w:val="10"/>
  </w:num>
  <w:num w:numId="11" w16cid:durableId="47788915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701"/>
    <w:rsid w:val="0001375C"/>
    <w:rsid w:val="0003354D"/>
    <w:rsid w:val="000349E6"/>
    <w:rsid w:val="0004045C"/>
    <w:rsid w:val="00045491"/>
    <w:rsid w:val="00045B55"/>
    <w:rsid w:val="0004789D"/>
    <w:rsid w:val="00047C92"/>
    <w:rsid w:val="00054269"/>
    <w:rsid w:val="00055AC8"/>
    <w:rsid w:val="000565B4"/>
    <w:rsid w:val="00061332"/>
    <w:rsid w:val="00061BBF"/>
    <w:rsid w:val="00087724"/>
    <w:rsid w:val="000941BB"/>
    <w:rsid w:val="00094DCD"/>
    <w:rsid w:val="0009689B"/>
    <w:rsid w:val="00096B7C"/>
    <w:rsid w:val="000A1C32"/>
    <w:rsid w:val="000A1D0F"/>
    <w:rsid w:val="000A3BA6"/>
    <w:rsid w:val="000B438F"/>
    <w:rsid w:val="000B5303"/>
    <w:rsid w:val="000B5A8E"/>
    <w:rsid w:val="000C6EDC"/>
    <w:rsid w:val="000D7AFF"/>
    <w:rsid w:val="000E53BF"/>
    <w:rsid w:val="000F5807"/>
    <w:rsid w:val="00102F6C"/>
    <w:rsid w:val="00122957"/>
    <w:rsid w:val="00125E4E"/>
    <w:rsid w:val="00135DD6"/>
    <w:rsid w:val="00143288"/>
    <w:rsid w:val="00145629"/>
    <w:rsid w:val="00153734"/>
    <w:rsid w:val="00155026"/>
    <w:rsid w:val="00162B89"/>
    <w:rsid w:val="00163087"/>
    <w:rsid w:val="00167521"/>
    <w:rsid w:val="0017024B"/>
    <w:rsid w:val="00174FC5"/>
    <w:rsid w:val="00183574"/>
    <w:rsid w:val="00185370"/>
    <w:rsid w:val="00187F02"/>
    <w:rsid w:val="00192F6B"/>
    <w:rsid w:val="001A1A17"/>
    <w:rsid w:val="001C5445"/>
    <w:rsid w:val="001C69D6"/>
    <w:rsid w:val="001C7E12"/>
    <w:rsid w:val="001D026A"/>
    <w:rsid w:val="001D1093"/>
    <w:rsid w:val="001D553E"/>
    <w:rsid w:val="001E71D3"/>
    <w:rsid w:val="001F1843"/>
    <w:rsid w:val="001F3096"/>
    <w:rsid w:val="001F423C"/>
    <w:rsid w:val="00200239"/>
    <w:rsid w:val="00201F75"/>
    <w:rsid w:val="002033E1"/>
    <w:rsid w:val="00206664"/>
    <w:rsid w:val="00213548"/>
    <w:rsid w:val="002162EE"/>
    <w:rsid w:val="00216D4B"/>
    <w:rsid w:val="00216F84"/>
    <w:rsid w:val="00231DB1"/>
    <w:rsid w:val="00241712"/>
    <w:rsid w:val="00245225"/>
    <w:rsid w:val="0024655C"/>
    <w:rsid w:val="00247C77"/>
    <w:rsid w:val="00247D3B"/>
    <w:rsid w:val="00251008"/>
    <w:rsid w:val="0025104E"/>
    <w:rsid w:val="00257949"/>
    <w:rsid w:val="00263E76"/>
    <w:rsid w:val="00264657"/>
    <w:rsid w:val="00264817"/>
    <w:rsid w:val="00270A69"/>
    <w:rsid w:val="002804F6"/>
    <w:rsid w:val="00291986"/>
    <w:rsid w:val="002932F3"/>
    <w:rsid w:val="002945CE"/>
    <w:rsid w:val="00296B1D"/>
    <w:rsid w:val="00297E16"/>
    <w:rsid w:val="002A38FC"/>
    <w:rsid w:val="002A5D2B"/>
    <w:rsid w:val="002A7C2F"/>
    <w:rsid w:val="002B404D"/>
    <w:rsid w:val="002B4961"/>
    <w:rsid w:val="002B5A12"/>
    <w:rsid w:val="002D3677"/>
    <w:rsid w:val="002D395F"/>
    <w:rsid w:val="002E4D04"/>
    <w:rsid w:val="00300735"/>
    <w:rsid w:val="0030797B"/>
    <w:rsid w:val="00315327"/>
    <w:rsid w:val="00340E1D"/>
    <w:rsid w:val="00343ED5"/>
    <w:rsid w:val="00344CE2"/>
    <w:rsid w:val="003467B0"/>
    <w:rsid w:val="003552E1"/>
    <w:rsid w:val="00360B9D"/>
    <w:rsid w:val="0036332E"/>
    <w:rsid w:val="00363C2F"/>
    <w:rsid w:val="003642D5"/>
    <w:rsid w:val="00370D7B"/>
    <w:rsid w:val="003715DA"/>
    <w:rsid w:val="00373B2D"/>
    <w:rsid w:val="00381368"/>
    <w:rsid w:val="00394657"/>
    <w:rsid w:val="00395B16"/>
    <w:rsid w:val="003A6CA8"/>
    <w:rsid w:val="003A7BA4"/>
    <w:rsid w:val="003A7DA1"/>
    <w:rsid w:val="003A7EA9"/>
    <w:rsid w:val="003B5A87"/>
    <w:rsid w:val="003B6065"/>
    <w:rsid w:val="003B68D2"/>
    <w:rsid w:val="003B7D8A"/>
    <w:rsid w:val="003D261A"/>
    <w:rsid w:val="003D512C"/>
    <w:rsid w:val="003E17BF"/>
    <w:rsid w:val="003E44E7"/>
    <w:rsid w:val="003E6BE4"/>
    <w:rsid w:val="003E6F40"/>
    <w:rsid w:val="003F1003"/>
    <w:rsid w:val="003F1D9E"/>
    <w:rsid w:val="003F3F0A"/>
    <w:rsid w:val="003F6405"/>
    <w:rsid w:val="0040219C"/>
    <w:rsid w:val="004032B4"/>
    <w:rsid w:val="00404BB1"/>
    <w:rsid w:val="0041237F"/>
    <w:rsid w:val="0042398B"/>
    <w:rsid w:val="004272AE"/>
    <w:rsid w:val="004342D3"/>
    <w:rsid w:val="0044036B"/>
    <w:rsid w:val="00447D51"/>
    <w:rsid w:val="00453009"/>
    <w:rsid w:val="00454793"/>
    <w:rsid w:val="004678E8"/>
    <w:rsid w:val="0047277A"/>
    <w:rsid w:val="00485FD6"/>
    <w:rsid w:val="00487346"/>
    <w:rsid w:val="00497E60"/>
    <w:rsid w:val="004A335A"/>
    <w:rsid w:val="004A3603"/>
    <w:rsid w:val="004A5FB6"/>
    <w:rsid w:val="004A6CF4"/>
    <w:rsid w:val="004B0417"/>
    <w:rsid w:val="004B0437"/>
    <w:rsid w:val="004B1FD5"/>
    <w:rsid w:val="004B2ACA"/>
    <w:rsid w:val="004B6A6E"/>
    <w:rsid w:val="004B76AA"/>
    <w:rsid w:val="004C0BB5"/>
    <w:rsid w:val="004C441D"/>
    <w:rsid w:val="004C4BD6"/>
    <w:rsid w:val="004C4F0D"/>
    <w:rsid w:val="004D49CA"/>
    <w:rsid w:val="004D7147"/>
    <w:rsid w:val="004E547D"/>
    <w:rsid w:val="00504BF5"/>
    <w:rsid w:val="0051680E"/>
    <w:rsid w:val="00517DBC"/>
    <w:rsid w:val="0053007A"/>
    <w:rsid w:val="005320A3"/>
    <w:rsid w:val="00534268"/>
    <w:rsid w:val="005471AC"/>
    <w:rsid w:val="005473D8"/>
    <w:rsid w:val="00550C14"/>
    <w:rsid w:val="005550CA"/>
    <w:rsid w:val="005811CA"/>
    <w:rsid w:val="00583179"/>
    <w:rsid w:val="00593883"/>
    <w:rsid w:val="00593AD1"/>
    <w:rsid w:val="005970D2"/>
    <w:rsid w:val="005B4284"/>
    <w:rsid w:val="005D02F3"/>
    <w:rsid w:val="005D6B05"/>
    <w:rsid w:val="005E00D9"/>
    <w:rsid w:val="005E0933"/>
    <w:rsid w:val="005E20BC"/>
    <w:rsid w:val="005E3312"/>
    <w:rsid w:val="005F11B4"/>
    <w:rsid w:val="005F29D1"/>
    <w:rsid w:val="006010F5"/>
    <w:rsid w:val="0060405E"/>
    <w:rsid w:val="006054BF"/>
    <w:rsid w:val="00610DEB"/>
    <w:rsid w:val="006118E6"/>
    <w:rsid w:val="00614ECA"/>
    <w:rsid w:val="00615915"/>
    <w:rsid w:val="0061648F"/>
    <w:rsid w:val="006174B0"/>
    <w:rsid w:val="0062204B"/>
    <w:rsid w:val="00622299"/>
    <w:rsid w:val="006267BA"/>
    <w:rsid w:val="00627452"/>
    <w:rsid w:val="0063165C"/>
    <w:rsid w:val="0063670F"/>
    <w:rsid w:val="00645602"/>
    <w:rsid w:val="0064691C"/>
    <w:rsid w:val="00647DA6"/>
    <w:rsid w:val="00647E35"/>
    <w:rsid w:val="00651CE4"/>
    <w:rsid w:val="00660DCA"/>
    <w:rsid w:val="00675E19"/>
    <w:rsid w:val="00676369"/>
    <w:rsid w:val="00685693"/>
    <w:rsid w:val="00685CAD"/>
    <w:rsid w:val="00687C7F"/>
    <w:rsid w:val="006951CD"/>
    <w:rsid w:val="006A1A97"/>
    <w:rsid w:val="006A2953"/>
    <w:rsid w:val="006B2D3F"/>
    <w:rsid w:val="006B4875"/>
    <w:rsid w:val="006B5942"/>
    <w:rsid w:val="006B7DB2"/>
    <w:rsid w:val="006C35F9"/>
    <w:rsid w:val="006C3ACF"/>
    <w:rsid w:val="006D0076"/>
    <w:rsid w:val="006E7A7E"/>
    <w:rsid w:val="006F1ECF"/>
    <w:rsid w:val="006F2A17"/>
    <w:rsid w:val="006F69EA"/>
    <w:rsid w:val="006F70CF"/>
    <w:rsid w:val="00700206"/>
    <w:rsid w:val="00701923"/>
    <w:rsid w:val="00702D0D"/>
    <w:rsid w:val="007128AC"/>
    <w:rsid w:val="00724D2F"/>
    <w:rsid w:val="00742074"/>
    <w:rsid w:val="007459BB"/>
    <w:rsid w:val="00747066"/>
    <w:rsid w:val="0075029B"/>
    <w:rsid w:val="00750E20"/>
    <w:rsid w:val="00751415"/>
    <w:rsid w:val="00753769"/>
    <w:rsid w:val="007676BC"/>
    <w:rsid w:val="0077011D"/>
    <w:rsid w:val="00770D95"/>
    <w:rsid w:val="007720F2"/>
    <w:rsid w:val="0078186E"/>
    <w:rsid w:val="007852F8"/>
    <w:rsid w:val="00796202"/>
    <w:rsid w:val="007A35DB"/>
    <w:rsid w:val="007A4673"/>
    <w:rsid w:val="007C0D08"/>
    <w:rsid w:val="007D5923"/>
    <w:rsid w:val="007E2AFC"/>
    <w:rsid w:val="007E3C0A"/>
    <w:rsid w:val="007E42C5"/>
    <w:rsid w:val="007F2DF2"/>
    <w:rsid w:val="007F316A"/>
    <w:rsid w:val="00802D4B"/>
    <w:rsid w:val="008166D0"/>
    <w:rsid w:val="00821504"/>
    <w:rsid w:val="00850517"/>
    <w:rsid w:val="00850C26"/>
    <w:rsid w:val="0085189A"/>
    <w:rsid w:val="00854833"/>
    <w:rsid w:val="00861FCE"/>
    <w:rsid w:val="0086793B"/>
    <w:rsid w:val="00884364"/>
    <w:rsid w:val="00886A10"/>
    <w:rsid w:val="00893898"/>
    <w:rsid w:val="008963A7"/>
    <w:rsid w:val="008A058C"/>
    <w:rsid w:val="008A47A3"/>
    <w:rsid w:val="008B19B3"/>
    <w:rsid w:val="008B4957"/>
    <w:rsid w:val="008C49B3"/>
    <w:rsid w:val="008C6F85"/>
    <w:rsid w:val="008E7F61"/>
    <w:rsid w:val="008F45D2"/>
    <w:rsid w:val="008F7055"/>
    <w:rsid w:val="008F78DB"/>
    <w:rsid w:val="008F7CEF"/>
    <w:rsid w:val="00900C77"/>
    <w:rsid w:val="009050E4"/>
    <w:rsid w:val="0091050F"/>
    <w:rsid w:val="00910555"/>
    <w:rsid w:val="00911697"/>
    <w:rsid w:val="00921836"/>
    <w:rsid w:val="00927A7D"/>
    <w:rsid w:val="009306DD"/>
    <w:rsid w:val="0093244F"/>
    <w:rsid w:val="00953685"/>
    <w:rsid w:val="009627FB"/>
    <w:rsid w:val="00970AA6"/>
    <w:rsid w:val="00982002"/>
    <w:rsid w:val="00984DC3"/>
    <w:rsid w:val="00990534"/>
    <w:rsid w:val="009907E6"/>
    <w:rsid w:val="009920B6"/>
    <w:rsid w:val="009934C7"/>
    <w:rsid w:val="009935D5"/>
    <w:rsid w:val="00994D64"/>
    <w:rsid w:val="009A328F"/>
    <w:rsid w:val="009B4C05"/>
    <w:rsid w:val="009C05D0"/>
    <w:rsid w:val="009C5B8D"/>
    <w:rsid w:val="009C77D9"/>
    <w:rsid w:val="009E2317"/>
    <w:rsid w:val="009E3802"/>
    <w:rsid w:val="009E440C"/>
    <w:rsid w:val="009F3A9F"/>
    <w:rsid w:val="009F4672"/>
    <w:rsid w:val="00A00A24"/>
    <w:rsid w:val="00A01C80"/>
    <w:rsid w:val="00A045C9"/>
    <w:rsid w:val="00A06309"/>
    <w:rsid w:val="00A12C3E"/>
    <w:rsid w:val="00A156DD"/>
    <w:rsid w:val="00A15F30"/>
    <w:rsid w:val="00A17E1B"/>
    <w:rsid w:val="00A255FC"/>
    <w:rsid w:val="00A2757D"/>
    <w:rsid w:val="00A33013"/>
    <w:rsid w:val="00A34455"/>
    <w:rsid w:val="00A365D4"/>
    <w:rsid w:val="00A401A1"/>
    <w:rsid w:val="00A40D8B"/>
    <w:rsid w:val="00A526E0"/>
    <w:rsid w:val="00A53A7A"/>
    <w:rsid w:val="00A55B4A"/>
    <w:rsid w:val="00A57AB9"/>
    <w:rsid w:val="00A57E00"/>
    <w:rsid w:val="00A6125F"/>
    <w:rsid w:val="00A73729"/>
    <w:rsid w:val="00A77B1F"/>
    <w:rsid w:val="00A851B3"/>
    <w:rsid w:val="00A859B0"/>
    <w:rsid w:val="00A900E7"/>
    <w:rsid w:val="00A907E9"/>
    <w:rsid w:val="00A913F7"/>
    <w:rsid w:val="00A956FC"/>
    <w:rsid w:val="00AA012E"/>
    <w:rsid w:val="00AA253F"/>
    <w:rsid w:val="00AA6595"/>
    <w:rsid w:val="00AB305A"/>
    <w:rsid w:val="00AB50C0"/>
    <w:rsid w:val="00AC51B4"/>
    <w:rsid w:val="00AD2816"/>
    <w:rsid w:val="00AD5D65"/>
    <w:rsid w:val="00AD5E77"/>
    <w:rsid w:val="00AD6F4B"/>
    <w:rsid w:val="00AE7E93"/>
    <w:rsid w:val="00B07FEE"/>
    <w:rsid w:val="00B14C6C"/>
    <w:rsid w:val="00B158DD"/>
    <w:rsid w:val="00B20C5B"/>
    <w:rsid w:val="00B23265"/>
    <w:rsid w:val="00B35846"/>
    <w:rsid w:val="00B44834"/>
    <w:rsid w:val="00B44A45"/>
    <w:rsid w:val="00B46750"/>
    <w:rsid w:val="00B61558"/>
    <w:rsid w:val="00B618B8"/>
    <w:rsid w:val="00B6641A"/>
    <w:rsid w:val="00B67617"/>
    <w:rsid w:val="00B72763"/>
    <w:rsid w:val="00B76564"/>
    <w:rsid w:val="00B76654"/>
    <w:rsid w:val="00B86DEB"/>
    <w:rsid w:val="00B90CE7"/>
    <w:rsid w:val="00B969D1"/>
    <w:rsid w:val="00BB0E29"/>
    <w:rsid w:val="00BB319F"/>
    <w:rsid w:val="00BB67C6"/>
    <w:rsid w:val="00BC231C"/>
    <w:rsid w:val="00BC7318"/>
    <w:rsid w:val="00BC74EE"/>
    <w:rsid w:val="00BD116E"/>
    <w:rsid w:val="00BD3FE7"/>
    <w:rsid w:val="00BD561B"/>
    <w:rsid w:val="00BD5E8B"/>
    <w:rsid w:val="00BE092A"/>
    <w:rsid w:val="00BE0BF0"/>
    <w:rsid w:val="00BE6142"/>
    <w:rsid w:val="00BE653C"/>
    <w:rsid w:val="00BE759F"/>
    <w:rsid w:val="00C069DA"/>
    <w:rsid w:val="00C10042"/>
    <w:rsid w:val="00C10D61"/>
    <w:rsid w:val="00C223A1"/>
    <w:rsid w:val="00C3022C"/>
    <w:rsid w:val="00C3232E"/>
    <w:rsid w:val="00C35A67"/>
    <w:rsid w:val="00C3635F"/>
    <w:rsid w:val="00C37E10"/>
    <w:rsid w:val="00C37E4D"/>
    <w:rsid w:val="00C431AA"/>
    <w:rsid w:val="00C51F7F"/>
    <w:rsid w:val="00C521F6"/>
    <w:rsid w:val="00C53677"/>
    <w:rsid w:val="00C64757"/>
    <w:rsid w:val="00C66B57"/>
    <w:rsid w:val="00C94F13"/>
    <w:rsid w:val="00C953A4"/>
    <w:rsid w:val="00CA1ABB"/>
    <w:rsid w:val="00CB0B9C"/>
    <w:rsid w:val="00CB3EEA"/>
    <w:rsid w:val="00CC0A92"/>
    <w:rsid w:val="00CC0C8C"/>
    <w:rsid w:val="00CC0DCC"/>
    <w:rsid w:val="00CC3781"/>
    <w:rsid w:val="00CC6D22"/>
    <w:rsid w:val="00CD26BD"/>
    <w:rsid w:val="00CD66A8"/>
    <w:rsid w:val="00CF1814"/>
    <w:rsid w:val="00CF2EF3"/>
    <w:rsid w:val="00CF4254"/>
    <w:rsid w:val="00D02AA9"/>
    <w:rsid w:val="00D06D1D"/>
    <w:rsid w:val="00D136F3"/>
    <w:rsid w:val="00D13FE0"/>
    <w:rsid w:val="00D22690"/>
    <w:rsid w:val="00D25B85"/>
    <w:rsid w:val="00D25F3D"/>
    <w:rsid w:val="00D3419A"/>
    <w:rsid w:val="00D437D2"/>
    <w:rsid w:val="00D62BC3"/>
    <w:rsid w:val="00D76D9B"/>
    <w:rsid w:val="00D80C80"/>
    <w:rsid w:val="00D83D86"/>
    <w:rsid w:val="00D908C7"/>
    <w:rsid w:val="00D96703"/>
    <w:rsid w:val="00DB4701"/>
    <w:rsid w:val="00DB6B0E"/>
    <w:rsid w:val="00DB78FE"/>
    <w:rsid w:val="00DC20DD"/>
    <w:rsid w:val="00DD233C"/>
    <w:rsid w:val="00DE0FAF"/>
    <w:rsid w:val="00DE1D62"/>
    <w:rsid w:val="00DE72A5"/>
    <w:rsid w:val="00DF2F69"/>
    <w:rsid w:val="00DF6A19"/>
    <w:rsid w:val="00DF76E5"/>
    <w:rsid w:val="00E04DF9"/>
    <w:rsid w:val="00E0730C"/>
    <w:rsid w:val="00E11485"/>
    <w:rsid w:val="00E13BBA"/>
    <w:rsid w:val="00E325BE"/>
    <w:rsid w:val="00E36C29"/>
    <w:rsid w:val="00E37F97"/>
    <w:rsid w:val="00E402A1"/>
    <w:rsid w:val="00E51B43"/>
    <w:rsid w:val="00E525FF"/>
    <w:rsid w:val="00E5631D"/>
    <w:rsid w:val="00E62182"/>
    <w:rsid w:val="00E65B63"/>
    <w:rsid w:val="00E65CEC"/>
    <w:rsid w:val="00E7382F"/>
    <w:rsid w:val="00E73B09"/>
    <w:rsid w:val="00E7504D"/>
    <w:rsid w:val="00E77BEF"/>
    <w:rsid w:val="00E83EEE"/>
    <w:rsid w:val="00E91D89"/>
    <w:rsid w:val="00E93FC6"/>
    <w:rsid w:val="00E94A52"/>
    <w:rsid w:val="00E97D7F"/>
    <w:rsid w:val="00EA3E60"/>
    <w:rsid w:val="00EB4A15"/>
    <w:rsid w:val="00EB670B"/>
    <w:rsid w:val="00EC1454"/>
    <w:rsid w:val="00ED433F"/>
    <w:rsid w:val="00ED6D94"/>
    <w:rsid w:val="00EE15C5"/>
    <w:rsid w:val="00EE274E"/>
    <w:rsid w:val="00EE275B"/>
    <w:rsid w:val="00EE2EBA"/>
    <w:rsid w:val="00EE6290"/>
    <w:rsid w:val="00EE69B2"/>
    <w:rsid w:val="00EF1439"/>
    <w:rsid w:val="00F10D98"/>
    <w:rsid w:val="00F214C4"/>
    <w:rsid w:val="00F22DAF"/>
    <w:rsid w:val="00F3201D"/>
    <w:rsid w:val="00F327AD"/>
    <w:rsid w:val="00F441E1"/>
    <w:rsid w:val="00F45795"/>
    <w:rsid w:val="00F52665"/>
    <w:rsid w:val="00F5330E"/>
    <w:rsid w:val="00F559B8"/>
    <w:rsid w:val="00F621A3"/>
    <w:rsid w:val="00F73EEE"/>
    <w:rsid w:val="00F765CC"/>
    <w:rsid w:val="00F849B6"/>
    <w:rsid w:val="00F86937"/>
    <w:rsid w:val="00F90C9B"/>
    <w:rsid w:val="00F90D23"/>
    <w:rsid w:val="00F92FEA"/>
    <w:rsid w:val="00F948C8"/>
    <w:rsid w:val="00FA065D"/>
    <w:rsid w:val="00FA18B3"/>
    <w:rsid w:val="00FA2163"/>
    <w:rsid w:val="00FA488F"/>
    <w:rsid w:val="00FC2332"/>
    <w:rsid w:val="00FC30F8"/>
    <w:rsid w:val="00FC3CB2"/>
    <w:rsid w:val="00FC7578"/>
    <w:rsid w:val="00FC775D"/>
    <w:rsid w:val="00FD158E"/>
    <w:rsid w:val="00FD6552"/>
    <w:rsid w:val="154F6995"/>
    <w:rsid w:val="27174051"/>
    <w:rsid w:val="290D5058"/>
    <w:rsid w:val="2CCD2B84"/>
    <w:rsid w:val="3079853F"/>
    <w:rsid w:val="3D344319"/>
    <w:rsid w:val="557380F8"/>
    <w:rsid w:val="59DB2823"/>
    <w:rsid w:val="5B2B1424"/>
    <w:rsid w:val="60F5F55A"/>
    <w:rsid w:val="6190A139"/>
    <w:rsid w:val="6666FD6A"/>
    <w:rsid w:val="69A47364"/>
    <w:rsid w:val="73CBF88F"/>
    <w:rsid w:val="78EFEADF"/>
    <w:rsid w:val="7A4CB3C9"/>
    <w:rsid w:val="7C0B0F9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AAA57"/>
  <w15:chartTrackingRefBased/>
  <w15:docId w15:val="{66D54095-A7DA-4521-830B-5BC8C3E24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Batang" w:hAnsiTheme="minorHAnsi" w:cstheme="minorBidi"/>
        <w:kern w:val="2"/>
        <w:sz w:val="22"/>
        <w:szCs w:val="22"/>
        <w:lang w:val="en-US" w:eastAsia="en-US" w:bidi="ar-SA"/>
        <w14:ligatures w14:val="standardContextual"/>
      </w:rPr>
    </w:rPrDefault>
    <w:pPrDefault>
      <w:pPr>
        <w:ind w:left="720" w:hanging="3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4793"/>
    <w:pPr>
      <w:ind w:left="0" w:firstLine="0"/>
      <w:jc w:val="left"/>
    </w:pPr>
    <w:rPr>
      <w:rFonts w:ascii="Times New Roman" w:eastAsia="Times New Roman" w:hAnsi="Times New Roman" w:cs="Times New Roman"/>
      <w:kern w:val="0"/>
      <w:sz w:val="24"/>
      <w:szCs w:val="24"/>
      <w:lang w:val="en-IN" w:eastAsia="en-GB"/>
      <w14:ligatures w14:val="none"/>
    </w:rPr>
  </w:style>
  <w:style w:type="paragraph" w:styleId="Heading1">
    <w:name w:val="heading 1"/>
    <w:basedOn w:val="Normal"/>
    <w:next w:val="Normal"/>
    <w:link w:val="Heading1Char"/>
    <w:uiPriority w:val="9"/>
    <w:qFormat/>
    <w:rsid w:val="00DB4701"/>
    <w:pPr>
      <w:keepNext/>
      <w:keepLines/>
      <w:spacing w:before="360" w:after="80"/>
      <w:ind w:left="720" w:hanging="360"/>
      <w:jc w:val="both"/>
      <w:outlineLvl w:val="0"/>
    </w:pPr>
    <w:rPr>
      <w:rFonts w:asciiTheme="majorHAnsi" w:eastAsiaTheme="majorEastAsia" w:hAnsiTheme="majorHAnsi" w:cstheme="majorBidi"/>
      <w:color w:val="0F4761" w:themeColor="accent1" w:themeShade="BF"/>
      <w:kern w:val="2"/>
      <w:sz w:val="40"/>
      <w:szCs w:val="40"/>
      <w:lang w:val="en-US" w:eastAsia="en-US"/>
      <w14:ligatures w14:val="standardContextual"/>
    </w:rPr>
  </w:style>
  <w:style w:type="paragraph" w:styleId="Heading2">
    <w:name w:val="heading 2"/>
    <w:basedOn w:val="Normal"/>
    <w:next w:val="Normal"/>
    <w:link w:val="Heading2Char"/>
    <w:uiPriority w:val="9"/>
    <w:semiHidden/>
    <w:unhideWhenUsed/>
    <w:qFormat/>
    <w:rsid w:val="00DB4701"/>
    <w:pPr>
      <w:keepNext/>
      <w:keepLines/>
      <w:spacing w:before="160" w:after="80"/>
      <w:ind w:left="720" w:hanging="360"/>
      <w:jc w:val="both"/>
      <w:outlineLvl w:val="1"/>
    </w:pPr>
    <w:rPr>
      <w:rFonts w:asciiTheme="majorHAnsi" w:eastAsiaTheme="majorEastAsia" w:hAnsiTheme="majorHAnsi" w:cstheme="majorBidi"/>
      <w:color w:val="0F4761" w:themeColor="accent1" w:themeShade="BF"/>
      <w:kern w:val="2"/>
      <w:sz w:val="32"/>
      <w:szCs w:val="32"/>
      <w:lang w:val="en-US" w:eastAsia="en-US"/>
      <w14:ligatures w14:val="standardContextual"/>
    </w:rPr>
  </w:style>
  <w:style w:type="paragraph" w:styleId="Heading3">
    <w:name w:val="heading 3"/>
    <w:basedOn w:val="Normal"/>
    <w:next w:val="Normal"/>
    <w:link w:val="Heading3Char"/>
    <w:uiPriority w:val="9"/>
    <w:semiHidden/>
    <w:unhideWhenUsed/>
    <w:qFormat/>
    <w:rsid w:val="00DB4701"/>
    <w:pPr>
      <w:keepNext/>
      <w:keepLines/>
      <w:spacing w:before="160" w:after="80"/>
      <w:ind w:left="720" w:hanging="360"/>
      <w:jc w:val="both"/>
      <w:outlineLvl w:val="2"/>
    </w:pPr>
    <w:rPr>
      <w:rFonts w:asciiTheme="minorHAnsi" w:eastAsiaTheme="majorEastAsia" w:hAnsiTheme="minorHAnsi" w:cstheme="majorBidi"/>
      <w:color w:val="0F4761" w:themeColor="accent1" w:themeShade="BF"/>
      <w:kern w:val="2"/>
      <w:sz w:val="28"/>
      <w:szCs w:val="28"/>
      <w:lang w:val="en-US" w:eastAsia="en-US"/>
      <w14:ligatures w14:val="standardContextual"/>
    </w:rPr>
  </w:style>
  <w:style w:type="paragraph" w:styleId="Heading4">
    <w:name w:val="heading 4"/>
    <w:basedOn w:val="Normal"/>
    <w:next w:val="Normal"/>
    <w:link w:val="Heading4Char"/>
    <w:uiPriority w:val="9"/>
    <w:semiHidden/>
    <w:unhideWhenUsed/>
    <w:qFormat/>
    <w:rsid w:val="00DB4701"/>
    <w:pPr>
      <w:keepNext/>
      <w:keepLines/>
      <w:spacing w:before="80" w:after="40"/>
      <w:ind w:left="720" w:hanging="360"/>
      <w:jc w:val="both"/>
      <w:outlineLvl w:val="3"/>
    </w:pPr>
    <w:rPr>
      <w:rFonts w:asciiTheme="minorHAnsi" w:eastAsiaTheme="majorEastAsia" w:hAnsiTheme="minorHAnsi" w:cstheme="majorBidi"/>
      <w:i/>
      <w:iCs/>
      <w:color w:val="0F4761" w:themeColor="accent1" w:themeShade="BF"/>
      <w:kern w:val="2"/>
      <w:sz w:val="22"/>
      <w:szCs w:val="22"/>
      <w:lang w:val="en-US" w:eastAsia="en-US"/>
      <w14:ligatures w14:val="standardContextual"/>
    </w:rPr>
  </w:style>
  <w:style w:type="paragraph" w:styleId="Heading5">
    <w:name w:val="heading 5"/>
    <w:basedOn w:val="Normal"/>
    <w:next w:val="Normal"/>
    <w:link w:val="Heading5Char"/>
    <w:uiPriority w:val="9"/>
    <w:semiHidden/>
    <w:unhideWhenUsed/>
    <w:qFormat/>
    <w:rsid w:val="00DB4701"/>
    <w:pPr>
      <w:keepNext/>
      <w:keepLines/>
      <w:spacing w:before="80" w:after="40"/>
      <w:ind w:left="720" w:hanging="360"/>
      <w:jc w:val="both"/>
      <w:outlineLvl w:val="4"/>
    </w:pPr>
    <w:rPr>
      <w:rFonts w:asciiTheme="minorHAnsi" w:eastAsiaTheme="majorEastAsia" w:hAnsiTheme="minorHAnsi" w:cstheme="majorBidi"/>
      <w:color w:val="0F4761" w:themeColor="accent1" w:themeShade="BF"/>
      <w:kern w:val="2"/>
      <w:sz w:val="22"/>
      <w:szCs w:val="22"/>
      <w:lang w:val="en-US" w:eastAsia="en-US"/>
      <w14:ligatures w14:val="standardContextual"/>
    </w:rPr>
  </w:style>
  <w:style w:type="paragraph" w:styleId="Heading6">
    <w:name w:val="heading 6"/>
    <w:basedOn w:val="Normal"/>
    <w:next w:val="Normal"/>
    <w:link w:val="Heading6Char"/>
    <w:uiPriority w:val="9"/>
    <w:semiHidden/>
    <w:unhideWhenUsed/>
    <w:qFormat/>
    <w:rsid w:val="00DB4701"/>
    <w:pPr>
      <w:keepNext/>
      <w:keepLines/>
      <w:spacing w:before="40"/>
      <w:ind w:left="720" w:hanging="360"/>
      <w:jc w:val="both"/>
      <w:outlineLvl w:val="5"/>
    </w:pPr>
    <w:rPr>
      <w:rFonts w:asciiTheme="minorHAnsi" w:eastAsiaTheme="majorEastAsia" w:hAnsiTheme="minorHAnsi" w:cstheme="majorBidi"/>
      <w:i/>
      <w:iCs/>
      <w:color w:val="595959" w:themeColor="text1" w:themeTint="A6"/>
      <w:kern w:val="2"/>
      <w:sz w:val="22"/>
      <w:szCs w:val="22"/>
      <w:lang w:val="en-US" w:eastAsia="en-US"/>
      <w14:ligatures w14:val="standardContextual"/>
    </w:rPr>
  </w:style>
  <w:style w:type="paragraph" w:styleId="Heading7">
    <w:name w:val="heading 7"/>
    <w:basedOn w:val="Normal"/>
    <w:next w:val="Normal"/>
    <w:link w:val="Heading7Char"/>
    <w:uiPriority w:val="9"/>
    <w:semiHidden/>
    <w:unhideWhenUsed/>
    <w:qFormat/>
    <w:rsid w:val="00DB4701"/>
    <w:pPr>
      <w:keepNext/>
      <w:keepLines/>
      <w:spacing w:before="40"/>
      <w:ind w:left="720" w:hanging="360"/>
      <w:jc w:val="both"/>
      <w:outlineLvl w:val="6"/>
    </w:pPr>
    <w:rPr>
      <w:rFonts w:asciiTheme="minorHAnsi" w:eastAsiaTheme="majorEastAsia" w:hAnsiTheme="minorHAnsi" w:cstheme="majorBidi"/>
      <w:color w:val="595959" w:themeColor="text1" w:themeTint="A6"/>
      <w:kern w:val="2"/>
      <w:sz w:val="22"/>
      <w:szCs w:val="22"/>
      <w:lang w:val="en-US" w:eastAsia="en-US"/>
      <w14:ligatures w14:val="standardContextual"/>
    </w:rPr>
  </w:style>
  <w:style w:type="paragraph" w:styleId="Heading8">
    <w:name w:val="heading 8"/>
    <w:basedOn w:val="Normal"/>
    <w:next w:val="Normal"/>
    <w:link w:val="Heading8Char"/>
    <w:uiPriority w:val="9"/>
    <w:semiHidden/>
    <w:unhideWhenUsed/>
    <w:qFormat/>
    <w:rsid w:val="00DB4701"/>
    <w:pPr>
      <w:keepNext/>
      <w:keepLines/>
      <w:ind w:left="720" w:hanging="360"/>
      <w:jc w:val="both"/>
      <w:outlineLvl w:val="7"/>
    </w:pPr>
    <w:rPr>
      <w:rFonts w:asciiTheme="minorHAnsi" w:eastAsiaTheme="majorEastAsia" w:hAnsiTheme="minorHAnsi" w:cstheme="majorBidi"/>
      <w:i/>
      <w:iCs/>
      <w:color w:val="272727" w:themeColor="text1" w:themeTint="D8"/>
      <w:kern w:val="2"/>
      <w:sz w:val="22"/>
      <w:szCs w:val="22"/>
      <w:lang w:val="en-US" w:eastAsia="en-US"/>
      <w14:ligatures w14:val="standardContextual"/>
    </w:rPr>
  </w:style>
  <w:style w:type="paragraph" w:styleId="Heading9">
    <w:name w:val="heading 9"/>
    <w:basedOn w:val="Normal"/>
    <w:next w:val="Normal"/>
    <w:link w:val="Heading9Char"/>
    <w:uiPriority w:val="9"/>
    <w:semiHidden/>
    <w:unhideWhenUsed/>
    <w:qFormat/>
    <w:rsid w:val="00DB4701"/>
    <w:pPr>
      <w:keepNext/>
      <w:keepLines/>
      <w:ind w:left="720" w:hanging="360"/>
      <w:jc w:val="both"/>
      <w:outlineLvl w:val="8"/>
    </w:pPr>
    <w:rPr>
      <w:rFonts w:asciiTheme="minorHAnsi" w:eastAsiaTheme="majorEastAsia" w:hAnsiTheme="minorHAnsi" w:cstheme="majorBidi"/>
      <w:color w:val="272727" w:themeColor="text1" w:themeTint="D8"/>
      <w:kern w:val="2"/>
      <w:sz w:val="22"/>
      <w:szCs w:val="22"/>
      <w:lang w:val="en-US"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470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B470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B470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B470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B470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B47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47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47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4701"/>
    <w:rPr>
      <w:rFonts w:eastAsiaTheme="majorEastAsia" w:cstheme="majorBidi"/>
      <w:color w:val="272727" w:themeColor="text1" w:themeTint="D8"/>
    </w:rPr>
  </w:style>
  <w:style w:type="paragraph" w:styleId="Title">
    <w:name w:val="Title"/>
    <w:basedOn w:val="Normal"/>
    <w:next w:val="Normal"/>
    <w:link w:val="TitleChar"/>
    <w:uiPriority w:val="10"/>
    <w:qFormat/>
    <w:rsid w:val="00DB4701"/>
    <w:pPr>
      <w:spacing w:after="80"/>
      <w:ind w:left="720" w:hanging="360"/>
      <w:contextualSpacing/>
      <w:jc w:val="both"/>
    </w:pPr>
    <w:rPr>
      <w:rFonts w:asciiTheme="majorHAnsi" w:eastAsiaTheme="majorEastAsia" w:hAnsiTheme="majorHAnsi" w:cstheme="majorBidi"/>
      <w:spacing w:val="-10"/>
      <w:kern w:val="28"/>
      <w:sz w:val="56"/>
      <w:szCs w:val="56"/>
      <w:lang w:val="en-US" w:eastAsia="en-US"/>
      <w14:ligatures w14:val="standardContextual"/>
    </w:rPr>
  </w:style>
  <w:style w:type="character" w:customStyle="1" w:styleId="TitleChar">
    <w:name w:val="Title Char"/>
    <w:basedOn w:val="DefaultParagraphFont"/>
    <w:link w:val="Title"/>
    <w:uiPriority w:val="10"/>
    <w:rsid w:val="00DB47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4701"/>
    <w:pPr>
      <w:numPr>
        <w:ilvl w:val="1"/>
      </w:numPr>
      <w:spacing w:after="160"/>
      <w:ind w:left="720" w:hanging="360"/>
      <w:jc w:val="both"/>
    </w:pPr>
    <w:rPr>
      <w:rFonts w:asciiTheme="minorHAnsi" w:eastAsiaTheme="majorEastAsia" w:hAnsiTheme="minorHAnsi" w:cstheme="majorBidi"/>
      <w:color w:val="595959" w:themeColor="text1" w:themeTint="A6"/>
      <w:spacing w:val="15"/>
      <w:kern w:val="2"/>
      <w:sz w:val="28"/>
      <w:szCs w:val="28"/>
      <w:lang w:val="en-US" w:eastAsia="en-US"/>
      <w14:ligatures w14:val="standardContextual"/>
    </w:rPr>
  </w:style>
  <w:style w:type="character" w:customStyle="1" w:styleId="SubtitleChar">
    <w:name w:val="Subtitle Char"/>
    <w:basedOn w:val="DefaultParagraphFont"/>
    <w:link w:val="Subtitle"/>
    <w:uiPriority w:val="11"/>
    <w:rsid w:val="00DB47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4701"/>
    <w:pPr>
      <w:spacing w:before="160" w:after="160"/>
      <w:ind w:left="720" w:hanging="360"/>
      <w:jc w:val="center"/>
    </w:pPr>
    <w:rPr>
      <w:rFonts w:asciiTheme="minorHAnsi" w:eastAsiaTheme="minorHAnsi" w:hAnsiTheme="minorHAnsi" w:cstheme="minorBidi"/>
      <w:i/>
      <w:iCs/>
      <w:color w:val="404040" w:themeColor="text1" w:themeTint="BF"/>
      <w:kern w:val="2"/>
      <w:sz w:val="22"/>
      <w:szCs w:val="22"/>
      <w:lang w:val="en-US" w:eastAsia="en-US"/>
      <w14:ligatures w14:val="standardContextual"/>
    </w:rPr>
  </w:style>
  <w:style w:type="character" w:customStyle="1" w:styleId="QuoteChar">
    <w:name w:val="Quote Char"/>
    <w:basedOn w:val="DefaultParagraphFont"/>
    <w:link w:val="Quote"/>
    <w:uiPriority w:val="29"/>
    <w:rsid w:val="00DB4701"/>
    <w:rPr>
      <w:i/>
      <w:iCs/>
      <w:color w:val="404040" w:themeColor="text1" w:themeTint="BF"/>
    </w:rPr>
  </w:style>
  <w:style w:type="paragraph" w:styleId="ListParagraph">
    <w:name w:val="List Paragraph"/>
    <w:basedOn w:val="Normal"/>
    <w:uiPriority w:val="34"/>
    <w:qFormat/>
    <w:rsid w:val="00DB4701"/>
    <w:pPr>
      <w:spacing w:after="240"/>
      <w:ind w:left="720" w:hanging="360"/>
      <w:contextualSpacing/>
      <w:jc w:val="both"/>
    </w:pPr>
    <w:rPr>
      <w:rFonts w:asciiTheme="minorHAnsi" w:eastAsiaTheme="minorHAnsi" w:hAnsiTheme="minorHAnsi" w:cstheme="minorBidi"/>
      <w:kern w:val="2"/>
      <w:sz w:val="22"/>
      <w:szCs w:val="22"/>
      <w:lang w:val="en-US" w:eastAsia="en-US"/>
      <w14:ligatures w14:val="standardContextual"/>
    </w:rPr>
  </w:style>
  <w:style w:type="character" w:styleId="IntenseEmphasis">
    <w:name w:val="Intense Emphasis"/>
    <w:basedOn w:val="DefaultParagraphFont"/>
    <w:uiPriority w:val="21"/>
    <w:qFormat/>
    <w:rsid w:val="00DB4701"/>
    <w:rPr>
      <w:i/>
      <w:iCs/>
      <w:color w:val="0F4761" w:themeColor="accent1" w:themeShade="BF"/>
    </w:rPr>
  </w:style>
  <w:style w:type="paragraph" w:styleId="IntenseQuote">
    <w:name w:val="Intense Quote"/>
    <w:basedOn w:val="Normal"/>
    <w:next w:val="Normal"/>
    <w:link w:val="IntenseQuoteChar"/>
    <w:uiPriority w:val="30"/>
    <w:qFormat/>
    <w:rsid w:val="00DB4701"/>
    <w:pPr>
      <w:pBdr>
        <w:top w:val="single" w:sz="4" w:space="10" w:color="0F4761" w:themeColor="accent1" w:themeShade="BF"/>
        <w:bottom w:val="single" w:sz="4" w:space="10" w:color="0F4761" w:themeColor="accent1" w:themeShade="BF"/>
      </w:pBdr>
      <w:spacing w:before="360" w:after="360"/>
      <w:ind w:left="864" w:right="864" w:hanging="360"/>
      <w:jc w:val="center"/>
    </w:pPr>
    <w:rPr>
      <w:rFonts w:asciiTheme="minorHAnsi" w:eastAsiaTheme="minorHAnsi" w:hAnsiTheme="minorHAnsi" w:cstheme="minorBidi"/>
      <w:i/>
      <w:iCs/>
      <w:color w:val="0F4761" w:themeColor="accent1" w:themeShade="BF"/>
      <w:kern w:val="2"/>
      <w:sz w:val="22"/>
      <w:szCs w:val="22"/>
      <w:lang w:val="en-US" w:eastAsia="en-US"/>
      <w14:ligatures w14:val="standardContextual"/>
    </w:rPr>
  </w:style>
  <w:style w:type="character" w:customStyle="1" w:styleId="IntenseQuoteChar">
    <w:name w:val="Intense Quote Char"/>
    <w:basedOn w:val="DefaultParagraphFont"/>
    <w:link w:val="IntenseQuote"/>
    <w:uiPriority w:val="30"/>
    <w:rsid w:val="00DB4701"/>
    <w:rPr>
      <w:i/>
      <w:iCs/>
      <w:color w:val="0F4761" w:themeColor="accent1" w:themeShade="BF"/>
    </w:rPr>
  </w:style>
  <w:style w:type="character" w:styleId="IntenseReference">
    <w:name w:val="Intense Reference"/>
    <w:basedOn w:val="DefaultParagraphFont"/>
    <w:uiPriority w:val="32"/>
    <w:qFormat/>
    <w:rsid w:val="00DB4701"/>
    <w:rPr>
      <w:b/>
      <w:bCs/>
      <w:smallCaps/>
      <w:color w:val="0F4761" w:themeColor="accent1" w:themeShade="BF"/>
      <w:spacing w:val="5"/>
    </w:rPr>
  </w:style>
  <w:style w:type="table" w:styleId="TableGrid">
    <w:name w:val="Table Grid"/>
    <w:basedOn w:val="TableNormal"/>
    <w:uiPriority w:val="39"/>
    <w:rsid w:val="002002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
    <w:name w:val="List Table 6 Colorful"/>
    <w:basedOn w:val="TableNormal"/>
    <w:uiPriority w:val="51"/>
    <w:rsid w:val="00200239"/>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BE0BF0"/>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AB305A"/>
    <w:pPr>
      <w:ind w:left="0" w:firstLine="0"/>
      <w:jc w:val="left"/>
    </w:pPr>
  </w:style>
  <w:style w:type="paragraph" w:styleId="NormalWeb">
    <w:name w:val="Normal (Web)"/>
    <w:basedOn w:val="Normal"/>
    <w:uiPriority w:val="99"/>
    <w:semiHidden/>
    <w:unhideWhenUsed/>
    <w:rsid w:val="00685693"/>
    <w:pPr>
      <w:spacing w:before="100" w:beforeAutospacing="1" w:after="100" w:afterAutospacing="1"/>
    </w:pPr>
    <w:rPr>
      <w:lang w:val="en-US" w:eastAsia="en-US"/>
    </w:rPr>
  </w:style>
  <w:style w:type="table" w:styleId="ListTable6Colorful-Accent1">
    <w:name w:val="List Table 6 Colorful Accent 1"/>
    <w:basedOn w:val="TableNormal"/>
    <w:uiPriority w:val="51"/>
    <w:rsid w:val="00EE2EBA"/>
    <w:rPr>
      <w:color w:val="0F4761" w:themeColor="accent1" w:themeShade="BF"/>
    </w:rPr>
    <w:tblPr>
      <w:tblStyleRowBandSize w:val="1"/>
      <w:tblStyleColBandSize w:val="1"/>
      <w:tblBorders>
        <w:top w:val="single" w:sz="4" w:space="0" w:color="156082" w:themeColor="accent1"/>
        <w:bottom w:val="single" w:sz="4" w:space="0" w:color="156082" w:themeColor="accent1"/>
      </w:tblBorders>
    </w:tblPr>
    <w:tblStylePr w:type="firstRow">
      <w:rPr>
        <w:b/>
        <w:bCs/>
      </w:rPr>
      <w:tblPr/>
      <w:tcPr>
        <w:tcBorders>
          <w:bottom w:val="single" w:sz="4" w:space="0" w:color="156082" w:themeColor="accent1"/>
        </w:tcBorders>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Caption">
    <w:name w:val="caption"/>
    <w:basedOn w:val="Normal"/>
    <w:next w:val="Normal"/>
    <w:uiPriority w:val="35"/>
    <w:unhideWhenUsed/>
    <w:qFormat/>
    <w:rsid w:val="00CB3EEA"/>
    <w:pPr>
      <w:spacing w:after="200"/>
    </w:pPr>
    <w:rPr>
      <w:i/>
      <w:iCs/>
      <w:color w:val="0E2841" w:themeColor="text2"/>
      <w:sz w:val="18"/>
      <w:szCs w:val="18"/>
    </w:rPr>
  </w:style>
  <w:style w:type="character" w:styleId="Emphasis">
    <w:name w:val="Emphasis"/>
    <w:basedOn w:val="DefaultParagraphFont"/>
    <w:uiPriority w:val="20"/>
    <w:qFormat/>
    <w:rsid w:val="00CB3EEA"/>
    <w:rPr>
      <w:i/>
      <w:iCs/>
    </w:rPr>
  </w:style>
  <w:style w:type="character" w:customStyle="1" w:styleId="apple-converted-space">
    <w:name w:val="apple-converted-space"/>
    <w:basedOn w:val="DefaultParagraphFont"/>
    <w:rsid w:val="00CB3EEA"/>
  </w:style>
  <w:style w:type="character" w:styleId="Strong">
    <w:name w:val="Strong"/>
    <w:basedOn w:val="DefaultParagraphFont"/>
    <w:uiPriority w:val="22"/>
    <w:qFormat/>
    <w:rsid w:val="00CB3EEA"/>
    <w:rPr>
      <w:b/>
      <w:bCs/>
    </w:rPr>
  </w:style>
  <w:style w:type="character" w:styleId="Hyperlink">
    <w:name w:val="Hyperlink"/>
    <w:basedOn w:val="DefaultParagraphFont"/>
    <w:uiPriority w:val="99"/>
    <w:semiHidden/>
    <w:unhideWhenUsed/>
    <w:rsid w:val="00CB3EEA"/>
    <w:rPr>
      <w:color w:val="0000FF"/>
      <w:u w:val="single"/>
    </w:rPr>
  </w:style>
  <w:style w:type="character" w:styleId="CommentReference">
    <w:name w:val="annotation reference"/>
    <w:basedOn w:val="DefaultParagraphFont"/>
    <w:uiPriority w:val="99"/>
    <w:semiHidden/>
    <w:unhideWhenUsed/>
    <w:rsid w:val="0086793B"/>
    <w:rPr>
      <w:sz w:val="16"/>
      <w:szCs w:val="16"/>
    </w:rPr>
  </w:style>
  <w:style w:type="paragraph" w:styleId="CommentText">
    <w:name w:val="annotation text"/>
    <w:basedOn w:val="Normal"/>
    <w:link w:val="CommentTextChar"/>
    <w:uiPriority w:val="99"/>
    <w:unhideWhenUsed/>
    <w:rsid w:val="0086793B"/>
    <w:rPr>
      <w:sz w:val="20"/>
      <w:szCs w:val="20"/>
    </w:rPr>
  </w:style>
  <w:style w:type="character" w:customStyle="1" w:styleId="CommentTextChar">
    <w:name w:val="Comment Text Char"/>
    <w:basedOn w:val="DefaultParagraphFont"/>
    <w:link w:val="CommentText"/>
    <w:uiPriority w:val="99"/>
    <w:rsid w:val="0086793B"/>
    <w:rPr>
      <w:rFonts w:ascii="Times New Roman" w:eastAsia="Times New Roman" w:hAnsi="Times New Roman" w:cs="Times New Roman"/>
      <w:kern w:val="0"/>
      <w:sz w:val="20"/>
      <w:szCs w:val="20"/>
      <w:lang w:val="en-IN" w:eastAsia="en-GB"/>
      <w14:ligatures w14:val="none"/>
    </w:rPr>
  </w:style>
  <w:style w:type="paragraph" w:styleId="CommentSubject">
    <w:name w:val="annotation subject"/>
    <w:basedOn w:val="CommentText"/>
    <w:next w:val="CommentText"/>
    <w:link w:val="CommentSubjectChar"/>
    <w:uiPriority w:val="99"/>
    <w:semiHidden/>
    <w:unhideWhenUsed/>
    <w:rsid w:val="0086793B"/>
    <w:rPr>
      <w:b/>
      <w:bCs/>
    </w:rPr>
  </w:style>
  <w:style w:type="character" w:customStyle="1" w:styleId="CommentSubjectChar">
    <w:name w:val="Comment Subject Char"/>
    <w:basedOn w:val="CommentTextChar"/>
    <w:link w:val="CommentSubject"/>
    <w:uiPriority w:val="99"/>
    <w:semiHidden/>
    <w:rsid w:val="0086793B"/>
    <w:rPr>
      <w:rFonts w:ascii="Times New Roman" w:eastAsia="Times New Roman" w:hAnsi="Times New Roman" w:cs="Times New Roman"/>
      <w:b/>
      <w:bCs/>
      <w:kern w:val="0"/>
      <w:sz w:val="20"/>
      <w:szCs w:val="20"/>
      <w:lang w:val="en-IN" w:eastAsia="en-GB"/>
      <w14:ligatures w14:val="none"/>
    </w:rPr>
  </w:style>
  <w:style w:type="character" w:styleId="FollowedHyperlink">
    <w:name w:val="FollowedHyperlink"/>
    <w:basedOn w:val="DefaultParagraphFont"/>
    <w:uiPriority w:val="99"/>
    <w:semiHidden/>
    <w:unhideWhenUsed/>
    <w:rsid w:val="00EE15C5"/>
    <w:rPr>
      <w:color w:val="96607D" w:themeColor="followedHyperlink"/>
      <w:u w:val="single"/>
    </w:rPr>
  </w:style>
  <w:style w:type="table" w:styleId="TableGridLight">
    <w:name w:val="Grid Table Light"/>
    <w:basedOn w:val="TableNormal"/>
    <w:uiPriority w:val="40"/>
    <w:rsid w:val="00B44A4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A900E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A900E7"/>
    <w:rPr>
      <w:rFonts w:asciiTheme="majorHAnsi" w:eastAsiaTheme="majorEastAsia" w:hAnsiTheme="majorHAnsi" w:cstheme="majorBidi"/>
      <w:kern w:val="0"/>
      <w:sz w:val="18"/>
      <w:szCs w:val="18"/>
      <w:lang w:val="en-IN"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0A493F-67EB-4E64-836F-54930151CB07}">
  <ds:schemaRefs>
    <ds:schemaRef ds:uri="http://schemas.openxmlformats.org/officeDocument/2006/bibliography"/>
  </ds:schemaRefs>
</ds:datastoreItem>
</file>

<file path=docMetadata/LabelInfo.xml><?xml version="1.0" encoding="utf-8"?>
<clbl:labelList xmlns:clbl="http://schemas.microsoft.com/office/2020/mipLabelMetadata">
  <clbl:label id="{7cf48d45-3ddb-4389-a9c1-c115526eb52e}" enabled="0" method="" siteId="{7cf48d45-3ddb-4389-a9c1-c115526eb52e}" removed="1"/>
</clbl:labelList>
</file>

<file path=docProps/app.xml><?xml version="1.0" encoding="utf-8"?>
<Properties xmlns="http://schemas.openxmlformats.org/officeDocument/2006/extended-properties" xmlns:vt="http://schemas.openxmlformats.org/officeDocument/2006/docPropsVTypes">
  <Template>Normal</Template>
  <TotalTime>1033</TotalTime>
  <Pages>18</Pages>
  <Words>8191</Words>
  <Characters>49968</Characters>
  <Application>Microsoft Office Word</Application>
  <DocSecurity>0</DocSecurity>
  <Lines>1189</Lines>
  <Paragraphs>639</Paragraphs>
  <ScaleCrop>false</ScaleCrop>
  <Company/>
  <LinksUpToDate>false</LinksUpToDate>
  <CharactersWithSpaces>57520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Nanda, Aman</dc:creator>
  <cp:keywords/>
  <dc:description/>
  <cp:lastModifiedBy>Nanda, Aman</cp:lastModifiedBy>
  <cp:revision>190</cp:revision>
  <dcterms:created xsi:type="dcterms:W3CDTF">2025-12-16T03:43:00Z</dcterms:created>
  <dcterms:modified xsi:type="dcterms:W3CDTF">2026-02-07T09:30:00Z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47a1322d-4e5f-301f-beb0-e6b220749b8c</vt:lpwstr>
  </property>
  <property fmtid="{D5CDD505-2E9C-101B-9397-08002B2CF9AE}" pid="4" name="Mendeley Citation Style_1">
    <vt:lpwstr>http://www.zotero.org/styles/acs-applied-materials-and-interfaces</vt:lpwstr>
  </property>
  <property fmtid="{D5CDD505-2E9C-101B-9397-08002B2CF9AE}" pid="5" name="Mendeley Recent Style Id 0_1">
    <vt:lpwstr>http://www.zotero.org/styles/acs-applied-materials-and-interfaces</vt:lpwstr>
  </property>
  <property fmtid="{D5CDD505-2E9C-101B-9397-08002B2CF9AE}" pid="6" name="Mendeley Recent Style Name 0_1">
    <vt:lpwstr>ACS Applied Materials &amp; Interfaces</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 11th edition</vt:lpwstr>
  </property>
  <property fmtid="{D5CDD505-2E9C-101B-9397-08002B2CF9AE}" pid="9" name="Mendeley Recent Style Id 2_1">
    <vt:lpwstr>http://www.zotero.org/styles/american-political-science-association</vt:lpwstr>
  </property>
  <property fmtid="{D5CDD505-2E9C-101B-9397-08002B2CF9AE}" pid="10" name="Mendeley Recent Style Name 2_1">
    <vt:lpwstr>American Political Science Association</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7th edition</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 6th/7th edition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18th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12th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http://www.zotero.org/styles/nature-communications</vt:lpwstr>
  </property>
  <property fmtid="{D5CDD505-2E9C-101B-9397-08002B2CF9AE}" pid="24" name="Mendeley Recent Style Name 9_1">
    <vt:lpwstr>Nature Communications</vt:lpwstr>
  </property>
</Properties>
</file>