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3578" w14:textId="77777777" w:rsidR="00417C1E" w:rsidRPr="00BD25CB" w:rsidRDefault="00417C1E" w:rsidP="00417C1E">
      <w:pPr>
        <w:adjustRightInd w:val="0"/>
        <w:snapToGrid w:val="0"/>
        <w:spacing w:line="480" w:lineRule="auto"/>
        <w:rPr>
          <w:rFonts w:ascii="Times New Roman" w:eastAsia="JansonText-Roman" w:hAnsi="Times New Roman" w:cs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0"/>
          <w:szCs w:val="20"/>
        </w:rPr>
        <w:t xml:space="preserve">Supplementary </w:t>
      </w:r>
      <w:r w:rsidRPr="00BD25CB">
        <w:rPr>
          <w:rFonts w:ascii="Times New Roman" w:eastAsia="宋体" w:hAnsi="Times New Roman" w:cs="Times New Roman"/>
          <w:b/>
          <w:color w:val="000000" w:themeColor="text1"/>
          <w:kern w:val="0"/>
          <w:sz w:val="20"/>
          <w:szCs w:val="20"/>
        </w:rPr>
        <w:t xml:space="preserve">Table 1. </w:t>
      </w:r>
      <w:r w:rsidRPr="00BD25CB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</w:rPr>
        <w:t>Demographic, clinical, and laboratory characteristics of patients with colorectal adenosquamous carcinoma (n=</w:t>
      </w:r>
      <w:r w:rsidRPr="00BD25CB">
        <w:rPr>
          <w:rFonts w:ascii="Times New Roman" w:eastAsia="宋体" w:hAnsi="Times New Roman" w:cs="Times New Roman" w:hint="eastAsia"/>
          <w:color w:val="000000" w:themeColor="text1"/>
          <w:kern w:val="0"/>
          <w:sz w:val="20"/>
          <w:szCs w:val="20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0"/>
          <w:szCs w:val="20"/>
        </w:rPr>
        <w:t>5</w:t>
      </w:r>
      <w:r w:rsidRPr="00BD25CB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</w:rPr>
        <w:t>)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5529"/>
        <w:gridCol w:w="2835"/>
      </w:tblGrid>
      <w:tr w:rsidR="00417C1E" w:rsidRPr="00BD25CB" w14:paraId="2D14DBF4" w14:textId="77777777" w:rsidTr="00A806BE">
        <w:trPr>
          <w:trHeight w:val="302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0FBC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77200A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Colorectal adenosquamous carcinoma (n=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1C43313" w14:textId="77777777" w:rsidTr="00A806BE">
        <w:trPr>
          <w:trHeight w:val="302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46DB96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Age, y, mean ± SD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62C8F4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±14.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417C1E" w:rsidRPr="00BD25CB" w14:paraId="140BCC24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8323F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Male / Female,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C8CA0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)/ 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16 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08B6FAA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337C7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BMI, kg/m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2,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mean ± SD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F97B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±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</w:tr>
      <w:tr w:rsidR="00417C1E" w:rsidRPr="00BD25CB" w14:paraId="25BD2172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47AB19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Preoperational CEA, U/ml, median (IQR)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87B857F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4.7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2.8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-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14.1</w:t>
            </w:r>
            <w:r w:rsidRPr="00BD25CB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417C1E" w:rsidRPr="00BD25CB" w14:paraId="1AFF3B0A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3B8D0C1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Preoperational CA-199, U/ml, median (IQR)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42D5ABF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28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-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150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47A27E84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C88A674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ost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operational CEA, U/ml, median (IQR)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669658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2.6 (1.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4119C180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DC71E8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Postoperational CA-199, U/ml, median (IQR)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0AB6F6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184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1D88684F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125F1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Tumor differentiation of adenocarcinoma, n (%)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(known, n=39)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94B3E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12CB81CD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66FED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Well-differentiated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086AE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 (2.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58AD685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F5EFB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Moderately differentiated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B7DEE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31FC876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49BF6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Poorly differentiated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FF89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(1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38F95CF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A4564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Tumor differentiation of squamous cell carcinoma, n (%)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(known, n=36)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4BDBB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1A2C84A4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30F2D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Well-differentiated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9F72E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38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4B57215D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954C1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Moderately differentiated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54D66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072D8DE1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7C86C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Poorly differentiated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0B6B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0E29CF5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8A197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Proportion of adenocarcinoma, median (IQR)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082E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60 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-8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08C78A7B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C5172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Proportion of squamous cell carcinoma, median (IQR)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D7894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40 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-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25751873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3373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Neoadjuvant 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che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motherapy,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AA768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13AAE2D4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7BB30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Neoadjuvant radiotherapy,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D7E3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11250D4C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C9DCF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Adjuvant chemotherapy,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EC9EB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(4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73499286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BD6AE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Pathological type of lymphatic metastasis, n (%) (known, n = 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15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7A249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55E6C123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70DDF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Adenocarcinoma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C132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(6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0A103079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47FD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Squamous cell carcinoma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27A71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 (2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1B8C8658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04955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Adenosquamous carcinoma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9FE46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 (1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.3)</w:t>
            </w:r>
          </w:p>
        </w:tc>
      </w:tr>
      <w:tr w:rsidR="00417C1E" w:rsidRPr="00BD25CB" w14:paraId="257157FA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A994F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Microsatellite instability 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s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tatus, n (%) (known, n = 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8668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31AE14ED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8E7FE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pMMR/MSS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8AA67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9.4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0396E32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583F6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dMMR/MSI-H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47998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C4F3605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553EC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Tumor 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p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rimary site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,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163D1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6E0D6D68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849A4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Right-sided colon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DDABD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(2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2194C52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B2C70" w14:textId="77777777" w:rsidR="00417C1E" w:rsidRPr="00BD25CB" w:rsidRDefault="00417C1E" w:rsidP="00A806BE">
            <w:pPr>
              <w:widowControl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Left-sided colon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48FB1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31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142B7901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1C984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Rectum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CC418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(4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7BC5B91C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DDC40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Tumor size, cm, mean ± SD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768A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5.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±2.6</w:t>
            </w:r>
          </w:p>
        </w:tc>
      </w:tr>
      <w:tr w:rsidR="00417C1E" w:rsidRPr="00BD25CB" w14:paraId="466FFE3F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B5218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Clinical T stage,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9445A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3CA01706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990A6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F215F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 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135464B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00F07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T3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D752E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48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A2F3D7E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68A54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T4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5A59C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B9B9DD2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6F33A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Clinical N stage,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DB37C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404BDD42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27234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N0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42AD5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985AE25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40970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N1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AED13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BD0E65E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69CC7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 xml:space="preserve">    N2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9683D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48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CFEDB3C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287E0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Clinical M stage,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3938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241F4407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D740D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M0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9D5E3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(6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195024E7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17CDC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M1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FE63B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(3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BF0E097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45FA0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Clinical 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T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NM stage, n (%)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54F52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17C1E" w:rsidRPr="00BD25CB" w14:paraId="42EABF95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4FEF6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5F1D0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07554DAA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49D42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BD25CB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B68F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(1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69DF2754" w14:textId="77777777" w:rsidTr="00A806BE">
        <w:trPr>
          <w:trHeight w:val="302"/>
        </w:trPr>
        <w:tc>
          <w:tcPr>
            <w:tcW w:w="5529" w:type="dxa"/>
            <w:tcBorders>
              <w:top w:val="nil"/>
              <w:left w:val="nil"/>
              <w:right w:val="nil"/>
            </w:tcBorders>
            <w:vAlign w:val="bottom"/>
          </w:tcPr>
          <w:p w14:paraId="6E9131B2" w14:textId="77777777" w:rsidR="00417C1E" w:rsidRPr="00BD25CB" w:rsidRDefault="00417C1E" w:rsidP="00A806BE">
            <w:pPr>
              <w:widowControl/>
              <w:ind w:firstLineChars="200" w:firstLine="36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Ⅲ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532C69AE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(4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17C1E" w:rsidRPr="00BD25CB" w14:paraId="5302B770" w14:textId="77777777" w:rsidTr="00A806BE">
        <w:trPr>
          <w:trHeight w:val="287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4A9AB" w14:textId="77777777" w:rsidR="00417C1E" w:rsidRPr="00BD25CB" w:rsidRDefault="00417C1E" w:rsidP="00A806B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DCB08" w14:textId="77777777" w:rsidR="00417C1E" w:rsidRPr="00BD25CB" w:rsidRDefault="00417C1E" w:rsidP="00A806B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  <w:r w:rsidRPr="00BD25CB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(3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BD25CB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</w:tbl>
    <w:p w14:paraId="2A44331C" w14:textId="77777777" w:rsidR="00417C1E" w:rsidRPr="00382641" w:rsidRDefault="00417C1E" w:rsidP="00417C1E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697079" w14:textId="77777777" w:rsidR="00417C1E" w:rsidRPr="007C75A6" w:rsidRDefault="00417C1E" w:rsidP="00417C1E">
      <w:pPr>
        <w:jc w:val="both"/>
        <w:rPr>
          <w:rFonts w:hint="eastAsia"/>
          <w:lang w:val="en-US"/>
        </w:rPr>
      </w:pPr>
    </w:p>
    <w:p w14:paraId="6B039E7F" w14:textId="77777777" w:rsidR="00417C1E" w:rsidRDefault="00417C1E"/>
    <w:sectPr w:rsidR="00417C1E" w:rsidSect="00417C1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ansonText-Roman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1E"/>
    <w:rsid w:val="00417C1E"/>
    <w:rsid w:val="00D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1C72"/>
  <w15:chartTrackingRefBased/>
  <w15:docId w15:val="{504ED0D5-4EBC-44C5-96EA-90CDBDE6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C1E"/>
    <w:pPr>
      <w:widowControl w:val="0"/>
      <w:spacing w:after="0" w:line="240" w:lineRule="auto"/>
    </w:pPr>
    <w:rPr>
      <w:lang/>
    </w:rPr>
  </w:style>
  <w:style w:type="paragraph" w:styleId="1">
    <w:name w:val="heading 1"/>
    <w:basedOn w:val="a"/>
    <w:next w:val="a"/>
    <w:link w:val="10"/>
    <w:uiPriority w:val="9"/>
    <w:qFormat/>
    <w:rsid w:val="00417C1E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C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C1E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C1E"/>
    <w:pPr>
      <w:keepNext/>
      <w:keepLines/>
      <w:spacing w:before="80" w:after="40" w:line="278" w:lineRule="auto"/>
      <w:outlineLvl w:val="3"/>
    </w:pPr>
    <w:rPr>
      <w:rFonts w:cstheme="majorBidi"/>
      <w:color w:val="2F5496" w:themeColor="accent1" w:themeShade="BF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C1E"/>
    <w:pPr>
      <w:keepNext/>
      <w:keepLines/>
      <w:spacing w:before="80" w:after="40" w:line="278" w:lineRule="auto"/>
      <w:outlineLvl w:val="4"/>
    </w:pPr>
    <w:rPr>
      <w:rFonts w:cstheme="majorBidi"/>
      <w:color w:val="2F5496" w:themeColor="accent1" w:themeShade="BF"/>
      <w:sz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C1E"/>
    <w:pPr>
      <w:keepNext/>
      <w:keepLines/>
      <w:spacing w:before="40" w:line="278" w:lineRule="auto"/>
      <w:outlineLvl w:val="5"/>
    </w:pPr>
    <w:rPr>
      <w:rFonts w:cstheme="majorBidi"/>
      <w:b/>
      <w:bCs/>
      <w:color w:val="2F5496" w:themeColor="accent1" w:themeShade="B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C1E"/>
    <w:pPr>
      <w:keepNext/>
      <w:keepLines/>
      <w:spacing w:before="40" w:line="278" w:lineRule="auto"/>
      <w:outlineLvl w:val="6"/>
    </w:pPr>
    <w:rPr>
      <w:rFonts w:cstheme="majorBidi"/>
      <w:b/>
      <w:bCs/>
      <w:color w:val="595959" w:themeColor="text1" w:themeTint="A6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C1E"/>
    <w:pPr>
      <w:keepNext/>
      <w:keepLines/>
      <w:spacing w:line="278" w:lineRule="auto"/>
      <w:outlineLvl w:val="7"/>
    </w:pPr>
    <w:rPr>
      <w:rFonts w:cstheme="majorBidi"/>
      <w:color w:val="595959" w:themeColor="text1" w:themeTint="A6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C1E"/>
    <w:pPr>
      <w:keepNext/>
      <w:keepLines/>
      <w:spacing w:line="278" w:lineRule="auto"/>
      <w:outlineLvl w:val="8"/>
    </w:pPr>
    <w:rPr>
      <w:rFonts w:eastAsiaTheme="majorEastAsia" w:cstheme="majorBidi"/>
      <w:color w:val="595959" w:themeColor="text1" w:themeTint="A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C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标题 字符"/>
    <w:basedOn w:val="a0"/>
    <w:link w:val="a3"/>
    <w:uiPriority w:val="10"/>
    <w:rsid w:val="0041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C1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6">
    <w:name w:val="副标题 字符"/>
    <w:basedOn w:val="a0"/>
    <w:link w:val="a5"/>
    <w:uiPriority w:val="11"/>
    <w:rsid w:val="00417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C1E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a8">
    <w:name w:val="引用 字符"/>
    <w:basedOn w:val="a0"/>
    <w:link w:val="a7"/>
    <w:uiPriority w:val="29"/>
    <w:rsid w:val="00417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C1E"/>
    <w:pPr>
      <w:spacing w:after="160" w:line="278" w:lineRule="auto"/>
      <w:ind w:left="720"/>
      <w:contextualSpacing/>
    </w:pPr>
    <w:rPr>
      <w:lang w:val="en-US"/>
    </w:rPr>
  </w:style>
  <w:style w:type="character" w:styleId="aa">
    <w:name w:val="Intense Emphasis"/>
    <w:basedOn w:val="a0"/>
    <w:uiPriority w:val="21"/>
    <w:qFormat/>
    <w:rsid w:val="00417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ac">
    <w:name w:val="明显引用 字符"/>
    <w:basedOn w:val="a0"/>
    <w:link w:val="ab"/>
    <w:uiPriority w:val="30"/>
    <w:rsid w:val="00417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ZhanF Gu</dc:creator>
  <cp:keywords/>
  <dc:description/>
  <cp:lastModifiedBy>ZhanF Gu</cp:lastModifiedBy>
  <cp:revision>1</cp:revision>
  <dcterms:created xsi:type="dcterms:W3CDTF">2026-02-07T13:26:00Z</dcterms:created>
  <dcterms:modified xsi:type="dcterms:W3CDTF">2026-02-07T13:26:00Z</dcterms:modified>
</cp:coreProperties>
</file>