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Style w:val="PlainTable2"/>
        <w:tblW w:w="10001" w:type="dxa"/>
        <w:tblInd w:w="-365" w:type="dxa"/>
        <w:tblLayout w:type="fixed"/>
        <w:tblLook w:val="0000" w:firstRow="0" w:lastRow="0" w:firstColumn="0" w:lastColumn="0" w:noHBand="0" w:noVBand="0"/>
      </w:tblPr>
      <w:tblGrid>
        <w:gridCol w:w="1080"/>
        <w:gridCol w:w="630"/>
        <w:gridCol w:w="7664"/>
        <w:gridCol w:w="627"/>
      </w:tblGrid>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pStyle w:val="TableHeader"/>
              <w:tabs>
                <w:tab w:val="left" w:pos="5400"/>
              </w:tabs>
              <w:jc w:val="center"/>
              <w:rPr>
                <w:bCs/>
                <w:sz w:val="20"/>
              </w:rPr>
            </w:pPr>
            <w:r w:rsidRPr="0022554A">
              <w:rPr>
                <w:bCs/>
                <w:sz w:val="20"/>
              </w:rPr>
              <w:t>Item No</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F968F7" w:rsidP="0022554A">
            <w:pPr>
              <w:pStyle w:val="TableHeader"/>
              <w:tabs>
                <w:tab w:val="left" w:pos="5400"/>
              </w:tabs>
              <w:jc w:val="center"/>
              <w:rPr>
                <w:bCs/>
                <w:sz w:val="20"/>
              </w:rPr>
            </w:pPr>
            <w:r w:rsidRPr="0022554A">
              <w:rPr>
                <w:bCs/>
                <w:sz w:val="20"/>
              </w:rPr>
              <w:t>Recommendation</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val="restart"/>
          </w:tcPr>
          <w:p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cnfStyle w:val="000001000000" w:firstRow="0" w:lastRow="0" w:firstColumn="0" w:lastColumn="0" w:oddVBand="0" w:evenVBand="1" w:oddHBand="0" w:evenHBand="0" w:firstRowFirstColumn="0" w:firstRowLastColumn="0" w:lastRowFirstColumn="0" w:lastRowLastColumn="0"/>
            <w:tcW w:w="630" w:type="dxa"/>
            <w:vMerge w:val="restart"/>
          </w:tcPr>
          <w:p w:rsidR="00F968F7" w:rsidRPr="0022554A" w:rsidRDefault="00F968F7" w:rsidP="0022554A">
            <w:pPr>
              <w:tabs>
                <w:tab w:val="left" w:pos="5400"/>
              </w:tabs>
              <w:jc w:val="center"/>
              <w:rPr>
                <w:sz w:val="20"/>
              </w:rPr>
            </w:pPr>
            <w:r w:rsidRPr="0022554A">
              <w:rPr>
                <w:sz w:val="20"/>
              </w:rPr>
              <w:t>1</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363AF1" w:rsidRDefault="00BC56F1" w:rsidP="00363AF1">
            <w:pPr>
              <w:jc w:val="both"/>
              <w:rPr>
                <w:b/>
              </w:rPr>
            </w:pPr>
            <w:r w:rsidRPr="00363AF1">
              <w:rPr>
                <w:b/>
              </w:rPr>
              <w:t xml:space="preserve">Prevalence of Campylobacter </w:t>
            </w:r>
            <w:proofErr w:type="spellStart"/>
            <w:r w:rsidRPr="00363AF1">
              <w:rPr>
                <w:b/>
              </w:rPr>
              <w:t>jejuni</w:t>
            </w:r>
            <w:proofErr w:type="spellEnd"/>
            <w:r w:rsidRPr="00363AF1">
              <w:rPr>
                <w:b/>
              </w:rPr>
              <w:t xml:space="preserve"> infection and its antimicrobial susceptibility pattern among Under-Five children with gastroenteritis in Bahir Dar, Northwest Ethiopia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363AF1" w:rsidP="0022554A">
            <w:pPr>
              <w:tabs>
                <w:tab w:val="left" w:pos="5400"/>
              </w:tabs>
              <w:rPr>
                <w:sz w:val="20"/>
              </w:rPr>
            </w:pPr>
            <w:r>
              <w:rPr>
                <w:sz w:val="20"/>
              </w:rPr>
              <w:t>1</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11" w:name="bold6" w:colFirst="0" w:colLast="0"/>
            <w:bookmarkStart w:id="12" w:name="italic7" w:colFirst="0" w:colLast="0"/>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BC56F1" w:rsidRPr="00C73729" w:rsidRDefault="00BC56F1" w:rsidP="00BC56F1">
            <w:pPr>
              <w:spacing w:before="100" w:beforeAutospacing="1" w:after="100" w:afterAutospacing="1" w:line="360" w:lineRule="auto"/>
              <w:jc w:val="both"/>
              <w:rPr>
                <w:rFonts w:ascii="Arial" w:hAnsi="Arial" w:cs="Arial"/>
                <w:b/>
                <w:szCs w:val="24"/>
              </w:rPr>
            </w:pPr>
            <w:r w:rsidRPr="00C73729">
              <w:rPr>
                <w:rFonts w:ascii="Arial" w:hAnsi="Arial" w:cs="Arial"/>
                <w:b/>
                <w:szCs w:val="24"/>
              </w:rPr>
              <w:t xml:space="preserve">Introduction: </w:t>
            </w:r>
            <w:r w:rsidRPr="00C73729">
              <w:rPr>
                <w:rFonts w:ascii="Arial" w:hAnsi="Arial" w:cs="Arial"/>
                <w:i/>
                <w:szCs w:val="24"/>
              </w:rPr>
              <w:t xml:space="preserve">Campylobacter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is the leading causes of diarrheal disease worldwide in children under </w:t>
            </w:r>
            <w:r>
              <w:rPr>
                <w:rFonts w:ascii="Arial" w:hAnsi="Arial" w:cs="Arial"/>
                <w:szCs w:val="24"/>
              </w:rPr>
              <w:t>five</w:t>
            </w:r>
            <w:r w:rsidRPr="00C73729">
              <w:rPr>
                <w:rFonts w:ascii="Arial" w:hAnsi="Arial" w:cs="Arial"/>
                <w:szCs w:val="24"/>
              </w:rPr>
              <w:t xml:space="preserve"> years of age. Epidemiological data </w:t>
            </w:r>
            <w:r>
              <w:rPr>
                <w:rFonts w:ascii="Arial" w:hAnsi="Arial" w:cs="Arial"/>
                <w:szCs w:val="24"/>
              </w:rPr>
              <w:t>about</w:t>
            </w:r>
            <w:r w:rsidRPr="00C73729">
              <w:rPr>
                <w:rFonts w:ascii="Arial" w:hAnsi="Arial" w:cs="Arial"/>
                <w:szCs w:val="24"/>
              </w:rPr>
              <w:t xml:space="preserve">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infection and drug susceptibility profile of isolates among children with symptom of gastroenteritis has a paramount importance for evidence based decision. </w:t>
            </w:r>
            <w:r>
              <w:rPr>
                <w:rFonts w:ascii="Arial" w:hAnsi="Arial" w:cs="Arial"/>
                <w:szCs w:val="24"/>
              </w:rPr>
              <w:t>However, this information is not available in the study area. Hence, this study was carried out fill this information gap.</w:t>
            </w:r>
          </w:p>
          <w:p w:rsidR="00BC56F1" w:rsidRPr="00C73729"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b/>
                <w:szCs w:val="24"/>
              </w:rPr>
              <w:t xml:space="preserve">Methods: </w:t>
            </w:r>
            <w:r w:rsidRPr="00C73729">
              <w:rPr>
                <w:rFonts w:ascii="Arial" w:hAnsi="Arial" w:cs="Arial"/>
                <w:szCs w:val="24"/>
              </w:rPr>
              <w:t>An institution based cross-sectional study was conducted among under-five children</w:t>
            </w:r>
            <w:r>
              <w:rPr>
                <w:rFonts w:ascii="Arial" w:hAnsi="Arial" w:cs="Arial"/>
                <w:szCs w:val="24"/>
              </w:rPr>
              <w:t xml:space="preserve"> (U5C)</w:t>
            </w:r>
            <w:r w:rsidRPr="00C73729">
              <w:rPr>
                <w:rFonts w:ascii="Arial" w:hAnsi="Arial" w:cs="Arial"/>
                <w:szCs w:val="24"/>
              </w:rPr>
              <w:t xml:space="preserve"> visiting </w:t>
            </w:r>
            <w:r>
              <w:rPr>
                <w:rFonts w:ascii="Arial" w:hAnsi="Arial" w:cs="Arial"/>
                <w:szCs w:val="24"/>
              </w:rPr>
              <w:t xml:space="preserve">four primary health </w:t>
            </w:r>
            <w:proofErr w:type="spellStart"/>
            <w:r>
              <w:rPr>
                <w:rFonts w:ascii="Arial" w:hAnsi="Arial" w:cs="Arial"/>
                <w:szCs w:val="24"/>
              </w:rPr>
              <w:t>centers’</w:t>
            </w:r>
            <w:proofErr w:type="spellEnd"/>
            <w:r>
              <w:rPr>
                <w:rFonts w:ascii="Arial" w:hAnsi="Arial" w:cs="Arial"/>
                <w:szCs w:val="24"/>
              </w:rPr>
              <w:t xml:space="preserve"> </w:t>
            </w:r>
            <w:proofErr w:type="spellStart"/>
            <w:r w:rsidRPr="00C73729">
              <w:rPr>
                <w:rFonts w:ascii="Arial" w:hAnsi="Arial" w:cs="Arial"/>
                <w:szCs w:val="24"/>
              </w:rPr>
              <w:t>pediatric</w:t>
            </w:r>
            <w:proofErr w:type="spellEnd"/>
            <w:r w:rsidRPr="00C73729">
              <w:rPr>
                <w:rFonts w:ascii="Arial" w:hAnsi="Arial" w:cs="Arial"/>
                <w:szCs w:val="24"/>
              </w:rPr>
              <w:t xml:space="preserve"> clinic due to acute gastroenteritis from February to May, 2019. Socio-demographic data were collected in a face to face interview using structured questionnaire. Stool specimen was collected and transported to the Bahir Dar University, Medical Microbiology Laboratory.  The specimens were inoculated on Charcoal </w:t>
            </w:r>
            <w:proofErr w:type="spellStart"/>
            <w:r w:rsidRPr="00C73729">
              <w:rPr>
                <w:rFonts w:ascii="Arial" w:hAnsi="Arial" w:cs="Arial"/>
                <w:szCs w:val="24"/>
              </w:rPr>
              <w:t>Cefoperazone</w:t>
            </w:r>
            <w:proofErr w:type="spellEnd"/>
            <w:r w:rsidRPr="00C73729">
              <w:rPr>
                <w:rFonts w:ascii="Arial" w:hAnsi="Arial" w:cs="Arial"/>
                <w:szCs w:val="24"/>
              </w:rPr>
              <w:t xml:space="preserve"> </w:t>
            </w:r>
            <w:proofErr w:type="spellStart"/>
            <w:r w:rsidRPr="00C73729">
              <w:rPr>
                <w:rFonts w:ascii="Arial" w:hAnsi="Arial" w:cs="Arial"/>
                <w:szCs w:val="24"/>
              </w:rPr>
              <w:t>Deoxycholate</w:t>
            </w:r>
            <w:proofErr w:type="spellEnd"/>
            <w:r w:rsidRPr="00C73729">
              <w:rPr>
                <w:rFonts w:ascii="Arial" w:hAnsi="Arial" w:cs="Arial"/>
                <w:szCs w:val="24"/>
              </w:rPr>
              <w:t xml:space="preserve"> Agar. Identification and antibacterial susceptibility test was performed using standard bacteriological method</w:t>
            </w:r>
            <w:r>
              <w:rPr>
                <w:rFonts w:ascii="Arial" w:hAnsi="Arial" w:cs="Arial"/>
                <w:szCs w:val="24"/>
              </w:rPr>
              <w:t>s</w:t>
            </w:r>
            <w:r w:rsidRPr="00C73729">
              <w:rPr>
                <w:rFonts w:ascii="Arial" w:hAnsi="Arial" w:cs="Arial"/>
                <w:szCs w:val="24"/>
              </w:rPr>
              <w:t xml:space="preserve">. The data were entered to </w:t>
            </w:r>
            <w:proofErr w:type="spellStart"/>
            <w:r w:rsidRPr="00C73729">
              <w:rPr>
                <w:rFonts w:ascii="Arial" w:hAnsi="Arial" w:cs="Arial"/>
                <w:szCs w:val="24"/>
              </w:rPr>
              <w:t>EpiData</w:t>
            </w:r>
            <w:proofErr w:type="spellEnd"/>
            <w:r w:rsidRPr="00C73729">
              <w:rPr>
                <w:rFonts w:ascii="Arial" w:hAnsi="Arial" w:cs="Arial"/>
                <w:szCs w:val="24"/>
              </w:rPr>
              <w:t xml:space="preserve"> 3.1 and </w:t>
            </w:r>
            <w:proofErr w:type="spellStart"/>
            <w:r w:rsidRPr="00C73729">
              <w:rPr>
                <w:rFonts w:ascii="Arial" w:hAnsi="Arial" w:cs="Arial"/>
                <w:szCs w:val="24"/>
              </w:rPr>
              <w:t>analyzed</w:t>
            </w:r>
            <w:proofErr w:type="spellEnd"/>
            <w:r w:rsidRPr="00C73729">
              <w:rPr>
                <w:rFonts w:ascii="Arial" w:hAnsi="Arial" w:cs="Arial"/>
                <w:szCs w:val="24"/>
              </w:rPr>
              <w:t xml:space="preserve"> by using SPSS version 23.</w:t>
            </w:r>
          </w:p>
          <w:p w:rsidR="00BC56F1" w:rsidRPr="00C73729"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b/>
                <w:szCs w:val="24"/>
              </w:rPr>
              <w:t xml:space="preserve">Results: </w:t>
            </w:r>
            <w:r w:rsidRPr="00C73729">
              <w:rPr>
                <w:rFonts w:ascii="Arial" w:hAnsi="Arial" w:cs="Arial"/>
                <w:szCs w:val="24"/>
              </w:rPr>
              <w:t xml:space="preserve">Among a total of 196 </w:t>
            </w:r>
            <w:r>
              <w:rPr>
                <w:rFonts w:ascii="Arial" w:hAnsi="Arial" w:cs="Arial"/>
                <w:szCs w:val="24"/>
              </w:rPr>
              <w:t>U5C</w:t>
            </w:r>
            <w:r w:rsidRPr="00C73729">
              <w:rPr>
                <w:rFonts w:ascii="Arial" w:hAnsi="Arial" w:cs="Arial"/>
                <w:szCs w:val="24"/>
              </w:rPr>
              <w:t xml:space="preserve"> with acute gastroenteritis, 39 (19.9%) were positive for </w:t>
            </w:r>
            <w:r w:rsidRPr="00C73729">
              <w:rPr>
                <w:rFonts w:ascii="Arial" w:hAnsi="Arial" w:cs="Arial"/>
                <w:i/>
                <w:szCs w:val="24"/>
              </w:rPr>
              <w:t>Campylobacter species</w:t>
            </w:r>
            <w:r w:rsidRPr="00C73729">
              <w:rPr>
                <w:rFonts w:ascii="Arial" w:hAnsi="Arial" w:cs="Arial"/>
                <w:szCs w:val="24"/>
              </w:rPr>
              <w:t xml:space="preserve">. Of these, the proportion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was 29 (14.8%). Multivariate logistic regression analysis revealed that care givers (AOR=3.76; CI=1.29, 10.98), guardians hand washing </w:t>
            </w:r>
            <w:r>
              <w:rPr>
                <w:rFonts w:ascii="Arial" w:hAnsi="Arial" w:cs="Arial"/>
                <w:szCs w:val="24"/>
              </w:rPr>
              <w:t xml:space="preserve">practice </w:t>
            </w:r>
            <w:r w:rsidRPr="00C73729">
              <w:rPr>
                <w:rFonts w:ascii="Arial" w:hAnsi="Arial" w:cs="Arial"/>
                <w:szCs w:val="24"/>
              </w:rPr>
              <w:t xml:space="preserve">before food preparation (AOR=3.63, CI=1.15, 11.46), underweight (AOR=0.18; CI=0.04, 0.88) and contact with domestic animals (AOR=4.23; CI=1.46, 12.28) demonstrated significant association with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infection. Among 29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isolates,</w:t>
            </w:r>
            <w:r w:rsidRPr="00C73729">
              <w:rPr>
                <w:rFonts w:ascii="Arial" w:hAnsi="Arial" w:cs="Arial"/>
                <w:i/>
                <w:szCs w:val="24"/>
              </w:rPr>
              <w:t xml:space="preserve"> </w:t>
            </w:r>
            <w:r w:rsidRPr="00C73729">
              <w:rPr>
                <w:rFonts w:ascii="Arial" w:hAnsi="Arial" w:cs="Arial"/>
                <w:szCs w:val="24"/>
              </w:rPr>
              <w:t xml:space="preserve">24 (82.8%), 24 (82.8%) and 18 (62.1%) were resistant for tetracycline, </w:t>
            </w:r>
            <w:proofErr w:type="spellStart"/>
            <w:r w:rsidRPr="00C73729">
              <w:rPr>
                <w:rFonts w:ascii="Arial" w:hAnsi="Arial" w:cs="Arial"/>
                <w:szCs w:val="24"/>
              </w:rPr>
              <w:t>cefoxitin</w:t>
            </w:r>
            <w:r>
              <w:rPr>
                <w:rFonts w:ascii="Arial" w:hAnsi="Arial" w:cs="Arial"/>
                <w:szCs w:val="24"/>
              </w:rPr>
              <w:t>e</w:t>
            </w:r>
            <w:proofErr w:type="spellEnd"/>
            <w:r w:rsidRPr="00C73729">
              <w:rPr>
                <w:rFonts w:ascii="Arial" w:hAnsi="Arial" w:cs="Arial"/>
                <w:szCs w:val="24"/>
              </w:rPr>
              <w:t xml:space="preserve"> and erythromycin, respectively. </w:t>
            </w:r>
          </w:p>
          <w:p w:rsidR="00F968F7" w:rsidRPr="00BC56F1"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b/>
                <w:color w:val="000000"/>
                <w:szCs w:val="24"/>
              </w:rPr>
              <w:lastRenderedPageBreak/>
              <w:t xml:space="preserve">Conclusions: </w:t>
            </w:r>
            <w:r w:rsidRPr="00C73729">
              <w:rPr>
                <w:rFonts w:ascii="Arial" w:hAnsi="Arial" w:cs="Arial"/>
                <w:color w:val="000000"/>
                <w:szCs w:val="24"/>
              </w:rPr>
              <w:t xml:space="preserve">The proportion of </w:t>
            </w:r>
            <w:r w:rsidRPr="00C73729">
              <w:rPr>
                <w:rFonts w:ascii="Arial" w:hAnsi="Arial" w:cs="Arial"/>
                <w:i/>
                <w:color w:val="000000"/>
                <w:szCs w:val="24"/>
              </w:rPr>
              <w:t xml:space="preserve">C. </w:t>
            </w:r>
            <w:proofErr w:type="spellStart"/>
            <w:r w:rsidRPr="00C73729">
              <w:rPr>
                <w:rFonts w:ascii="Arial" w:hAnsi="Arial" w:cs="Arial"/>
                <w:i/>
                <w:color w:val="000000"/>
                <w:szCs w:val="24"/>
              </w:rPr>
              <w:t>jejuni</w:t>
            </w:r>
            <w:proofErr w:type="spellEnd"/>
            <w:r w:rsidRPr="00C73729">
              <w:rPr>
                <w:rFonts w:ascii="Arial" w:hAnsi="Arial" w:cs="Arial"/>
                <w:i/>
                <w:color w:val="000000"/>
                <w:szCs w:val="24"/>
              </w:rPr>
              <w:t xml:space="preserve"> </w:t>
            </w:r>
            <w:r w:rsidRPr="00C73729">
              <w:rPr>
                <w:rFonts w:ascii="Arial" w:hAnsi="Arial" w:cs="Arial"/>
                <w:color w:val="000000"/>
                <w:szCs w:val="24"/>
              </w:rPr>
              <w:t xml:space="preserve">infection was high. Children who had contact with animals showed association with </w:t>
            </w:r>
            <w:r w:rsidRPr="00C73729">
              <w:rPr>
                <w:rFonts w:ascii="Arial" w:hAnsi="Arial" w:cs="Arial"/>
                <w:i/>
                <w:color w:val="000000"/>
                <w:szCs w:val="24"/>
              </w:rPr>
              <w:t xml:space="preserve">C. </w:t>
            </w:r>
            <w:proofErr w:type="spellStart"/>
            <w:r w:rsidRPr="00C73729">
              <w:rPr>
                <w:rFonts w:ascii="Arial" w:hAnsi="Arial" w:cs="Arial"/>
                <w:i/>
                <w:color w:val="000000"/>
                <w:szCs w:val="24"/>
              </w:rPr>
              <w:t>jejuni</w:t>
            </w:r>
            <w:proofErr w:type="spellEnd"/>
            <w:r w:rsidRPr="00C73729">
              <w:rPr>
                <w:rFonts w:ascii="Arial" w:hAnsi="Arial" w:cs="Arial"/>
                <w:color w:val="000000"/>
                <w:szCs w:val="24"/>
              </w:rPr>
              <w:t xml:space="preserve"> infection. Additionally, </w:t>
            </w:r>
            <w:r w:rsidRPr="00C73729">
              <w:rPr>
                <w:rFonts w:ascii="Arial" w:hAnsi="Arial" w:cs="Arial"/>
                <w:color w:val="242021"/>
                <w:szCs w:val="24"/>
              </w:rPr>
              <w:t>majority of</w:t>
            </w:r>
            <w:r w:rsidRPr="00C73729">
              <w:rPr>
                <w:rFonts w:ascii="Arial" w:hAnsi="Arial" w:cs="Arial"/>
                <w:i/>
                <w:color w:val="242021"/>
                <w:szCs w:val="24"/>
              </w:rPr>
              <w:t xml:space="preserve"> C. </w:t>
            </w:r>
            <w:proofErr w:type="spellStart"/>
            <w:r w:rsidRPr="00C73729">
              <w:rPr>
                <w:rFonts w:ascii="Arial" w:hAnsi="Arial" w:cs="Arial"/>
                <w:i/>
                <w:color w:val="242021"/>
                <w:szCs w:val="24"/>
              </w:rPr>
              <w:t>jejuni</w:t>
            </w:r>
            <w:proofErr w:type="spellEnd"/>
            <w:r w:rsidRPr="00C73729">
              <w:rPr>
                <w:rFonts w:ascii="Arial" w:hAnsi="Arial" w:cs="Arial"/>
                <w:color w:val="242021"/>
                <w:szCs w:val="24"/>
              </w:rPr>
              <w:t xml:space="preserve"> showed resistance for tetracycline, </w:t>
            </w:r>
            <w:proofErr w:type="spellStart"/>
            <w:r w:rsidRPr="00C73729">
              <w:rPr>
                <w:rFonts w:ascii="Arial" w:hAnsi="Arial" w:cs="Arial"/>
                <w:color w:val="242021"/>
                <w:szCs w:val="24"/>
              </w:rPr>
              <w:t>cefoxitin</w:t>
            </w:r>
            <w:proofErr w:type="spellEnd"/>
            <w:r w:rsidRPr="00C73729">
              <w:rPr>
                <w:rFonts w:ascii="Arial" w:hAnsi="Arial" w:cs="Arial"/>
                <w:color w:val="242021"/>
                <w:szCs w:val="24"/>
              </w:rPr>
              <w:t>, ampicillin and erythromycin.</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363AF1" w:rsidP="0022554A">
            <w:pPr>
              <w:tabs>
                <w:tab w:val="left" w:pos="5400"/>
              </w:tabs>
              <w:rPr>
                <w:sz w:val="20"/>
              </w:rPr>
            </w:pPr>
            <w:r>
              <w:rPr>
                <w:sz w:val="20"/>
              </w:rPr>
              <w:lastRenderedPageBreak/>
              <w:t>2</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001" w:type="dxa"/>
            <w:gridSpan w:val="4"/>
          </w:tcPr>
          <w:p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2</w:t>
            </w:r>
          </w:p>
        </w:tc>
        <w:tc>
          <w:tcPr>
            <w:cnfStyle w:val="000010000000" w:firstRow="0" w:lastRow="0" w:firstColumn="0" w:lastColumn="0" w:oddVBand="1" w:evenVBand="0" w:oddHBand="0" w:evenHBand="0" w:firstRowFirstColumn="0" w:firstRowLastColumn="0" w:lastRowFirstColumn="0" w:lastRowLastColumn="0"/>
            <w:tcW w:w="7664" w:type="dxa"/>
          </w:tcPr>
          <w:p w:rsidR="00BC56F1"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szCs w:val="24"/>
              </w:rPr>
              <w:t xml:space="preserve">Under-five mortality rate is a key indicator countries health system strength and quality </w:t>
            </w:r>
            <w:r w:rsidRPr="00C73729">
              <w:rPr>
                <w:rFonts w:ascii="Arial" w:hAnsi="Arial" w:cs="Arial"/>
                <w:noProof/>
                <w:szCs w:val="24"/>
              </w:rPr>
              <w:t>[1]</w:t>
            </w:r>
            <w:r w:rsidRPr="00C73729">
              <w:rPr>
                <w:rFonts w:ascii="Arial" w:hAnsi="Arial" w:cs="Arial"/>
                <w:szCs w:val="24"/>
              </w:rPr>
              <w:t xml:space="preserve">. The world has made astonishing strides in decreasing child mortality over the past two decades. For instance, the under-5 mortality (U5M) rate slash from 76 deaths per 1,000 live births in 2000 to 39 in 2018. Sub-Saharan Africa is region with the highest U5M rate </w:t>
            </w:r>
            <w:r w:rsidRPr="00C73729">
              <w:rPr>
                <w:rFonts w:ascii="Arial" w:hAnsi="Arial" w:cs="Arial"/>
                <w:noProof/>
                <w:szCs w:val="24"/>
              </w:rPr>
              <w:t>[2]</w:t>
            </w:r>
            <w:r w:rsidRPr="00C73729">
              <w:rPr>
                <w:rFonts w:ascii="Arial" w:hAnsi="Arial" w:cs="Arial"/>
                <w:szCs w:val="24"/>
              </w:rPr>
              <w:t xml:space="preserve">. In Ethiopia, between 1990 and 2013, the U5M rate dropped from 203.9 deaths/1000 live births to 74.4 deaths/1000 live births with a total reduction of 64% [3]. </w:t>
            </w:r>
          </w:p>
          <w:p w:rsidR="00BC56F1" w:rsidRPr="00C73729" w:rsidRDefault="00BC56F1" w:rsidP="00BC56F1">
            <w:pPr>
              <w:spacing w:before="100" w:beforeAutospacing="1" w:after="100" w:afterAutospacing="1" w:line="360" w:lineRule="auto"/>
              <w:jc w:val="both"/>
              <w:rPr>
                <w:rFonts w:ascii="Arial" w:hAnsi="Arial" w:cs="Arial"/>
                <w:szCs w:val="24"/>
              </w:rPr>
            </w:pPr>
            <w:proofErr w:type="spellStart"/>
            <w:r w:rsidRPr="00155498">
              <w:rPr>
                <w:rFonts w:ascii="Arial" w:hAnsi="Arial" w:cs="Arial"/>
              </w:rPr>
              <w:t>Diarrhea</w:t>
            </w:r>
            <w:proofErr w:type="spellEnd"/>
            <w:r w:rsidRPr="00155498">
              <w:rPr>
                <w:rFonts w:ascii="Arial" w:hAnsi="Arial" w:cs="Arial"/>
              </w:rPr>
              <w:t xml:space="preserve"> is defined as the passage of three and more loose stools per day or more frequent passage than is normal for the individual.</w:t>
            </w:r>
            <w:r w:rsidRPr="00155498">
              <w:rPr>
                <w:rFonts w:ascii="Arial" w:hAnsi="Arial" w:cs="Arial"/>
                <w:color w:val="3C4245"/>
              </w:rPr>
              <w:t xml:space="preserve"> </w:t>
            </w:r>
            <w:r w:rsidRPr="00C73729">
              <w:rPr>
                <w:rFonts w:ascii="Arial" w:hAnsi="Arial" w:cs="Arial"/>
                <w:szCs w:val="24"/>
              </w:rPr>
              <w:t xml:space="preserve">Diarrheal disease which is both preventable and treatable is the second leading cause of death in under five years of age (U5C). Globally, there are nearly 1.7 billion cases of childhood diarrheal disease and 525 000 deaths in U5C annually [4]. </w:t>
            </w:r>
            <w:proofErr w:type="spellStart"/>
            <w:r w:rsidRPr="00C73729">
              <w:rPr>
                <w:rFonts w:ascii="Arial" w:hAnsi="Arial" w:cs="Arial"/>
                <w:szCs w:val="24"/>
              </w:rPr>
              <w:t>Diarrhea</w:t>
            </w:r>
            <w:proofErr w:type="spellEnd"/>
            <w:r w:rsidRPr="00C73729">
              <w:rPr>
                <w:rFonts w:ascii="Arial" w:hAnsi="Arial" w:cs="Arial"/>
                <w:szCs w:val="24"/>
              </w:rPr>
              <w:t xml:space="preserve"> is a leading cause of malnutrition in U5C [4]. Lower respiratory infections, diarrheal diseases, and neonatal syndromes remain the major causes of under-5 deaths in Ethiopia [3]. As the COVID-19 epidemic continues to erode health systems and disrupt routine health services, several thousands of additional under-5 deaths are expected following the pandemic </w:t>
            </w:r>
            <w:r w:rsidRPr="00C73729">
              <w:rPr>
                <w:rFonts w:ascii="Arial" w:hAnsi="Arial" w:cs="Arial"/>
                <w:noProof/>
                <w:szCs w:val="24"/>
              </w:rPr>
              <w:t>[2]</w:t>
            </w:r>
            <w:r w:rsidRPr="00C73729">
              <w:rPr>
                <w:rFonts w:ascii="Arial" w:hAnsi="Arial" w:cs="Arial"/>
                <w:szCs w:val="24"/>
              </w:rPr>
              <w:t>.</w:t>
            </w:r>
          </w:p>
          <w:p w:rsidR="00BC56F1" w:rsidRPr="00C73729" w:rsidRDefault="00BC56F1" w:rsidP="00BC56F1">
            <w:pPr>
              <w:autoSpaceDE w:val="0"/>
              <w:autoSpaceDN w:val="0"/>
              <w:adjustRightInd w:val="0"/>
              <w:spacing w:before="100" w:beforeAutospacing="1" w:after="100" w:afterAutospacing="1" w:line="360" w:lineRule="auto"/>
              <w:jc w:val="both"/>
              <w:rPr>
                <w:rFonts w:ascii="Arial" w:hAnsi="Arial" w:cs="Arial"/>
                <w:szCs w:val="24"/>
              </w:rPr>
            </w:pPr>
            <w:r w:rsidRPr="00C73729">
              <w:rPr>
                <w:rStyle w:val="fontstyle01"/>
                <w:rFonts w:ascii="Arial" w:hAnsi="Arial" w:cs="Arial"/>
                <w:szCs w:val="24"/>
              </w:rPr>
              <w:t xml:space="preserve">Campylobacter is one of the leading </w:t>
            </w:r>
            <w:r w:rsidRPr="00C73729">
              <w:rPr>
                <w:rFonts w:ascii="Arial" w:hAnsi="Arial" w:cs="Arial"/>
                <w:color w:val="000000"/>
                <w:szCs w:val="24"/>
                <w:shd w:val="clear" w:color="auto" w:fill="FFFFFF"/>
              </w:rPr>
              <w:t>food borne </w:t>
            </w:r>
            <w:r w:rsidRPr="00C73729">
              <w:rPr>
                <w:rStyle w:val="fontstyle01"/>
                <w:rFonts w:ascii="Arial" w:hAnsi="Arial" w:cs="Arial"/>
                <w:szCs w:val="24"/>
              </w:rPr>
              <w:t xml:space="preserve">zoonotic causes of diarrheal diseases in Children </w:t>
            </w:r>
            <w:r w:rsidRPr="00C73729">
              <w:rPr>
                <w:rStyle w:val="fontstyle01"/>
                <w:rFonts w:ascii="Arial" w:hAnsi="Arial" w:cs="Arial"/>
                <w:noProof/>
                <w:szCs w:val="24"/>
              </w:rPr>
              <w:t>[5, 6]</w:t>
            </w:r>
            <w:r w:rsidRPr="00C73729">
              <w:rPr>
                <w:rStyle w:val="fontstyle01"/>
                <w:rFonts w:ascii="Arial" w:hAnsi="Arial" w:cs="Arial"/>
                <w:szCs w:val="24"/>
              </w:rPr>
              <w:t>.</w:t>
            </w:r>
            <w:r w:rsidRPr="00C73729">
              <w:rPr>
                <w:rStyle w:val="fontstyle01"/>
                <w:rFonts w:ascii="Arial" w:hAnsi="Arial" w:cs="Arial"/>
                <w:i/>
                <w:szCs w:val="24"/>
              </w:rPr>
              <w:t xml:space="preserve"> Campylobacter</w:t>
            </w:r>
            <w:r w:rsidRPr="00C73729">
              <w:rPr>
                <w:rStyle w:val="fontstyle01"/>
                <w:rFonts w:ascii="Arial" w:hAnsi="Arial" w:cs="Arial"/>
                <w:szCs w:val="24"/>
              </w:rPr>
              <w:t xml:space="preserve"> are small </w:t>
            </w:r>
            <w:r w:rsidRPr="00C73729">
              <w:rPr>
                <w:rFonts w:ascii="Arial" w:hAnsi="Arial" w:cs="Arial"/>
                <w:szCs w:val="24"/>
              </w:rPr>
              <w:t>fastidious</w:t>
            </w:r>
            <w:r w:rsidRPr="00C73729">
              <w:rPr>
                <w:rStyle w:val="fontstyle01"/>
                <w:rFonts w:ascii="Arial" w:hAnsi="Arial" w:cs="Arial"/>
                <w:szCs w:val="24"/>
              </w:rPr>
              <w:t xml:space="preserve"> gram negative curved, rode shaped bacteria</w:t>
            </w:r>
            <w:r w:rsidRPr="00C73729">
              <w:rPr>
                <w:rFonts w:ascii="Arial" w:hAnsi="Arial" w:cs="Arial"/>
                <w:szCs w:val="24"/>
              </w:rPr>
              <w:t xml:space="preserve">. It was isolated by </w:t>
            </w:r>
            <w:proofErr w:type="spellStart"/>
            <w:r w:rsidRPr="00C73729">
              <w:rPr>
                <w:rFonts w:ascii="Arial" w:hAnsi="Arial" w:cs="Arial"/>
                <w:szCs w:val="24"/>
              </w:rPr>
              <w:t>Sebald</w:t>
            </w:r>
            <w:proofErr w:type="spellEnd"/>
            <w:r w:rsidRPr="00C73729">
              <w:rPr>
                <w:rFonts w:ascii="Arial" w:hAnsi="Arial" w:cs="Arial"/>
                <w:szCs w:val="24"/>
              </w:rPr>
              <w:t xml:space="preserve"> and </w:t>
            </w:r>
            <w:proofErr w:type="spellStart"/>
            <w:r w:rsidRPr="00C73729">
              <w:rPr>
                <w:rFonts w:ascii="Arial" w:hAnsi="Arial" w:cs="Arial"/>
                <w:szCs w:val="24"/>
              </w:rPr>
              <w:t>Veron</w:t>
            </w:r>
            <w:proofErr w:type="spellEnd"/>
            <w:r w:rsidRPr="00C73729">
              <w:rPr>
                <w:rFonts w:ascii="Arial" w:hAnsi="Arial" w:cs="Arial"/>
                <w:szCs w:val="24"/>
              </w:rPr>
              <w:t xml:space="preserve"> in 1963. So far the genus has 31species. However, only 17 of the species are considered as public health and veterinary important </w:t>
            </w:r>
            <w:r w:rsidRPr="00C73729">
              <w:rPr>
                <w:rFonts w:ascii="Arial" w:hAnsi="Arial" w:cs="Arial"/>
                <w:noProof/>
                <w:szCs w:val="24"/>
              </w:rPr>
              <w:t>[7, 8]</w:t>
            </w:r>
            <w:r w:rsidRPr="00C73729">
              <w:rPr>
                <w:rFonts w:ascii="Arial" w:hAnsi="Arial" w:cs="Arial"/>
                <w:szCs w:val="24"/>
              </w:rPr>
              <w:t xml:space="preserve">. Among the species,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is the most common causes of gastroenteritis worldwide </w:t>
            </w:r>
            <w:r w:rsidRPr="00C73729">
              <w:rPr>
                <w:rFonts w:ascii="Arial" w:hAnsi="Arial" w:cs="Arial"/>
                <w:noProof/>
                <w:szCs w:val="24"/>
              </w:rPr>
              <w:t>[9]</w:t>
            </w:r>
            <w:r w:rsidRPr="00C73729">
              <w:rPr>
                <w:rFonts w:ascii="Arial" w:hAnsi="Arial" w:cs="Arial"/>
                <w:szCs w:val="24"/>
              </w:rPr>
              <w:t xml:space="preserve">. </w:t>
            </w:r>
            <w:r w:rsidRPr="00C73729">
              <w:rPr>
                <w:rFonts w:ascii="Arial" w:hAnsi="Arial" w:cs="Arial"/>
                <w:i/>
                <w:szCs w:val="24"/>
              </w:rPr>
              <w:t>Campylobacter</w:t>
            </w:r>
            <w:r w:rsidRPr="00C73729">
              <w:rPr>
                <w:rFonts w:ascii="Arial" w:hAnsi="Arial" w:cs="Arial"/>
                <w:szCs w:val="24"/>
              </w:rPr>
              <w:t xml:space="preserve"> inhabited in the gastrointestinal tract of animals, birds and their </w:t>
            </w:r>
            <w:proofErr w:type="spellStart"/>
            <w:r w:rsidRPr="00C73729">
              <w:rPr>
                <w:rFonts w:ascii="Arial" w:hAnsi="Arial" w:cs="Arial"/>
                <w:szCs w:val="24"/>
              </w:rPr>
              <w:t>fecal</w:t>
            </w:r>
            <w:proofErr w:type="spellEnd"/>
            <w:r w:rsidRPr="00C73729">
              <w:rPr>
                <w:rFonts w:ascii="Arial" w:hAnsi="Arial" w:cs="Arial"/>
                <w:szCs w:val="24"/>
              </w:rPr>
              <w:t xml:space="preserve"> excreta. A gram of bird </w:t>
            </w:r>
            <w:proofErr w:type="spellStart"/>
            <w:r w:rsidRPr="00C73729">
              <w:rPr>
                <w:rFonts w:ascii="Arial" w:hAnsi="Arial" w:cs="Arial"/>
                <w:szCs w:val="24"/>
              </w:rPr>
              <w:t>fecal</w:t>
            </w:r>
            <w:proofErr w:type="spellEnd"/>
            <w:r w:rsidRPr="00C73729">
              <w:rPr>
                <w:rFonts w:ascii="Arial" w:hAnsi="Arial" w:cs="Arial"/>
                <w:szCs w:val="24"/>
              </w:rPr>
              <w:t xml:space="preserve"> excreta contain 10</w:t>
            </w:r>
            <w:r w:rsidRPr="00C73729">
              <w:rPr>
                <w:rFonts w:ascii="Arial" w:hAnsi="Arial" w:cs="Arial"/>
                <w:szCs w:val="24"/>
                <w:vertAlign w:val="superscript"/>
              </w:rPr>
              <w:t>9</w:t>
            </w:r>
            <w:r w:rsidRPr="00C73729">
              <w:rPr>
                <w:rFonts w:ascii="Arial" w:hAnsi="Arial" w:cs="Arial"/>
                <w:szCs w:val="24"/>
              </w:rPr>
              <w:t xml:space="preserve">colony forming unit (CFU) of </w:t>
            </w:r>
            <w:r w:rsidRPr="00C73729">
              <w:rPr>
                <w:rFonts w:ascii="Arial" w:hAnsi="Arial" w:cs="Arial"/>
                <w:i/>
                <w:szCs w:val="24"/>
              </w:rPr>
              <w:lastRenderedPageBreak/>
              <w:t>Campylobacter</w:t>
            </w:r>
            <w:r w:rsidRPr="00C73729">
              <w:rPr>
                <w:rFonts w:ascii="Arial" w:hAnsi="Arial" w:cs="Arial"/>
                <w:szCs w:val="24"/>
              </w:rPr>
              <w:t xml:space="preserve">; more than the infective dose of 500-10,000CFU </w:t>
            </w:r>
            <w:r w:rsidRPr="00C73729">
              <w:rPr>
                <w:rFonts w:ascii="Arial" w:hAnsi="Arial" w:cs="Arial"/>
                <w:noProof/>
                <w:szCs w:val="24"/>
              </w:rPr>
              <w:t>[9]</w:t>
            </w:r>
            <w:r w:rsidRPr="00C73729">
              <w:rPr>
                <w:rFonts w:ascii="Arial" w:hAnsi="Arial" w:cs="Arial"/>
                <w:szCs w:val="24"/>
              </w:rPr>
              <w:t xml:space="preserve">.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can be transmitted through eating of contaminated poultry meat, water, unpasteurized milk </w:t>
            </w:r>
            <w:r w:rsidRPr="00C73729">
              <w:rPr>
                <w:rFonts w:ascii="Arial" w:hAnsi="Arial" w:cs="Arial"/>
                <w:noProof/>
                <w:szCs w:val="24"/>
              </w:rPr>
              <w:t>[10, 11]</w:t>
            </w:r>
            <w:r w:rsidRPr="00C73729">
              <w:rPr>
                <w:rFonts w:ascii="Arial" w:hAnsi="Arial" w:cs="Arial"/>
                <w:szCs w:val="24"/>
              </w:rPr>
              <w:t xml:space="preserve">, contact with domestic animals (cattle, hen, dog and cat) and bottle feeding </w:t>
            </w:r>
            <w:r w:rsidRPr="00C73729">
              <w:rPr>
                <w:rFonts w:ascii="Arial" w:hAnsi="Arial" w:cs="Arial"/>
                <w:noProof/>
                <w:szCs w:val="24"/>
              </w:rPr>
              <w:t>[12, 13]</w:t>
            </w:r>
            <w:r w:rsidRPr="00C73729">
              <w:rPr>
                <w:rFonts w:ascii="Arial" w:hAnsi="Arial" w:cs="Arial"/>
                <w:szCs w:val="24"/>
              </w:rPr>
              <w:t xml:space="preserve">. It was shown that, Campylobacter infection is mainly associated with children, occupation, co-infection with AIDS, cancer, and diabetes mellitus and frequent use of anti-acids </w:t>
            </w:r>
            <w:r w:rsidRPr="00C73729">
              <w:rPr>
                <w:rFonts w:ascii="Arial" w:hAnsi="Arial" w:cs="Arial"/>
                <w:noProof/>
                <w:szCs w:val="24"/>
              </w:rPr>
              <w:t>[14, 15]</w:t>
            </w:r>
            <w:r w:rsidRPr="00C73729">
              <w:rPr>
                <w:rFonts w:ascii="Arial" w:hAnsi="Arial" w:cs="Arial"/>
                <w:szCs w:val="24"/>
              </w:rPr>
              <w:t xml:space="preserve">. The pathogenesis mechanism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is not fully understood. However, it was known to colonize the distal ileum, jejunum and colon of human intestine. The most commonly recognized virulence mechanisms were motility, toxin production and invasion </w:t>
            </w:r>
            <w:r w:rsidRPr="00C73729">
              <w:rPr>
                <w:rFonts w:ascii="Arial" w:hAnsi="Arial" w:cs="Arial"/>
                <w:noProof/>
                <w:szCs w:val="24"/>
              </w:rPr>
              <w:t>[16]</w:t>
            </w:r>
            <w:r w:rsidRPr="00C73729">
              <w:rPr>
                <w:rFonts w:ascii="Arial" w:hAnsi="Arial" w:cs="Arial"/>
                <w:szCs w:val="24"/>
              </w:rPr>
              <w:t xml:space="preserve">.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infection is</w:t>
            </w:r>
            <w:r w:rsidRPr="00C73729">
              <w:rPr>
                <w:rFonts w:ascii="Arial" w:hAnsi="Arial" w:cs="Arial"/>
                <w:i/>
                <w:szCs w:val="24"/>
              </w:rPr>
              <w:t xml:space="preserve"> </w:t>
            </w:r>
            <w:r w:rsidRPr="00C73729">
              <w:rPr>
                <w:rFonts w:ascii="Arial" w:hAnsi="Arial" w:cs="Arial"/>
                <w:szCs w:val="24"/>
              </w:rPr>
              <w:t>symptomatically</w:t>
            </w:r>
            <w:r w:rsidRPr="00C73729">
              <w:rPr>
                <w:rFonts w:ascii="Arial" w:hAnsi="Arial" w:cs="Arial"/>
                <w:i/>
                <w:szCs w:val="24"/>
              </w:rPr>
              <w:t xml:space="preserve"> </w:t>
            </w:r>
            <w:r w:rsidRPr="00C73729">
              <w:rPr>
                <w:rFonts w:ascii="Arial" w:hAnsi="Arial" w:cs="Arial"/>
                <w:szCs w:val="24"/>
              </w:rPr>
              <w:t>characterized as gastroenteritis,</w:t>
            </w:r>
            <w:r w:rsidRPr="00C73729">
              <w:rPr>
                <w:rFonts w:ascii="Arial" w:hAnsi="Arial" w:cs="Arial"/>
                <w:i/>
                <w:szCs w:val="24"/>
              </w:rPr>
              <w:t xml:space="preserve"> </w:t>
            </w:r>
            <w:r w:rsidRPr="00C73729">
              <w:rPr>
                <w:rFonts w:ascii="Arial" w:hAnsi="Arial" w:cs="Arial"/>
                <w:szCs w:val="24"/>
              </w:rPr>
              <w:t xml:space="preserve">meningitis, endocarditis, septic arthritis, and osteomyelitis.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infection is associated autoimmune </w:t>
            </w:r>
            <w:proofErr w:type="gramStart"/>
            <w:r w:rsidRPr="00C73729">
              <w:rPr>
                <w:rFonts w:ascii="Arial" w:hAnsi="Arial" w:cs="Arial"/>
                <w:szCs w:val="24"/>
              </w:rPr>
              <w:t>disease  known</w:t>
            </w:r>
            <w:proofErr w:type="gramEnd"/>
            <w:r w:rsidRPr="00C73729">
              <w:rPr>
                <w:rFonts w:ascii="Arial" w:hAnsi="Arial" w:cs="Arial"/>
                <w:szCs w:val="24"/>
              </w:rPr>
              <w:t xml:space="preserve"> as </w:t>
            </w:r>
            <w:proofErr w:type="spellStart"/>
            <w:r w:rsidRPr="00C73729">
              <w:rPr>
                <w:rFonts w:ascii="Arial" w:hAnsi="Arial" w:cs="Arial"/>
                <w:szCs w:val="24"/>
              </w:rPr>
              <w:t>Guillain-Barré</w:t>
            </w:r>
            <w:proofErr w:type="spellEnd"/>
            <w:r w:rsidRPr="00C73729">
              <w:rPr>
                <w:rFonts w:ascii="Arial" w:hAnsi="Arial" w:cs="Arial"/>
                <w:szCs w:val="24"/>
              </w:rPr>
              <w:t xml:space="preserve"> syndrome (GBS) and Miller Fisher syndrome, which are an acute demyelinating disease of peripheral nervous system </w:t>
            </w:r>
            <w:r w:rsidRPr="00C73729">
              <w:rPr>
                <w:rFonts w:ascii="Arial" w:hAnsi="Arial" w:cs="Arial"/>
                <w:noProof/>
                <w:szCs w:val="24"/>
              </w:rPr>
              <w:t>[17, 18]</w:t>
            </w:r>
            <w:r w:rsidRPr="00C73729">
              <w:rPr>
                <w:rFonts w:ascii="Arial" w:hAnsi="Arial" w:cs="Arial"/>
                <w:szCs w:val="24"/>
              </w:rPr>
              <w:t xml:space="preserve">. </w:t>
            </w:r>
          </w:p>
          <w:p w:rsidR="00BC56F1" w:rsidRPr="00C73729"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szCs w:val="24"/>
              </w:rPr>
              <w:t xml:space="preserve">The prevalence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infection vary geographically. For instance, </w:t>
            </w:r>
            <w:r w:rsidRPr="00C73729">
              <w:rPr>
                <w:rFonts w:ascii="Arial" w:hAnsi="Arial" w:cs="Arial"/>
                <w:i/>
                <w:szCs w:val="24"/>
              </w:rPr>
              <w:t xml:space="preserve">the prevalence of C. </w:t>
            </w:r>
            <w:proofErr w:type="spellStart"/>
            <w:r w:rsidRPr="00C73729">
              <w:rPr>
                <w:rFonts w:ascii="Arial" w:hAnsi="Arial" w:cs="Arial"/>
                <w:i/>
                <w:szCs w:val="24"/>
              </w:rPr>
              <w:t>jejuni</w:t>
            </w:r>
            <w:proofErr w:type="spellEnd"/>
            <w:r w:rsidRPr="00C73729">
              <w:rPr>
                <w:rFonts w:ascii="Arial" w:hAnsi="Arial" w:cs="Arial"/>
                <w:i/>
                <w:szCs w:val="24"/>
              </w:rPr>
              <w:t xml:space="preserve"> was  </w:t>
            </w:r>
            <w:r w:rsidRPr="00C73729">
              <w:rPr>
                <w:rFonts w:ascii="Arial" w:hAnsi="Arial" w:cs="Arial"/>
                <w:szCs w:val="24"/>
              </w:rPr>
              <w:t xml:space="preserve">4%, 7.7%, 8.4%, 8.9%, 11.9%, 12.9% and 14% in the study from India, Brazil, Poland, </w:t>
            </w:r>
            <w:proofErr w:type="spellStart"/>
            <w:r w:rsidRPr="00C73729">
              <w:rPr>
                <w:rFonts w:ascii="Arial" w:hAnsi="Arial" w:cs="Arial"/>
                <w:szCs w:val="24"/>
              </w:rPr>
              <w:t>Jimma</w:t>
            </w:r>
            <w:proofErr w:type="spellEnd"/>
            <w:r w:rsidRPr="00C73729">
              <w:rPr>
                <w:rFonts w:ascii="Arial" w:hAnsi="Arial" w:cs="Arial"/>
                <w:szCs w:val="24"/>
              </w:rPr>
              <w:t xml:space="preserve"> Ethiopia, Kenya, and Gondar Ethiopia, respectively </w:t>
            </w:r>
            <w:r w:rsidRPr="00C73729">
              <w:rPr>
                <w:rFonts w:ascii="Arial" w:hAnsi="Arial" w:cs="Arial"/>
                <w:noProof/>
                <w:szCs w:val="24"/>
              </w:rPr>
              <w:t>[13, 19-24]</w:t>
            </w:r>
            <w:r w:rsidRPr="00C73729">
              <w:rPr>
                <w:rFonts w:ascii="Arial" w:hAnsi="Arial" w:cs="Arial"/>
                <w:szCs w:val="24"/>
              </w:rPr>
              <w:t xml:space="preserve">. </w:t>
            </w:r>
          </w:p>
          <w:p w:rsidR="00BC56F1" w:rsidRPr="00C73729"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szCs w:val="24"/>
              </w:rPr>
              <w:t xml:space="preserve">Antibacterial treatment indication is necessary for severe </w:t>
            </w:r>
            <w:proofErr w:type="spellStart"/>
            <w:r w:rsidRPr="00C73729">
              <w:rPr>
                <w:rFonts w:ascii="Arial" w:hAnsi="Arial" w:cs="Arial"/>
                <w:szCs w:val="24"/>
              </w:rPr>
              <w:t>campylobacteriosis</w:t>
            </w:r>
            <w:proofErr w:type="spellEnd"/>
            <w:r w:rsidRPr="00C73729">
              <w:rPr>
                <w:rFonts w:ascii="Arial" w:hAnsi="Arial" w:cs="Arial"/>
                <w:szCs w:val="24"/>
              </w:rPr>
              <w:t xml:space="preserve"> like infections especially in immune-suppressed patients and long-lasting infections. Currently, macrolide groups such as erythromycin and azithromycin are the antibacterial agents of choice for </w:t>
            </w:r>
            <w:proofErr w:type="spellStart"/>
            <w:r w:rsidRPr="00C73729">
              <w:rPr>
                <w:rFonts w:ascii="Arial" w:hAnsi="Arial" w:cs="Arial"/>
                <w:szCs w:val="24"/>
              </w:rPr>
              <w:t>Campylobacteriosis</w:t>
            </w:r>
            <w:proofErr w:type="spellEnd"/>
            <w:r w:rsidRPr="00C73729">
              <w:rPr>
                <w:rFonts w:ascii="Arial" w:hAnsi="Arial" w:cs="Arial"/>
                <w:szCs w:val="24"/>
              </w:rPr>
              <w:t xml:space="preserve">. Moreover, Tetracycline and fluoroquinolones (ciprofloxacin) have also been suggested as alternative treatment </w:t>
            </w:r>
            <w:r w:rsidRPr="00C73729">
              <w:rPr>
                <w:rFonts w:ascii="Arial" w:hAnsi="Arial" w:cs="Arial"/>
                <w:noProof/>
                <w:szCs w:val="24"/>
              </w:rPr>
              <w:t>[25, 26]</w:t>
            </w:r>
            <w:r w:rsidRPr="00C73729">
              <w:rPr>
                <w:rFonts w:ascii="Arial" w:hAnsi="Arial" w:cs="Arial"/>
                <w:szCs w:val="24"/>
              </w:rPr>
              <w:t xml:space="preserve">. However, globally multidrug resistance is becoming an increasing public health concern </w:t>
            </w:r>
            <w:r w:rsidRPr="00C73729">
              <w:rPr>
                <w:rFonts w:ascii="Arial" w:hAnsi="Arial" w:cs="Arial"/>
                <w:noProof/>
                <w:szCs w:val="24"/>
              </w:rPr>
              <w:t>[27, 28]</w:t>
            </w:r>
            <w:r w:rsidRPr="00C73729">
              <w:rPr>
                <w:rFonts w:ascii="Arial" w:hAnsi="Arial" w:cs="Arial"/>
                <w:szCs w:val="24"/>
              </w:rPr>
              <w:t>.</w:t>
            </w:r>
            <w:r w:rsidRPr="00C73729">
              <w:rPr>
                <w:rFonts w:ascii="Arial" w:hAnsi="Arial" w:cs="Arial"/>
                <w:color w:val="131413"/>
                <w:szCs w:val="24"/>
              </w:rPr>
              <w:t xml:space="preserve"> Added to this, </w:t>
            </w:r>
            <w:r w:rsidRPr="00C73729">
              <w:rPr>
                <w:rFonts w:ascii="Arial" w:hAnsi="Arial" w:cs="Arial"/>
                <w:color w:val="000000"/>
                <w:szCs w:val="24"/>
                <w:shd w:val="clear" w:color="auto" w:fill="FFFFFF"/>
              </w:rPr>
              <w:t xml:space="preserve">the practice of unsupervised veterinary drugs administration to domestic animals is common which has the potential for increasing drug resistance development for veterinary and medical important pathogens </w:t>
            </w:r>
            <w:r w:rsidRPr="00C73729">
              <w:rPr>
                <w:rFonts w:ascii="Arial" w:hAnsi="Arial" w:cs="Arial"/>
                <w:noProof/>
                <w:color w:val="000000"/>
                <w:szCs w:val="24"/>
                <w:shd w:val="clear" w:color="auto" w:fill="FFFFFF"/>
              </w:rPr>
              <w:t>[29, 30]</w:t>
            </w:r>
            <w:r w:rsidRPr="00C73729">
              <w:rPr>
                <w:rFonts w:ascii="Arial" w:hAnsi="Arial" w:cs="Arial"/>
                <w:color w:val="000000"/>
                <w:szCs w:val="24"/>
                <w:shd w:val="clear" w:color="auto" w:fill="FFFFFF"/>
              </w:rPr>
              <w:t xml:space="preserve">. </w:t>
            </w:r>
            <w:r w:rsidRPr="00C73729">
              <w:rPr>
                <w:rFonts w:ascii="Arial" w:hAnsi="Arial" w:cs="Arial"/>
                <w:color w:val="131413"/>
                <w:szCs w:val="24"/>
              </w:rPr>
              <w:t xml:space="preserve">Hence, periodic surveillance and antibiotic stewardship </w:t>
            </w:r>
            <w:r>
              <w:rPr>
                <w:rFonts w:ascii="Arial" w:hAnsi="Arial" w:cs="Arial"/>
                <w:color w:val="131413"/>
                <w:szCs w:val="24"/>
              </w:rPr>
              <w:t xml:space="preserve">program </w:t>
            </w:r>
            <w:r w:rsidRPr="00C73729">
              <w:rPr>
                <w:rFonts w:ascii="Arial" w:hAnsi="Arial" w:cs="Arial"/>
                <w:color w:val="131413"/>
                <w:szCs w:val="24"/>
              </w:rPr>
              <w:t xml:space="preserve">is required </w:t>
            </w:r>
            <w:r w:rsidRPr="00C73729">
              <w:rPr>
                <w:rFonts w:ascii="Arial" w:hAnsi="Arial" w:cs="Arial"/>
                <w:noProof/>
                <w:color w:val="131413"/>
                <w:szCs w:val="24"/>
              </w:rPr>
              <w:t>[31, 32]</w:t>
            </w:r>
            <w:r w:rsidRPr="00C73729">
              <w:rPr>
                <w:rFonts w:ascii="Arial" w:hAnsi="Arial" w:cs="Arial"/>
                <w:color w:val="131413"/>
                <w:szCs w:val="24"/>
              </w:rPr>
              <w:t xml:space="preserve">. Based point prevalence study in Ethiopia, </w:t>
            </w:r>
            <w:r w:rsidRPr="00C73729">
              <w:rPr>
                <w:rFonts w:ascii="Arial" w:hAnsi="Arial" w:cs="Arial"/>
                <w:szCs w:val="24"/>
              </w:rPr>
              <w:t xml:space="preserve">drug resistance rate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was 80% for amoxicillin and 55% for </w:t>
            </w:r>
            <w:r>
              <w:rPr>
                <w:rFonts w:ascii="Arial" w:hAnsi="Arial" w:cs="Arial"/>
                <w:szCs w:val="24"/>
              </w:rPr>
              <w:lastRenderedPageBreak/>
              <w:t>erythromycin. Multiple </w:t>
            </w:r>
            <w:r w:rsidRPr="00C73729">
              <w:rPr>
                <w:rFonts w:ascii="Arial" w:hAnsi="Arial" w:cs="Arial"/>
                <w:szCs w:val="24"/>
              </w:rPr>
              <w:t>drug resistance was identified in 95% of the </w:t>
            </w:r>
            <w:r w:rsidRPr="00C73729">
              <w:rPr>
                <w:rFonts w:ascii="Arial" w:hAnsi="Arial" w:cs="Arial"/>
                <w:i/>
                <w:iCs/>
                <w:szCs w:val="24"/>
              </w:rPr>
              <w:t>Campylobacter </w:t>
            </w:r>
            <w:r w:rsidRPr="00C73729">
              <w:rPr>
                <w:rFonts w:ascii="Arial" w:hAnsi="Arial" w:cs="Arial"/>
                <w:szCs w:val="24"/>
              </w:rPr>
              <w:t>isolates </w:t>
            </w:r>
            <w:r w:rsidRPr="00C73729">
              <w:rPr>
                <w:rFonts w:ascii="Arial" w:hAnsi="Arial" w:cs="Arial"/>
                <w:noProof/>
                <w:szCs w:val="24"/>
              </w:rPr>
              <w:t>[33]</w:t>
            </w:r>
            <w:r w:rsidRPr="00C73729">
              <w:rPr>
                <w:rFonts w:ascii="Arial" w:hAnsi="Arial" w:cs="Arial"/>
                <w:szCs w:val="24"/>
              </w:rPr>
              <w:t xml:space="preserve">. In the study from Jimma Southern Ethiopia, the rate of ampicillin and trimethoprim-sulfamethoxazole drug resistance was gauged at 76.3% and (68.4%), respectively </w:t>
            </w:r>
            <w:r w:rsidRPr="00C73729">
              <w:rPr>
                <w:rFonts w:ascii="Arial" w:hAnsi="Arial" w:cs="Arial"/>
                <w:noProof/>
                <w:szCs w:val="24"/>
              </w:rPr>
              <w:t>[23]</w:t>
            </w:r>
            <w:r w:rsidRPr="00C73729">
              <w:rPr>
                <w:rFonts w:ascii="Arial" w:hAnsi="Arial" w:cs="Arial"/>
                <w:szCs w:val="24"/>
              </w:rPr>
              <w:t xml:space="preserve">. Multiple drug resistance was observed among 78.9% isolates </w:t>
            </w:r>
            <w:r w:rsidRPr="00C73729">
              <w:rPr>
                <w:rFonts w:ascii="Arial" w:hAnsi="Arial" w:cs="Arial"/>
                <w:noProof/>
                <w:szCs w:val="24"/>
              </w:rPr>
              <w:t>[23]</w:t>
            </w:r>
            <w:r w:rsidRPr="00C73729">
              <w:rPr>
                <w:rFonts w:ascii="Arial" w:hAnsi="Arial" w:cs="Arial"/>
                <w:szCs w:val="24"/>
              </w:rPr>
              <w:t xml:space="preserve">. This study determined the resistance rate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isolates against</w:t>
            </w:r>
            <w:r>
              <w:rPr>
                <w:rFonts w:ascii="Arial" w:hAnsi="Arial" w:cs="Arial"/>
                <w:szCs w:val="24"/>
              </w:rPr>
              <w:t xml:space="preserve"> common antibiotics recommended for </w:t>
            </w:r>
            <w:r w:rsidRPr="00C73729">
              <w:rPr>
                <w:rFonts w:ascii="Arial" w:hAnsi="Arial" w:cs="Arial"/>
                <w:color w:val="202124"/>
                <w:szCs w:val="24"/>
                <w:shd w:val="clear" w:color="auto" w:fill="FFFFFF"/>
              </w:rPr>
              <w:t>Enterobacteriaceae</w:t>
            </w:r>
            <w:r w:rsidRPr="00C73729">
              <w:rPr>
                <w:rFonts w:ascii="Arial" w:hAnsi="Arial" w:cs="Arial"/>
                <w:szCs w:val="24"/>
              </w:rPr>
              <w:t> and found resistance rate of 76.3% for ampicillin, 68.4% for trimethoprim</w:t>
            </w:r>
            <w:r w:rsidRPr="00C73729">
              <w:rPr>
                <w:rFonts w:ascii="Arial" w:hAnsi="Arial" w:cs="Arial"/>
                <w:szCs w:val="24"/>
              </w:rPr>
              <w:noBreakHyphen/>
              <w:t>sulfamethoxazole, 39.5% for </w:t>
            </w:r>
            <w:r>
              <w:rPr>
                <w:rFonts w:ascii="Arial" w:hAnsi="Arial" w:cs="Arial"/>
                <w:szCs w:val="24"/>
              </w:rPr>
              <w:t>tetracycline, 31.6% for </w:t>
            </w:r>
            <w:r w:rsidRPr="00C73729">
              <w:rPr>
                <w:rFonts w:ascii="Arial" w:hAnsi="Arial" w:cs="Arial"/>
                <w:szCs w:val="24"/>
              </w:rPr>
              <w:t xml:space="preserve">chloramphenicol, 26.3% for clindamycin and 23.7% for doxycycline </w:t>
            </w:r>
            <w:r w:rsidRPr="00C73729">
              <w:rPr>
                <w:rFonts w:ascii="Arial" w:hAnsi="Arial" w:cs="Arial"/>
                <w:noProof/>
                <w:szCs w:val="24"/>
              </w:rPr>
              <w:t>[23]</w:t>
            </w:r>
            <w:r w:rsidRPr="00C73729">
              <w:rPr>
                <w:rFonts w:ascii="Arial" w:hAnsi="Arial" w:cs="Arial"/>
                <w:szCs w:val="24"/>
              </w:rPr>
              <w:t>. A similar study from Go</w:t>
            </w:r>
            <w:r>
              <w:rPr>
                <w:rFonts w:ascii="Arial" w:hAnsi="Arial" w:cs="Arial"/>
                <w:szCs w:val="24"/>
              </w:rPr>
              <w:t>ndar, the </w:t>
            </w:r>
            <w:r w:rsidRPr="00C73729">
              <w:rPr>
                <w:rFonts w:ascii="Arial" w:hAnsi="Arial" w:cs="Arial"/>
                <w:szCs w:val="24"/>
              </w:rPr>
              <w:t>Ampicillin</w:t>
            </w:r>
            <w:r>
              <w:rPr>
                <w:rFonts w:ascii="Arial" w:hAnsi="Arial" w:cs="Arial"/>
                <w:szCs w:val="24"/>
              </w:rPr>
              <w:t> </w:t>
            </w:r>
            <w:r w:rsidRPr="00C73729">
              <w:rPr>
                <w:rFonts w:ascii="Arial" w:hAnsi="Arial" w:cs="Arial"/>
                <w:szCs w:val="24"/>
              </w:rPr>
              <w:t xml:space="preserve">resistance rate was reached to 68.2% and the resistance rate of tetracycline and trimethoprim- sulfamethoxazole was 56.8% and 54.5%, correspondingly </w:t>
            </w:r>
            <w:r w:rsidRPr="00C73729">
              <w:rPr>
                <w:rFonts w:ascii="Arial" w:hAnsi="Arial" w:cs="Arial"/>
                <w:noProof/>
                <w:szCs w:val="24"/>
              </w:rPr>
              <w:t>[13]</w:t>
            </w:r>
            <w:r w:rsidRPr="00C73729">
              <w:rPr>
                <w:rFonts w:ascii="Arial" w:hAnsi="Arial" w:cs="Arial"/>
                <w:szCs w:val="24"/>
              </w:rPr>
              <w:t>.</w:t>
            </w:r>
          </w:p>
          <w:p w:rsidR="00F968F7" w:rsidRPr="00BC56F1" w:rsidRDefault="00BC56F1" w:rsidP="00BC56F1">
            <w:pPr>
              <w:autoSpaceDE w:val="0"/>
              <w:autoSpaceDN w:val="0"/>
              <w:adjustRightInd w:val="0"/>
              <w:spacing w:before="100" w:beforeAutospacing="1" w:after="100" w:afterAutospacing="1" w:line="360" w:lineRule="auto"/>
              <w:jc w:val="both"/>
              <w:rPr>
                <w:rFonts w:ascii="Arial" w:hAnsi="Arial" w:cs="Arial"/>
                <w:szCs w:val="24"/>
              </w:rPr>
            </w:pPr>
            <w:r w:rsidRPr="00C73729">
              <w:rPr>
                <w:rFonts w:ascii="Arial" w:hAnsi="Arial" w:cs="Arial"/>
                <w:szCs w:val="24"/>
              </w:rPr>
              <w:t xml:space="preserve">Based the study from Ethiopia exposure to domestic animals, Latrine usage, water source, bottle feeding and nutritional status showed significant association with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infection</w:t>
            </w:r>
            <w:r w:rsidRPr="00C73729">
              <w:rPr>
                <w:rFonts w:ascii="Arial" w:hAnsi="Arial" w:cs="Arial"/>
                <w:i/>
                <w:szCs w:val="24"/>
              </w:rPr>
              <w:t xml:space="preserve"> </w:t>
            </w:r>
            <w:r w:rsidRPr="00C73729">
              <w:rPr>
                <w:rFonts w:ascii="Arial" w:hAnsi="Arial" w:cs="Arial"/>
                <w:noProof/>
                <w:szCs w:val="24"/>
              </w:rPr>
              <w:t>[13]</w:t>
            </w:r>
            <w:r w:rsidRPr="00C73729">
              <w:rPr>
                <w:rFonts w:ascii="Arial" w:hAnsi="Arial" w:cs="Arial"/>
                <w:i/>
                <w:szCs w:val="24"/>
              </w:rPr>
              <w:t>.</w:t>
            </w:r>
            <w:r w:rsidRPr="00C73729">
              <w:rPr>
                <w:rFonts w:ascii="Arial" w:hAnsi="Arial" w:cs="Arial"/>
                <w:szCs w:val="24"/>
              </w:rPr>
              <w:t xml:space="preserve"> From a study in Brazil, significant association was reported between Lower nutritional status and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infection </w:t>
            </w:r>
            <w:r w:rsidRPr="00C73729">
              <w:rPr>
                <w:rFonts w:ascii="Arial" w:hAnsi="Arial" w:cs="Arial"/>
                <w:noProof/>
                <w:szCs w:val="24"/>
              </w:rPr>
              <w:t>[20]</w:t>
            </w:r>
            <w:r w:rsidRPr="00C73729">
              <w:rPr>
                <w:rFonts w:ascii="Arial" w:hAnsi="Arial" w:cs="Arial"/>
                <w:szCs w:val="24"/>
              </w:rPr>
              <w:t>.</w:t>
            </w:r>
            <w:r>
              <w:rPr>
                <w:rFonts w:ascii="Arial" w:hAnsi="Arial" w:cs="Arial"/>
                <w:szCs w:val="24"/>
              </w:rPr>
              <w:t> </w:t>
            </w:r>
            <w:r w:rsidRPr="00C73729">
              <w:rPr>
                <w:rFonts w:ascii="Arial" w:hAnsi="Arial" w:cs="Arial"/>
                <w:color w:val="131413"/>
                <w:szCs w:val="24"/>
              </w:rPr>
              <w:t xml:space="preserve">Epidemiological information about </w:t>
            </w:r>
            <w:r w:rsidRPr="00C73729">
              <w:rPr>
                <w:rFonts w:ascii="Arial" w:hAnsi="Arial" w:cs="Arial"/>
                <w:szCs w:val="24"/>
              </w:rPr>
              <w:t xml:space="preserve">the prevalence, drug resistance and factors associated with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infection in U5C is none in one of the most populous city of Ethiopia, Bahi</w:t>
            </w:r>
            <w:r>
              <w:rPr>
                <w:rFonts w:ascii="Arial" w:hAnsi="Arial" w:cs="Arial"/>
                <w:szCs w:val="24"/>
              </w:rPr>
              <w:t>r Dar and its surrounding.</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696627" w:rsidP="0022554A">
            <w:pPr>
              <w:tabs>
                <w:tab w:val="left" w:pos="5400"/>
              </w:tabs>
              <w:rPr>
                <w:sz w:val="20"/>
              </w:rPr>
            </w:pPr>
            <w:r>
              <w:rPr>
                <w:sz w:val="20"/>
              </w:rPr>
              <w:lastRenderedPageBreak/>
              <w:t>3-5</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lastRenderedPageBreak/>
              <w:t>Objectives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3</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Pr>
                <w:rFonts w:ascii="Arial" w:hAnsi="Arial" w:cs="Arial"/>
                <w:szCs w:val="24"/>
              </w:rPr>
              <w:t>T</w:t>
            </w:r>
            <w:r w:rsidRPr="00C73729">
              <w:rPr>
                <w:rFonts w:ascii="Arial" w:hAnsi="Arial" w:cs="Arial"/>
                <w:szCs w:val="24"/>
              </w:rPr>
              <w:t>he aim of this study was to fill this information gab.</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01" w:type="dxa"/>
            <w:gridSpan w:val="4"/>
          </w:tcPr>
          <w:p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4</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sidRPr="00C73729">
              <w:rPr>
                <w:rFonts w:ascii="Arial" w:hAnsi="Arial" w:cs="Arial"/>
                <w:szCs w:val="24"/>
              </w:rPr>
              <w:t xml:space="preserve">Institution based cross-sectional study was conducted in selected four health </w:t>
            </w:r>
            <w:proofErr w:type="spellStart"/>
            <w:r w:rsidRPr="00C73729">
              <w:rPr>
                <w:rFonts w:ascii="Arial" w:hAnsi="Arial" w:cs="Arial"/>
                <w:szCs w:val="24"/>
              </w:rPr>
              <w:t>centers</w:t>
            </w:r>
            <w:proofErr w:type="spellEnd"/>
            <w:r w:rsidRPr="00C73729">
              <w:rPr>
                <w:rFonts w:ascii="Arial" w:hAnsi="Arial" w:cs="Arial"/>
                <w:szCs w:val="24"/>
              </w:rPr>
              <w:t xml:space="preserve"> in Bahir Dar city administration, Northwest Ethiopia. The study was conducted from February to May, 2019.</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696627" w:rsidP="0022554A">
            <w:pPr>
              <w:tabs>
                <w:tab w:val="left" w:pos="5400"/>
              </w:tabs>
              <w:rPr>
                <w:sz w:val="20"/>
              </w:rPr>
            </w:pPr>
            <w:r>
              <w:rPr>
                <w:sz w:val="20"/>
              </w:rPr>
              <w:t>5</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5</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BC56F1" w:rsidRDefault="00BC56F1" w:rsidP="00BC56F1">
            <w:pPr>
              <w:spacing w:before="100" w:beforeAutospacing="1" w:after="100" w:afterAutospacing="1" w:line="360" w:lineRule="auto"/>
              <w:jc w:val="both"/>
              <w:rPr>
                <w:rFonts w:ascii="Arial" w:hAnsi="Arial" w:cs="Arial"/>
                <w:szCs w:val="24"/>
              </w:rPr>
            </w:pPr>
            <w:r w:rsidRPr="00C73729">
              <w:rPr>
                <w:rFonts w:ascii="Arial" w:hAnsi="Arial" w:cs="Arial"/>
                <w:szCs w:val="24"/>
              </w:rPr>
              <w:t xml:space="preserve">The included four health </w:t>
            </w:r>
            <w:proofErr w:type="spellStart"/>
            <w:r w:rsidRPr="00C73729">
              <w:rPr>
                <w:rFonts w:ascii="Arial" w:hAnsi="Arial" w:cs="Arial"/>
                <w:szCs w:val="24"/>
              </w:rPr>
              <w:t>centers</w:t>
            </w:r>
            <w:proofErr w:type="spellEnd"/>
            <w:r w:rsidRPr="00C73729">
              <w:rPr>
                <w:rFonts w:ascii="Arial" w:hAnsi="Arial" w:cs="Arial"/>
                <w:szCs w:val="24"/>
              </w:rPr>
              <w:t xml:space="preserve"> include: </w:t>
            </w:r>
            <w:proofErr w:type="spellStart"/>
            <w:r w:rsidRPr="00C73729">
              <w:rPr>
                <w:rFonts w:ascii="Arial" w:hAnsi="Arial" w:cs="Arial"/>
                <w:szCs w:val="24"/>
              </w:rPr>
              <w:t>Shimibit</w:t>
            </w:r>
            <w:proofErr w:type="spellEnd"/>
            <w:r w:rsidRPr="00C73729">
              <w:rPr>
                <w:rFonts w:ascii="Arial" w:hAnsi="Arial" w:cs="Arial"/>
                <w:szCs w:val="24"/>
              </w:rPr>
              <w:t xml:space="preserve">, Han, </w:t>
            </w:r>
            <w:proofErr w:type="spellStart"/>
            <w:r w:rsidRPr="00C73729">
              <w:rPr>
                <w:rFonts w:ascii="Arial" w:hAnsi="Arial" w:cs="Arial"/>
                <w:szCs w:val="24"/>
              </w:rPr>
              <w:t>Menilik</w:t>
            </w:r>
            <w:proofErr w:type="spellEnd"/>
            <w:r w:rsidRPr="00C73729">
              <w:rPr>
                <w:rFonts w:ascii="Arial" w:hAnsi="Arial" w:cs="Arial"/>
                <w:szCs w:val="24"/>
              </w:rPr>
              <w:t xml:space="preserve"> II and </w:t>
            </w:r>
            <w:proofErr w:type="spellStart"/>
            <w:r w:rsidRPr="00C73729">
              <w:rPr>
                <w:rFonts w:ascii="Arial" w:hAnsi="Arial" w:cs="Arial"/>
                <w:szCs w:val="24"/>
              </w:rPr>
              <w:t>Shumabo</w:t>
            </w:r>
            <w:proofErr w:type="spellEnd"/>
            <w:r w:rsidRPr="00C73729">
              <w:rPr>
                <w:rFonts w:ascii="Arial" w:hAnsi="Arial" w:cs="Arial"/>
                <w:szCs w:val="24"/>
              </w:rPr>
              <w:t xml:space="preserve">.  These health </w:t>
            </w:r>
            <w:proofErr w:type="spellStart"/>
            <w:r w:rsidRPr="00C73729">
              <w:rPr>
                <w:rFonts w:ascii="Arial" w:hAnsi="Arial" w:cs="Arial"/>
                <w:szCs w:val="24"/>
              </w:rPr>
              <w:t>centers</w:t>
            </w:r>
            <w:proofErr w:type="spellEnd"/>
            <w:r w:rsidRPr="00C73729">
              <w:rPr>
                <w:rFonts w:ascii="Arial" w:hAnsi="Arial" w:cs="Arial"/>
                <w:szCs w:val="24"/>
              </w:rPr>
              <w:t xml:space="preserve"> provide basic primary health care services such as OPD, emergency, family planning, extended program of immunization, antenatal care, postnatal care, delivery, pregnant mother testing </w:t>
            </w:r>
            <w:proofErr w:type="spellStart"/>
            <w:r w:rsidRPr="00C73729">
              <w:rPr>
                <w:rFonts w:ascii="Arial" w:hAnsi="Arial" w:cs="Arial"/>
                <w:szCs w:val="24"/>
              </w:rPr>
              <w:t>counseling</w:t>
            </w:r>
            <w:proofErr w:type="spellEnd"/>
            <w:r w:rsidRPr="00C73729">
              <w:rPr>
                <w:rFonts w:ascii="Arial" w:hAnsi="Arial" w:cs="Arial"/>
                <w:szCs w:val="24"/>
              </w:rPr>
              <w:t xml:space="preserve"> and treating, TB/HIV, voluntary concealing and testing, antiretroviral treatment, laboratory, pharmacy and other. The health </w:t>
            </w:r>
            <w:proofErr w:type="spellStart"/>
            <w:r w:rsidRPr="00C73729">
              <w:rPr>
                <w:rFonts w:ascii="Arial" w:hAnsi="Arial" w:cs="Arial"/>
                <w:szCs w:val="24"/>
              </w:rPr>
              <w:t>centers</w:t>
            </w:r>
            <w:proofErr w:type="spellEnd"/>
            <w:r w:rsidRPr="00C73729">
              <w:rPr>
                <w:rFonts w:ascii="Arial" w:hAnsi="Arial" w:cs="Arial"/>
                <w:szCs w:val="24"/>
              </w:rPr>
              <w:t xml:space="preserve"> are found in urban slum area where most of the communities lead their life through </w:t>
            </w:r>
            <w:r w:rsidRPr="00C73729">
              <w:rPr>
                <w:rFonts w:ascii="Arial" w:hAnsi="Arial" w:cs="Arial"/>
                <w:color w:val="000000"/>
                <w:szCs w:val="24"/>
                <w:shd w:val="clear" w:color="auto" w:fill="FFFFFF"/>
              </w:rPr>
              <w:t xml:space="preserve">livestock agriculture. Their main </w:t>
            </w:r>
            <w:r w:rsidRPr="00C73729">
              <w:rPr>
                <w:rFonts w:ascii="Arial" w:hAnsi="Arial" w:cs="Arial"/>
                <w:color w:val="000000"/>
                <w:szCs w:val="24"/>
                <w:shd w:val="clear" w:color="auto" w:fill="FFFFFF"/>
              </w:rPr>
              <w:lastRenderedPageBreak/>
              <w:t>source of income is the animal products including Cow dung which can be used for fuel and building material. Majority of the city animal products (Milk, egg) are come from these slum agriculture business.</w:t>
            </w:r>
            <w:r w:rsidRPr="00C73729">
              <w:rPr>
                <w:rFonts w:ascii="Arial" w:hAnsi="Arial" w:cs="Arial"/>
                <w:szCs w:val="24"/>
              </w:rPr>
              <w:t xml:space="preserve"> The area are place of open animal slaughtered area. </w:t>
            </w:r>
            <w:r w:rsidRPr="00C73729">
              <w:rPr>
                <w:rFonts w:ascii="Arial" w:hAnsi="Arial" w:cs="Arial"/>
                <w:color w:val="000000"/>
                <w:szCs w:val="24"/>
                <w:shd w:val="clear" w:color="auto" w:fill="FFFFFF"/>
              </w:rPr>
              <w:t xml:space="preserve">Moreover, all types waste disposal system is very poor which pose major health risk for both animal and villagers.  The practice of unsupervised veterinary drugs administration to domestic animals is common in the study are such practice has the potential for </w:t>
            </w:r>
            <w:proofErr w:type="spellStart"/>
            <w:r w:rsidRPr="00C73729">
              <w:rPr>
                <w:rFonts w:ascii="Arial" w:hAnsi="Arial" w:cs="Arial"/>
                <w:color w:val="000000"/>
                <w:szCs w:val="24"/>
                <w:shd w:val="clear" w:color="auto" w:fill="FFFFFF"/>
              </w:rPr>
              <w:t>fueling</w:t>
            </w:r>
            <w:proofErr w:type="spellEnd"/>
            <w:r w:rsidRPr="00C73729">
              <w:rPr>
                <w:rFonts w:ascii="Arial" w:hAnsi="Arial" w:cs="Arial"/>
                <w:color w:val="000000"/>
                <w:szCs w:val="24"/>
                <w:shd w:val="clear" w:color="auto" w:fill="FFFFFF"/>
              </w:rPr>
              <w:t xml:space="preserve"> drug resistance in veterinary and medical important pathogens. </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696627" w:rsidP="0022554A">
            <w:pPr>
              <w:tabs>
                <w:tab w:val="left" w:pos="5400"/>
              </w:tabs>
              <w:rPr>
                <w:sz w:val="20"/>
              </w:rPr>
            </w:pPr>
            <w:r>
              <w:rPr>
                <w:sz w:val="20"/>
              </w:rPr>
              <w:lastRenderedPageBreak/>
              <w:t>5-6</w:t>
            </w:r>
          </w:p>
        </w:tc>
      </w:tr>
      <w:bookmarkEnd w:id="25"/>
      <w:bookmarkEnd w:id="26"/>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r w:rsidRPr="0022554A">
              <w:rPr>
                <w:bCs/>
                <w:sz w:val="20"/>
              </w:rPr>
              <w:t>Participants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6</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BC56F1" w:rsidRDefault="00BC56F1" w:rsidP="00BC56F1">
            <w:pPr>
              <w:autoSpaceDE w:val="0"/>
              <w:autoSpaceDN w:val="0"/>
              <w:adjustRightInd w:val="0"/>
              <w:spacing w:before="100" w:beforeAutospacing="1" w:after="100" w:afterAutospacing="1" w:line="360" w:lineRule="auto"/>
              <w:jc w:val="both"/>
              <w:rPr>
                <w:rFonts w:ascii="Arial" w:hAnsi="Arial" w:cs="Arial"/>
                <w:szCs w:val="24"/>
              </w:rPr>
            </w:pPr>
            <w:r w:rsidRPr="00C73729">
              <w:rPr>
                <w:rFonts w:ascii="Arial" w:hAnsi="Arial" w:cs="Arial"/>
                <w:szCs w:val="24"/>
              </w:rPr>
              <w:t>Under-five children with acute gastroenteritis were the study population. Children who took antibacterial within the last two weeks were excluded. Moreover, children who were on treatment at the time of data collection were excluded.</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696627" w:rsidP="0022554A">
            <w:pPr>
              <w:tabs>
                <w:tab w:val="left" w:pos="5400"/>
              </w:tabs>
              <w:rPr>
                <w:sz w:val="20"/>
              </w:rPr>
            </w:pPr>
            <w:r>
              <w:rPr>
                <w:sz w:val="20"/>
              </w:rPr>
              <w:t>6</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7</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BC56F1" w:rsidRDefault="00BC56F1" w:rsidP="00BC56F1">
            <w:pPr>
              <w:pStyle w:val="Heading3"/>
              <w:numPr>
                <w:ilvl w:val="0"/>
                <w:numId w:val="0"/>
              </w:numPr>
              <w:spacing w:before="100" w:beforeAutospacing="1" w:after="100" w:afterAutospacing="1" w:line="360" w:lineRule="auto"/>
              <w:jc w:val="both"/>
              <w:outlineLvl w:val="2"/>
              <w:rPr>
                <w:rFonts w:cs="Arial"/>
                <w:b/>
                <w:color w:val="000000"/>
              </w:rPr>
            </w:pPr>
            <w:bookmarkStart w:id="29" w:name="_Toc42775938"/>
            <w:r w:rsidRPr="00C73729">
              <w:rPr>
                <w:rFonts w:cs="Arial"/>
                <w:color w:val="000000"/>
              </w:rPr>
              <w:t>While the dependent variable</w:t>
            </w:r>
            <w:bookmarkEnd w:id="29"/>
            <w:r w:rsidRPr="00C73729">
              <w:rPr>
                <w:rFonts w:cs="Arial"/>
                <w:color w:val="000000"/>
              </w:rPr>
              <w:t xml:space="preserve">s include </w:t>
            </w:r>
            <w:r w:rsidRPr="00C73729">
              <w:rPr>
                <w:rFonts w:cs="Arial"/>
                <w:i/>
              </w:rPr>
              <w:t xml:space="preserve">C. </w:t>
            </w:r>
            <w:proofErr w:type="spellStart"/>
            <w:r w:rsidRPr="00C73729">
              <w:rPr>
                <w:rFonts w:cs="Arial"/>
                <w:i/>
              </w:rPr>
              <w:t>jejuni</w:t>
            </w:r>
            <w:proofErr w:type="spellEnd"/>
            <w:r w:rsidRPr="00C73729">
              <w:rPr>
                <w:rFonts w:cs="Arial"/>
                <w:color w:val="000000"/>
              </w:rPr>
              <w:t xml:space="preserve">, the independent variable include:  age, sex, occupation of care giver and care givers  (mother, father, other), residency, health </w:t>
            </w:r>
            <w:proofErr w:type="spellStart"/>
            <w:r w:rsidRPr="00C73729">
              <w:rPr>
                <w:rFonts w:cs="Arial"/>
                <w:color w:val="000000"/>
              </w:rPr>
              <w:t>center</w:t>
            </w:r>
            <w:proofErr w:type="spellEnd"/>
            <w:r w:rsidRPr="00C73729">
              <w:rPr>
                <w:rFonts w:cs="Arial"/>
                <w:color w:val="000000"/>
              </w:rPr>
              <w:t>, hand washing, latrine utilization, cleaning agents used, practice of bottle feeding, nutritional status, contact with domestic animals and chief clinical symptoms (abdominal pain, fever, vomiting, and type, frequency and duration of diarrhoea).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696627" w:rsidP="0022554A">
            <w:pPr>
              <w:tabs>
                <w:tab w:val="left" w:pos="5400"/>
              </w:tabs>
              <w:rPr>
                <w:sz w:val="20"/>
              </w:rPr>
            </w:pPr>
            <w:r>
              <w:rPr>
                <w:sz w:val="20"/>
              </w:rPr>
              <w:t>6</w:t>
            </w:r>
          </w:p>
        </w:tc>
      </w:tr>
      <w:tr w:rsidR="00F968F7" w:rsidRPr="0022554A" w:rsidTr="00BC56F1">
        <w:trPr>
          <w:trHeight w:val="294"/>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30" w:name="bold17"/>
            <w:bookmarkStart w:id="31" w:name="italic18"/>
            <w:bookmarkEnd w:id="27"/>
            <w:bookmarkEnd w:id="28"/>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8</w:t>
            </w:r>
            <w:bookmarkStart w:id="34" w:name="bold19"/>
            <w:r w:rsidRPr="0022554A">
              <w:rPr>
                <w:bCs/>
                <w:sz w:val="20"/>
              </w:rPr>
              <w:t>*</w:t>
            </w:r>
            <w:bookmarkEnd w:id="34"/>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F968F7" w:rsidP="00BC56F1">
            <w:pPr>
              <w:tabs>
                <w:tab w:val="left" w:pos="5400"/>
              </w:tabs>
              <w:rPr>
                <w:sz w:val="20"/>
              </w:rPr>
            </w:pPr>
            <w:r w:rsidRPr="0022554A">
              <w:rPr>
                <w:i/>
                <w:sz w:val="20"/>
              </w:rPr>
              <w:t xml:space="preserve"> </w:t>
            </w:r>
            <w:r w:rsidR="00BC56F1">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i/>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9</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color w:val="000000"/>
                <w:sz w:val="20"/>
              </w:rPr>
            </w:pPr>
            <w:r w:rsidRPr="00C73729">
              <w:rPr>
                <w:rFonts w:ascii="Arial" w:hAnsi="Arial" w:cs="Arial"/>
                <w:color w:val="000000"/>
                <w:szCs w:val="24"/>
              </w:rPr>
              <w:t>To assess the presence of correlation among independent variables, multicollinearity analyses was executed using linear regression analyses. Then, bivariate logistic regression was carried out and variables with a p-value of less than 0.2 were entered in to multivariate logistic regression analysis.</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22554A">
            <w:pPr>
              <w:tabs>
                <w:tab w:val="left" w:pos="5400"/>
              </w:tabs>
              <w:rPr>
                <w:color w:val="000000"/>
                <w:sz w:val="20"/>
              </w:rPr>
            </w:pPr>
            <w:r>
              <w:rPr>
                <w:color w:val="000000"/>
                <w:sz w:val="20"/>
              </w:rPr>
              <w:t>9</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10</w:t>
            </w:r>
          </w:p>
        </w:tc>
        <w:tc>
          <w:tcPr>
            <w:cnfStyle w:val="000010000000" w:firstRow="0" w:lastRow="0" w:firstColumn="0" w:lastColumn="0" w:oddVBand="1" w:evenVBand="0" w:oddHBand="0" w:evenHBand="0" w:firstRowFirstColumn="0" w:firstRowLastColumn="0" w:lastRowFirstColumn="0" w:lastRowLastColumn="0"/>
            <w:tcW w:w="7664" w:type="dxa"/>
          </w:tcPr>
          <w:p w:rsidR="00BC56F1" w:rsidRPr="00C73729" w:rsidRDefault="00BC56F1" w:rsidP="00BC56F1">
            <w:pPr>
              <w:autoSpaceDE w:val="0"/>
              <w:autoSpaceDN w:val="0"/>
              <w:adjustRightInd w:val="0"/>
              <w:spacing w:before="100" w:beforeAutospacing="1" w:after="100" w:afterAutospacing="1" w:line="360" w:lineRule="auto"/>
              <w:jc w:val="both"/>
              <w:rPr>
                <w:rFonts w:ascii="Arial" w:hAnsi="Arial" w:cs="Arial"/>
                <w:szCs w:val="24"/>
              </w:rPr>
            </w:pPr>
            <w:r w:rsidRPr="00C73729">
              <w:rPr>
                <w:rFonts w:ascii="Arial" w:hAnsi="Arial" w:cs="Arial"/>
                <w:color w:val="000000"/>
                <w:szCs w:val="24"/>
              </w:rPr>
              <w:t>The sample size was calculated based on single population proportion formula by taking a 15% prevalence among under five children from Gondar, Ethiopia</w:t>
            </w:r>
            <w:r w:rsidRPr="00C73729">
              <w:rPr>
                <w:rFonts w:ascii="Arial" w:hAnsi="Arial" w:cs="Arial"/>
                <w:szCs w:val="24"/>
              </w:rPr>
              <w:t xml:space="preserve">. </w:t>
            </w:r>
            <w:r w:rsidRPr="00C73729">
              <w:rPr>
                <w:rFonts w:ascii="Arial" w:hAnsi="Arial" w:cs="Arial"/>
                <w:color w:val="000000"/>
                <w:szCs w:val="24"/>
              </w:rPr>
              <w:t xml:space="preserve">Margin of error was set to 5% and 95% confidence interval (alpha = 0.05). </w:t>
            </w:r>
          </w:p>
          <w:p w:rsidR="00BC56F1" w:rsidRPr="00C73729" w:rsidRDefault="00BC56F1" w:rsidP="00BC56F1">
            <w:pPr>
              <w:pStyle w:val="ListParagraph"/>
              <w:autoSpaceDE w:val="0"/>
              <w:autoSpaceDN w:val="0"/>
              <w:adjustRightInd w:val="0"/>
              <w:spacing w:before="100" w:beforeAutospacing="1" w:after="100" w:afterAutospacing="1" w:line="360" w:lineRule="auto"/>
              <w:rPr>
                <w:rFonts w:ascii="Arial" w:hAnsi="Arial" w:cs="Arial"/>
                <w:color w:val="000000"/>
                <w:sz w:val="24"/>
                <w:szCs w:val="24"/>
              </w:rPr>
            </w:pPr>
            <w:r w:rsidRPr="00C73729">
              <w:rPr>
                <w:rFonts w:ascii="Arial" w:hAnsi="Arial" w:cs="Arial"/>
                <w:b/>
                <w:color w:val="000000"/>
                <w:sz w:val="24"/>
                <w:szCs w:val="24"/>
              </w:rPr>
              <w:t xml:space="preserve">           n =</w:t>
            </w:r>
            <w:r w:rsidRPr="00C73729">
              <w:rPr>
                <w:rFonts w:ascii="Arial" w:hAnsi="Arial" w:cs="Arial"/>
                <w:i/>
                <w:color w:val="000000"/>
                <w:sz w:val="24"/>
                <w:szCs w:val="24"/>
              </w:rPr>
              <w:tab/>
            </w:r>
            <m:oMath>
              <m:f>
                <m:fPr>
                  <m:ctrlPr>
                    <w:rPr>
                      <w:rFonts w:ascii="Cambria Math" w:hAnsi="Cambria Math" w:cs="Arial"/>
                      <w:color w:val="000000"/>
                      <w:sz w:val="24"/>
                      <w:szCs w:val="24"/>
                    </w:rPr>
                  </m:ctrlPr>
                </m:fPr>
                <m:num>
                  <m:sSup>
                    <m:sSupPr>
                      <m:ctrlPr>
                        <w:rPr>
                          <w:rFonts w:ascii="Cambria Math" w:hAnsi="Cambria Math" w:cs="Arial"/>
                          <w:color w:val="000000"/>
                          <w:sz w:val="24"/>
                          <w:szCs w:val="24"/>
                        </w:rPr>
                      </m:ctrlPr>
                    </m:sSupPr>
                    <m:e>
                      <m:r>
                        <m:rPr>
                          <m:sty m:val="p"/>
                        </m:rPr>
                        <w:rPr>
                          <w:rFonts w:ascii="Cambria Math" w:hAnsi="Cambria Math" w:cs="Arial"/>
                          <w:color w:val="000000"/>
                          <w:sz w:val="24"/>
                          <w:szCs w:val="24"/>
                        </w:rPr>
                        <m:t>Z</m:t>
                      </m:r>
                    </m:e>
                    <m:sup>
                      <m:r>
                        <m:rPr>
                          <m:sty m:val="p"/>
                        </m:rPr>
                        <w:rPr>
                          <w:rFonts w:ascii="Cambria Math" w:hAnsi="Cambria Math" w:cs="Arial"/>
                          <w:color w:val="000000"/>
                          <w:sz w:val="24"/>
                          <w:szCs w:val="24"/>
                        </w:rPr>
                        <m:t>2</m:t>
                      </m:r>
                    </m:sup>
                  </m:sSup>
                  <m:r>
                    <m:rPr>
                      <m:sty m:val="p"/>
                    </m:rPr>
                    <w:rPr>
                      <w:rFonts w:ascii="Cambria Math" w:hAnsi="Cambria Math" w:cs="Arial"/>
                      <w:color w:val="000000"/>
                      <w:sz w:val="24"/>
                      <w:szCs w:val="24"/>
                    </w:rPr>
                    <m:t>pq</m:t>
                  </m:r>
                </m:num>
                <m:den>
                  <m:sSup>
                    <m:sSupPr>
                      <m:ctrlPr>
                        <w:rPr>
                          <w:rFonts w:ascii="Cambria Math" w:hAnsi="Cambria Math" w:cs="Arial"/>
                          <w:color w:val="000000"/>
                          <w:sz w:val="24"/>
                          <w:szCs w:val="24"/>
                        </w:rPr>
                      </m:ctrlPr>
                    </m:sSupPr>
                    <m:e>
                      <m:r>
                        <m:rPr>
                          <m:sty m:val="p"/>
                        </m:rPr>
                        <w:rPr>
                          <w:rFonts w:ascii="Cambria Math" w:hAnsi="Cambria Math" w:cs="Arial"/>
                          <w:color w:val="000000"/>
                          <w:sz w:val="24"/>
                          <w:szCs w:val="24"/>
                        </w:rPr>
                        <m:t>W</m:t>
                      </m:r>
                    </m:e>
                    <m:sup>
                      <m:r>
                        <m:rPr>
                          <m:sty m:val="p"/>
                        </m:rPr>
                        <w:rPr>
                          <w:rFonts w:ascii="Cambria Math" w:hAnsi="Cambria Math" w:cs="Arial"/>
                          <w:color w:val="000000"/>
                          <w:sz w:val="24"/>
                          <w:szCs w:val="24"/>
                        </w:rPr>
                        <m:t>2</m:t>
                      </m:r>
                    </m:sup>
                  </m:sSup>
                </m:den>
              </m:f>
            </m:oMath>
            <w:r w:rsidRPr="00C73729">
              <w:rPr>
                <w:rFonts w:ascii="Arial" w:hAnsi="Arial" w:cs="Arial"/>
                <w:color w:val="000000"/>
                <w:sz w:val="24"/>
                <w:szCs w:val="24"/>
              </w:rPr>
              <w:tab/>
            </w:r>
          </w:p>
          <w:p w:rsidR="00BC56F1" w:rsidRPr="00C73729" w:rsidRDefault="00BC56F1" w:rsidP="00BC56F1">
            <w:pPr>
              <w:pStyle w:val="ListParagraph"/>
              <w:autoSpaceDE w:val="0"/>
              <w:autoSpaceDN w:val="0"/>
              <w:adjustRightInd w:val="0"/>
              <w:spacing w:before="100" w:beforeAutospacing="1" w:after="100" w:afterAutospacing="1" w:line="360" w:lineRule="auto"/>
              <w:rPr>
                <w:rFonts w:ascii="Arial" w:hAnsi="Arial" w:cs="Arial"/>
                <w:color w:val="000000"/>
                <w:sz w:val="24"/>
                <w:szCs w:val="24"/>
              </w:rPr>
            </w:pPr>
            <w:r w:rsidRPr="00C73729">
              <w:rPr>
                <w:rFonts w:ascii="Arial" w:hAnsi="Arial" w:cs="Arial"/>
                <w:color w:val="000000"/>
                <w:sz w:val="24"/>
                <w:szCs w:val="24"/>
              </w:rPr>
              <w:lastRenderedPageBreak/>
              <w:t xml:space="preserve">Where: n = Sample size, p = prevalence of </w:t>
            </w:r>
            <w:r w:rsidRPr="00C73729">
              <w:rPr>
                <w:rFonts w:ascii="Arial" w:hAnsi="Arial" w:cs="Arial"/>
                <w:i/>
                <w:sz w:val="24"/>
                <w:szCs w:val="24"/>
              </w:rPr>
              <w:t xml:space="preserve">C. </w:t>
            </w:r>
            <w:proofErr w:type="spellStart"/>
            <w:r w:rsidRPr="00C73729">
              <w:rPr>
                <w:rFonts w:ascii="Arial" w:hAnsi="Arial" w:cs="Arial"/>
                <w:i/>
                <w:sz w:val="24"/>
                <w:szCs w:val="24"/>
              </w:rPr>
              <w:t>jejuni</w:t>
            </w:r>
            <w:proofErr w:type="spellEnd"/>
            <w:r w:rsidRPr="00C73729">
              <w:rPr>
                <w:rFonts w:ascii="Arial" w:hAnsi="Arial" w:cs="Arial"/>
                <w:i/>
                <w:sz w:val="24"/>
                <w:szCs w:val="24"/>
              </w:rPr>
              <w:t xml:space="preserve"> </w:t>
            </w:r>
            <w:r w:rsidRPr="00C73729">
              <w:rPr>
                <w:rFonts w:ascii="Arial" w:hAnsi="Arial" w:cs="Arial"/>
                <w:sz w:val="24"/>
                <w:szCs w:val="24"/>
              </w:rPr>
              <w:t>in under five children</w:t>
            </w:r>
            <w:r w:rsidRPr="00C73729">
              <w:rPr>
                <w:rFonts w:ascii="Arial" w:hAnsi="Arial" w:cs="Arial"/>
                <w:color w:val="000000"/>
                <w:sz w:val="24"/>
                <w:szCs w:val="24"/>
              </w:rPr>
              <w:t>, 15%, q =1-p,       z = critical value 1.96, W = precision (margin of error) = 0.05</w:t>
            </w:r>
          </w:p>
          <w:p w:rsidR="00BC56F1" w:rsidRPr="00C73729" w:rsidRDefault="00BC56F1" w:rsidP="00BC56F1">
            <w:pPr>
              <w:pStyle w:val="ListParagraph"/>
              <w:autoSpaceDE w:val="0"/>
              <w:autoSpaceDN w:val="0"/>
              <w:adjustRightInd w:val="0"/>
              <w:spacing w:before="100" w:beforeAutospacing="1" w:after="100" w:afterAutospacing="1" w:line="360" w:lineRule="auto"/>
              <w:rPr>
                <w:rFonts w:ascii="Arial" w:hAnsi="Arial" w:cs="Arial"/>
                <w:color w:val="000000"/>
                <w:sz w:val="24"/>
                <w:szCs w:val="24"/>
              </w:rPr>
            </w:pPr>
            <w:r w:rsidRPr="00C73729">
              <w:rPr>
                <w:rFonts w:ascii="Arial" w:hAnsi="Arial" w:cs="Arial"/>
                <w:color w:val="000000"/>
                <w:sz w:val="24"/>
                <w:szCs w:val="24"/>
              </w:rPr>
              <w:t xml:space="preserve"> Thus the sample size is</w:t>
            </w:r>
            <w:r w:rsidRPr="00C73729">
              <w:rPr>
                <w:rFonts w:ascii="Arial" w:hAnsi="Arial" w:cs="Arial"/>
                <w:color w:val="000000"/>
                <w:sz w:val="24"/>
                <w:szCs w:val="24"/>
              </w:rPr>
              <w:tab/>
              <w:t xml:space="preserve">n=  </w:t>
            </w:r>
            <m:oMath>
              <m:f>
                <m:fPr>
                  <m:ctrlPr>
                    <w:rPr>
                      <w:rFonts w:ascii="Cambria Math" w:hAnsi="Cambria Math" w:cs="Arial"/>
                      <w:i/>
                      <w:color w:val="000000"/>
                      <w:sz w:val="24"/>
                      <w:szCs w:val="24"/>
                    </w:rPr>
                  </m:ctrlPr>
                </m:fPr>
                <m:num>
                  <m:sSup>
                    <m:sSupPr>
                      <m:ctrlPr>
                        <w:rPr>
                          <w:rFonts w:ascii="Cambria Math" w:hAnsi="Cambria Math" w:cs="Arial"/>
                          <w:color w:val="000000"/>
                          <w:sz w:val="24"/>
                          <w:szCs w:val="24"/>
                        </w:rPr>
                      </m:ctrlPr>
                    </m:sSupPr>
                    <m:e>
                      <m:r>
                        <m:rPr>
                          <m:sty m:val="p"/>
                        </m:rPr>
                        <w:rPr>
                          <w:rFonts w:ascii="Cambria Math" w:hAnsi="Cambria Math" w:cs="Arial"/>
                          <w:color w:val="000000"/>
                          <w:sz w:val="24"/>
                          <w:szCs w:val="24"/>
                        </w:rPr>
                        <m:t>(1.96)</m:t>
                      </m:r>
                    </m:e>
                    <m:sup>
                      <m:r>
                        <w:rPr>
                          <w:rFonts w:ascii="Cambria Math" w:hAnsi="Cambria Math" w:cs="Arial"/>
                          <w:color w:val="000000"/>
                          <w:sz w:val="24"/>
                          <w:szCs w:val="24"/>
                        </w:rPr>
                        <m:t>2</m:t>
                      </m:r>
                    </m:sup>
                  </m:sSup>
                  <m:r>
                    <m:rPr>
                      <m:sty m:val="p"/>
                    </m:rPr>
                    <w:rPr>
                      <w:rFonts w:ascii="Cambria Math" w:hAnsi="Cambria Math" w:cs="Arial"/>
                      <w:color w:val="000000"/>
                      <w:sz w:val="24"/>
                      <w:szCs w:val="24"/>
                    </w:rPr>
                    <m:t>×</m:t>
                  </m:r>
                  <m:r>
                    <w:rPr>
                      <w:rFonts w:ascii="Cambria Math" w:hAnsi="Cambria Math" w:cs="Arial"/>
                      <w:color w:val="000000"/>
                      <w:sz w:val="24"/>
                      <w:szCs w:val="24"/>
                    </w:rPr>
                    <m:t>0.15</m:t>
                  </m:r>
                  <m:r>
                    <m:rPr>
                      <m:sty m:val="p"/>
                    </m:rPr>
                    <w:rPr>
                      <w:rFonts w:ascii="Cambria Math" w:hAnsi="Cambria Math" w:cs="Arial"/>
                      <w:color w:val="000000"/>
                      <w:sz w:val="24"/>
                      <w:szCs w:val="24"/>
                    </w:rPr>
                    <m:t>×</m:t>
                  </m:r>
                  <m:r>
                    <w:rPr>
                      <w:rFonts w:ascii="Cambria Math" w:hAnsi="Cambria Math" w:cs="Arial"/>
                      <w:color w:val="000000"/>
                      <w:sz w:val="24"/>
                      <w:szCs w:val="24"/>
                    </w:rPr>
                    <m:t>0.85</m:t>
                  </m:r>
                </m:num>
                <m:den>
                  <m:sSup>
                    <m:sSupPr>
                      <m:ctrlPr>
                        <w:rPr>
                          <w:rFonts w:ascii="Cambria Math" w:hAnsi="Cambria Math" w:cs="Arial"/>
                          <w:color w:val="000000"/>
                          <w:sz w:val="24"/>
                          <w:szCs w:val="24"/>
                        </w:rPr>
                      </m:ctrlPr>
                    </m:sSupPr>
                    <m:e>
                      <m:r>
                        <w:rPr>
                          <w:rFonts w:ascii="Cambria Math" w:hAnsi="Cambria Math" w:cs="Arial"/>
                          <w:color w:val="000000"/>
                          <w:sz w:val="24"/>
                          <w:szCs w:val="24"/>
                        </w:rPr>
                        <m:t>(0.05)</m:t>
                      </m:r>
                    </m:e>
                    <m:sup>
                      <m:r>
                        <w:rPr>
                          <w:rFonts w:ascii="Cambria Math" w:hAnsi="Cambria Math" w:cs="Arial"/>
                          <w:color w:val="000000"/>
                          <w:sz w:val="24"/>
                          <w:szCs w:val="24"/>
                        </w:rPr>
                        <m:t>2</m:t>
                      </m:r>
                    </m:sup>
                  </m:sSup>
                </m:den>
              </m:f>
            </m:oMath>
            <w:r w:rsidRPr="00C73729">
              <w:rPr>
                <w:rFonts w:ascii="Arial" w:hAnsi="Arial" w:cs="Arial"/>
                <w:color w:val="000000"/>
                <w:sz w:val="24"/>
                <w:szCs w:val="24"/>
              </w:rPr>
              <w:t xml:space="preserve">    =</w:t>
            </w:r>
            <m:oMath>
              <m:f>
                <m:fPr>
                  <m:ctrlPr>
                    <w:rPr>
                      <w:rFonts w:ascii="Cambria Math" w:hAnsi="Cambria Math" w:cs="Arial"/>
                      <w:i/>
                      <w:color w:val="000000"/>
                      <w:sz w:val="24"/>
                      <w:szCs w:val="24"/>
                    </w:rPr>
                  </m:ctrlPr>
                </m:fPr>
                <m:num>
                  <m:r>
                    <w:rPr>
                      <w:rFonts w:ascii="Cambria Math" w:hAnsi="Cambria Math" w:cs="Arial"/>
                      <w:color w:val="000000"/>
                      <w:sz w:val="24"/>
                      <w:szCs w:val="24"/>
                    </w:rPr>
                    <m:t>0.4896</m:t>
                  </m:r>
                </m:num>
                <m:den>
                  <m:r>
                    <w:rPr>
                      <w:rFonts w:ascii="Cambria Math" w:hAnsi="Cambria Math" w:cs="Arial"/>
                      <w:color w:val="000000"/>
                      <w:sz w:val="24"/>
                      <w:szCs w:val="24"/>
                    </w:rPr>
                    <m:t>0.0025</m:t>
                  </m:r>
                </m:den>
              </m:f>
            </m:oMath>
            <w:r w:rsidRPr="00C73729">
              <w:rPr>
                <w:rFonts w:ascii="Arial" w:hAnsi="Arial" w:cs="Arial"/>
                <w:color w:val="000000"/>
                <w:sz w:val="24"/>
                <w:szCs w:val="24"/>
              </w:rPr>
              <w:t xml:space="preserve">   = 195.84=196</w:t>
            </w:r>
          </w:p>
          <w:p w:rsidR="00F968F7" w:rsidRPr="00BC56F1" w:rsidRDefault="00BC56F1" w:rsidP="00BC56F1">
            <w:pPr>
              <w:autoSpaceDE w:val="0"/>
              <w:autoSpaceDN w:val="0"/>
              <w:adjustRightInd w:val="0"/>
              <w:spacing w:before="100" w:beforeAutospacing="1" w:after="100" w:afterAutospacing="1" w:line="360" w:lineRule="auto"/>
              <w:jc w:val="both"/>
              <w:rPr>
                <w:rFonts w:ascii="Arial" w:hAnsi="Arial" w:cs="Arial"/>
                <w:color w:val="000000"/>
                <w:szCs w:val="24"/>
              </w:rPr>
            </w:pPr>
            <w:r w:rsidRPr="00C73729">
              <w:rPr>
                <w:rFonts w:ascii="Arial" w:hAnsi="Arial" w:cs="Arial"/>
                <w:color w:val="000000"/>
                <w:szCs w:val="24"/>
              </w:rPr>
              <w:t>Participants were enrolled consecutively until the required sample size was achieved.</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22554A">
            <w:pPr>
              <w:tabs>
                <w:tab w:val="left" w:pos="5400"/>
              </w:tabs>
              <w:rPr>
                <w:sz w:val="20"/>
              </w:rPr>
            </w:pPr>
            <w:r>
              <w:rPr>
                <w:sz w:val="20"/>
              </w:rPr>
              <w:lastRenderedPageBreak/>
              <w:t>6</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11</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BC56F1" w:rsidRDefault="00BC56F1" w:rsidP="00BC56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A structured Amharic version questionnaire was used to collect data about the demographic characteristics of children and the guardian. Data were collected through face to face interview of the guardian and the weight and height of the children were measured by nurses who administered the questionnaire.</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22554A">
            <w:pPr>
              <w:tabs>
                <w:tab w:val="left" w:pos="5400"/>
              </w:tabs>
              <w:rPr>
                <w:sz w:val="20"/>
              </w:rPr>
            </w:pPr>
            <w:r>
              <w:rPr>
                <w:sz w:val="20"/>
              </w:rPr>
              <w:t>7-8</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val="restart"/>
          </w:tcPr>
          <w:p w:rsidR="00F968F7" w:rsidRPr="0022554A" w:rsidRDefault="00F968F7" w:rsidP="0022554A">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cnfStyle w:val="000001000000" w:firstRow="0" w:lastRow="0" w:firstColumn="0" w:lastColumn="0" w:oddVBand="0" w:evenVBand="1" w:oddHBand="0" w:evenHBand="0" w:firstRowFirstColumn="0" w:firstRowLastColumn="0" w:lastRowFirstColumn="0" w:lastRowLastColumn="0"/>
            <w:tcW w:w="630" w:type="dxa"/>
            <w:vMerge w:val="restart"/>
          </w:tcPr>
          <w:p w:rsidR="00F968F7" w:rsidRPr="0022554A" w:rsidRDefault="00F968F7" w:rsidP="0022554A">
            <w:pPr>
              <w:tabs>
                <w:tab w:val="left" w:pos="5400"/>
              </w:tabs>
              <w:jc w:val="center"/>
              <w:rPr>
                <w:sz w:val="20"/>
              </w:rPr>
            </w:pPr>
            <w:r w:rsidRPr="0022554A">
              <w:rPr>
                <w:sz w:val="20"/>
              </w:rPr>
              <w:t>12</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BC56F1">
            <w:pPr>
              <w:tabs>
                <w:tab w:val="left" w:pos="5400"/>
              </w:tabs>
              <w:rPr>
                <w:sz w:val="20"/>
              </w:rPr>
            </w:pPr>
            <w:r>
              <w:rPr>
                <w:sz w:val="20"/>
              </w:rPr>
              <w:t xml:space="preserve">Confounding </w:t>
            </w:r>
            <w:r w:rsidR="00B54E67">
              <w:rPr>
                <w:sz w:val="20"/>
              </w:rPr>
              <w:t xml:space="preserve">factors </w:t>
            </w:r>
            <w:r>
              <w:rPr>
                <w:sz w:val="20"/>
              </w:rPr>
              <w:t xml:space="preserve">were </w:t>
            </w:r>
            <w:r w:rsidR="00B54E67">
              <w:rPr>
                <w:sz w:val="20"/>
              </w:rPr>
              <w:t>handled</w:t>
            </w:r>
            <w:r>
              <w:rPr>
                <w:sz w:val="20"/>
              </w:rPr>
              <w:t xml:space="preserve"> through multivariate logistic regression analysis</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45" w:name="bold24" w:colFirst="0" w:colLast="0"/>
            <w:bookmarkStart w:id="46" w:name="italic26" w:colFirst="0" w:colLast="0"/>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BC56F1">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47" w:name="bold25" w:colFirst="0" w:colLast="0"/>
            <w:bookmarkStart w:id="48" w:name="italic27" w:colFirst="0" w:colLast="0"/>
            <w:bookmarkEnd w:id="45"/>
            <w:bookmarkEnd w:id="46"/>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49" w:name="bold26" w:colFirst="0" w:colLast="0"/>
            <w:bookmarkStart w:id="50" w:name="italic28" w:colFirst="0" w:colLast="0"/>
            <w:bookmarkEnd w:id="47"/>
            <w:bookmarkEnd w:id="48"/>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51" w:name="bold27" w:colFirst="0" w:colLast="0"/>
            <w:bookmarkStart w:id="52" w:name="italic29" w:colFirst="0" w:colLast="0"/>
            <w:bookmarkEnd w:id="49"/>
            <w:bookmarkEnd w:id="50"/>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BC56F1" w:rsidRPr="00C73729" w:rsidRDefault="00BC56F1" w:rsidP="00BC56F1">
            <w:pPr>
              <w:spacing w:before="100" w:beforeAutospacing="1" w:after="100" w:afterAutospacing="1" w:line="360" w:lineRule="auto"/>
              <w:ind w:left="-360" w:right="-630"/>
              <w:jc w:val="both"/>
              <w:rPr>
                <w:rFonts w:ascii="Arial" w:hAnsi="Arial" w:cs="Arial"/>
                <w:b/>
                <w:szCs w:val="24"/>
              </w:rPr>
            </w:pPr>
            <w:r w:rsidRPr="00C73729">
              <w:rPr>
                <w:rFonts w:ascii="Arial" w:hAnsi="Arial" w:cs="Arial"/>
                <w:b/>
                <w:szCs w:val="24"/>
              </w:rPr>
              <w:t>Quality assurance</w:t>
            </w:r>
          </w:p>
          <w:p w:rsidR="00F968F7" w:rsidRPr="00BC56F1" w:rsidRDefault="00BC56F1" w:rsidP="00BC56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To ensure the quality and reproducibility of results, all required quality assurance activities have been performed. Briefly, nurses and laboratory professionals who carried out the data collection were training. The </w:t>
            </w:r>
            <w:proofErr w:type="spellStart"/>
            <w:r w:rsidRPr="00C73729">
              <w:rPr>
                <w:rFonts w:ascii="Arial" w:hAnsi="Arial" w:cs="Arial"/>
                <w:szCs w:val="24"/>
              </w:rPr>
              <w:t>questionare</w:t>
            </w:r>
            <w:proofErr w:type="spellEnd"/>
            <w:r w:rsidRPr="00C73729">
              <w:rPr>
                <w:rFonts w:ascii="Arial" w:hAnsi="Arial" w:cs="Arial"/>
                <w:szCs w:val="24"/>
              </w:rPr>
              <w:t xml:space="preserve"> was pretested and validated. Standard procedure was followed on the stool sample collection and transportation. In the sterilization process, </w:t>
            </w:r>
            <w:proofErr w:type="spellStart"/>
            <w:r w:rsidRPr="00C73729">
              <w:rPr>
                <w:rFonts w:ascii="Arial" w:hAnsi="Arial" w:cs="Arial"/>
                <w:szCs w:val="24"/>
              </w:rPr>
              <w:t>geobacillus</w:t>
            </w:r>
            <w:proofErr w:type="spellEnd"/>
            <w:r w:rsidRPr="00C73729">
              <w:rPr>
                <w:rFonts w:ascii="Arial" w:hAnsi="Arial" w:cs="Arial"/>
                <w:szCs w:val="24"/>
              </w:rPr>
              <w:t xml:space="preserve"> </w:t>
            </w:r>
            <w:proofErr w:type="spellStart"/>
            <w:r w:rsidRPr="00C73729">
              <w:rPr>
                <w:rFonts w:ascii="Arial" w:hAnsi="Arial" w:cs="Arial"/>
                <w:szCs w:val="24"/>
              </w:rPr>
              <w:t>strearothermophilus</w:t>
            </w:r>
            <w:proofErr w:type="spellEnd"/>
            <w:r w:rsidRPr="00C73729">
              <w:rPr>
                <w:rFonts w:ascii="Arial" w:hAnsi="Arial" w:cs="Arial"/>
                <w:szCs w:val="24"/>
              </w:rPr>
              <w:t xml:space="preserve"> (ATCC7953) was integrated to evaluate the effectiveness of the autoclave. Additionally, the sterility of the prepared and sterilized media were checked by incubating 5% of the batch at 37</w:t>
            </w:r>
            <w:r w:rsidRPr="00C73729">
              <w:rPr>
                <w:rFonts w:ascii="Arial" w:hAnsi="Arial" w:cs="Arial"/>
                <w:szCs w:val="24"/>
                <w:vertAlign w:val="superscript"/>
              </w:rPr>
              <w:t>o</w:t>
            </w:r>
            <w:r w:rsidRPr="00C73729">
              <w:rPr>
                <w:rFonts w:ascii="Arial" w:hAnsi="Arial" w:cs="Arial"/>
                <w:szCs w:val="24"/>
              </w:rPr>
              <w:t xml:space="preserve">c for 24 hrs and if there were any contamination from the incubated media, the whole batch were discarded. Bio safety class II was used in the dispensation of CCDA, and MHA supplemented with 5% sheep blood, and inoculation of these Medias. The performance of the media and antibiotic disks were probed by inoculating control strains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(ATCC33560) and </w:t>
            </w:r>
            <w:r w:rsidRPr="00C73729">
              <w:rPr>
                <w:rFonts w:ascii="Arial" w:hAnsi="Arial" w:cs="Arial"/>
                <w:i/>
                <w:szCs w:val="24"/>
              </w:rPr>
              <w:t xml:space="preserve">E. coli </w:t>
            </w:r>
            <w:r w:rsidRPr="00C73729">
              <w:rPr>
                <w:rFonts w:ascii="Arial" w:hAnsi="Arial" w:cs="Arial"/>
                <w:szCs w:val="24"/>
              </w:rPr>
              <w:t>(ATCC 25922) as positive and negative controls respectively. All batch media that passed the quality check (CCDA, and MHA supplemented with 5% sheep blood) were stored at 4</w:t>
            </w:r>
            <w:r w:rsidRPr="00C73729">
              <w:rPr>
                <w:rFonts w:ascii="Arial" w:hAnsi="Arial" w:cs="Arial"/>
                <w:szCs w:val="24"/>
                <w:vertAlign w:val="superscript"/>
              </w:rPr>
              <w:t>o</w:t>
            </w:r>
            <w:r w:rsidRPr="00C73729">
              <w:rPr>
                <w:rFonts w:ascii="Arial" w:hAnsi="Arial" w:cs="Arial"/>
                <w:szCs w:val="24"/>
              </w:rPr>
              <w:t xml:space="preserve">c and other biochemical tests (1% sodium </w:t>
            </w:r>
            <w:proofErr w:type="spellStart"/>
            <w:r w:rsidRPr="00C73729">
              <w:rPr>
                <w:rFonts w:ascii="Arial" w:hAnsi="Arial" w:cs="Arial"/>
                <w:szCs w:val="24"/>
              </w:rPr>
              <w:t>hippurate</w:t>
            </w:r>
            <w:proofErr w:type="spellEnd"/>
            <w:r w:rsidRPr="00C73729">
              <w:rPr>
                <w:rFonts w:ascii="Arial" w:hAnsi="Arial" w:cs="Arial"/>
                <w:szCs w:val="24"/>
              </w:rPr>
              <w:t xml:space="preserve"> and 3.5% </w:t>
            </w:r>
            <w:proofErr w:type="spellStart"/>
            <w:r w:rsidRPr="00C73729">
              <w:rPr>
                <w:rFonts w:ascii="Arial" w:hAnsi="Arial" w:cs="Arial"/>
                <w:szCs w:val="24"/>
              </w:rPr>
              <w:t>ninhydrin</w:t>
            </w:r>
            <w:proofErr w:type="spellEnd"/>
            <w:r w:rsidRPr="00C73729">
              <w:rPr>
                <w:rFonts w:ascii="Arial" w:hAnsi="Arial" w:cs="Arial"/>
                <w:szCs w:val="24"/>
              </w:rPr>
              <w:t xml:space="preserve"> solution) was stored at -15</w:t>
            </w:r>
            <w:r w:rsidRPr="00C73729">
              <w:rPr>
                <w:rFonts w:ascii="Arial" w:hAnsi="Arial" w:cs="Arial"/>
                <w:szCs w:val="24"/>
                <w:vertAlign w:val="superscript"/>
              </w:rPr>
              <w:t>o</w:t>
            </w:r>
            <w:r w:rsidRPr="00C73729">
              <w:rPr>
                <w:rFonts w:ascii="Arial" w:hAnsi="Arial" w:cs="Arial"/>
                <w:szCs w:val="24"/>
              </w:rPr>
              <w:t>c.</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22554A">
            <w:pPr>
              <w:tabs>
                <w:tab w:val="left" w:pos="5400"/>
              </w:tabs>
              <w:rPr>
                <w:sz w:val="20"/>
              </w:rPr>
            </w:pPr>
            <w:r>
              <w:rPr>
                <w:sz w:val="20"/>
              </w:rPr>
              <w:t>8-9</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01" w:type="dxa"/>
            <w:gridSpan w:val="4"/>
          </w:tcPr>
          <w:p w:rsidR="00F968F7" w:rsidRPr="0022554A" w:rsidRDefault="00F968F7"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val="restart"/>
          </w:tcPr>
          <w:p w:rsidR="00F968F7" w:rsidRPr="0022554A" w:rsidRDefault="00F968F7" w:rsidP="0022554A">
            <w:pPr>
              <w:tabs>
                <w:tab w:val="left" w:pos="5400"/>
              </w:tabs>
              <w:rPr>
                <w:bCs/>
                <w:sz w:val="20"/>
              </w:rPr>
            </w:pPr>
            <w:bookmarkStart w:id="55" w:name="bold29"/>
            <w:bookmarkStart w:id="56" w:name="italic31"/>
            <w:r w:rsidRPr="0022554A">
              <w:rPr>
                <w:bCs/>
                <w:sz w:val="20"/>
              </w:rPr>
              <w:lastRenderedPageBreak/>
              <w:t>Participants</w:t>
            </w:r>
            <w:bookmarkEnd w:id="55"/>
            <w:bookmarkEnd w:id="56"/>
          </w:p>
        </w:tc>
        <w:tc>
          <w:tcPr>
            <w:cnfStyle w:val="000001000000" w:firstRow="0" w:lastRow="0" w:firstColumn="0" w:lastColumn="0" w:oddVBand="0" w:evenVBand="1" w:oddHBand="0" w:evenHBand="0" w:firstRowFirstColumn="0" w:firstRowLastColumn="0" w:lastRowFirstColumn="0" w:lastRowLastColumn="0"/>
            <w:tcW w:w="630" w:type="dxa"/>
            <w:vMerge w:val="restart"/>
          </w:tcPr>
          <w:p w:rsidR="00F968F7" w:rsidRPr="0022554A" w:rsidRDefault="00F968F7" w:rsidP="0022554A">
            <w:pPr>
              <w:tabs>
                <w:tab w:val="left" w:pos="5400"/>
              </w:tabs>
              <w:jc w:val="center"/>
              <w:rPr>
                <w:sz w:val="20"/>
              </w:rPr>
            </w:pPr>
            <w:r w:rsidRPr="0022554A">
              <w:rPr>
                <w:sz w:val="20"/>
              </w:rPr>
              <w:t>13</w:t>
            </w:r>
            <w:bookmarkStart w:id="57" w:name="bold30"/>
            <w:r w:rsidRPr="0022554A">
              <w:rPr>
                <w:bCs/>
                <w:sz w:val="20"/>
              </w:rPr>
              <w:t>*</w:t>
            </w:r>
            <w:bookmarkEnd w:id="57"/>
          </w:p>
        </w:tc>
        <w:tc>
          <w:tcPr>
            <w:cnfStyle w:val="000010000000" w:firstRow="0" w:lastRow="0" w:firstColumn="0" w:lastColumn="0" w:oddVBand="1" w:evenVBand="0" w:oddHBand="0" w:evenHBand="0" w:firstRowFirstColumn="0" w:firstRowLastColumn="0" w:lastRowFirstColumn="0" w:lastRowLastColumn="0"/>
            <w:tcW w:w="7664" w:type="dxa"/>
          </w:tcPr>
          <w:p w:rsidR="00F968F7" w:rsidRPr="00BC56F1" w:rsidRDefault="00BC56F1" w:rsidP="00BC56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A total of 196 </w:t>
            </w:r>
            <w:r>
              <w:rPr>
                <w:rFonts w:ascii="Arial" w:hAnsi="Arial" w:cs="Arial"/>
                <w:szCs w:val="24"/>
              </w:rPr>
              <w:t>U5C</w:t>
            </w:r>
            <w:r w:rsidRPr="00C73729">
              <w:rPr>
                <w:rFonts w:ascii="Arial" w:hAnsi="Arial" w:cs="Arial"/>
                <w:szCs w:val="24"/>
              </w:rPr>
              <w:t xml:space="preserve"> with </w:t>
            </w:r>
            <w:proofErr w:type="spellStart"/>
            <w:r w:rsidRPr="00C73729">
              <w:rPr>
                <w:rFonts w:ascii="Arial" w:hAnsi="Arial" w:cs="Arial"/>
                <w:szCs w:val="24"/>
              </w:rPr>
              <w:t>diarrhea</w:t>
            </w:r>
            <w:proofErr w:type="spellEnd"/>
            <w:r w:rsidRPr="00C73729">
              <w:rPr>
                <w:rFonts w:ascii="Arial" w:hAnsi="Arial" w:cs="Arial"/>
                <w:szCs w:val="24"/>
              </w:rPr>
              <w:t xml:space="preserve"> were inc</w:t>
            </w:r>
            <w:r>
              <w:rPr>
                <w:rFonts w:ascii="Arial" w:hAnsi="Arial" w:cs="Arial"/>
                <w:szCs w:val="24"/>
              </w:rPr>
              <w:t xml:space="preserve">luded in this study. Of these, 99 (50.5%) were males. The </w:t>
            </w:r>
            <w:r w:rsidRPr="00C73729">
              <w:rPr>
                <w:rFonts w:ascii="Arial" w:hAnsi="Arial" w:cs="Arial"/>
                <w:szCs w:val="24"/>
              </w:rPr>
              <w:t>age ranges</w:t>
            </w:r>
            <w:r>
              <w:rPr>
                <w:rFonts w:ascii="Arial" w:hAnsi="Arial" w:cs="Arial"/>
                <w:szCs w:val="24"/>
              </w:rPr>
              <w:t xml:space="preserve"> from</w:t>
            </w:r>
            <w:r w:rsidRPr="00C73729">
              <w:rPr>
                <w:rFonts w:ascii="Arial" w:hAnsi="Arial" w:cs="Arial"/>
                <w:szCs w:val="24"/>
              </w:rPr>
              <w:t xml:space="preserve"> 3 months to 5 years and </w:t>
            </w:r>
            <w:r>
              <w:rPr>
                <w:rFonts w:ascii="Arial" w:hAnsi="Arial" w:cs="Arial"/>
                <w:szCs w:val="24"/>
              </w:rPr>
              <w:t xml:space="preserve">with </w:t>
            </w:r>
            <w:r w:rsidRPr="00C73729">
              <w:rPr>
                <w:rFonts w:ascii="Arial" w:hAnsi="Arial" w:cs="Arial"/>
                <w:szCs w:val="24"/>
              </w:rPr>
              <w:t xml:space="preserve">mean age </w:t>
            </w:r>
            <w:r>
              <w:rPr>
                <w:rFonts w:ascii="Arial" w:hAnsi="Arial" w:cs="Arial"/>
                <w:szCs w:val="24"/>
              </w:rPr>
              <w:t xml:space="preserve">of </w:t>
            </w:r>
            <w:r w:rsidRPr="00C73729">
              <w:rPr>
                <w:rFonts w:ascii="Arial" w:hAnsi="Arial" w:cs="Arial"/>
                <w:szCs w:val="24"/>
              </w:rPr>
              <w:t xml:space="preserve">2.07 years. Majority of the participants were from Han Health </w:t>
            </w:r>
            <w:proofErr w:type="spellStart"/>
            <w:r w:rsidRPr="00C73729">
              <w:rPr>
                <w:rFonts w:ascii="Arial" w:hAnsi="Arial" w:cs="Arial"/>
                <w:szCs w:val="24"/>
              </w:rPr>
              <w:t>Center</w:t>
            </w:r>
            <w:proofErr w:type="spellEnd"/>
            <w:r w:rsidRPr="00C73729">
              <w:rPr>
                <w:rFonts w:ascii="Arial" w:hAnsi="Arial" w:cs="Arial"/>
                <w:szCs w:val="24"/>
              </w:rPr>
              <w:t xml:space="preserve"> (35.2%) followed by </w:t>
            </w:r>
            <w:proofErr w:type="spellStart"/>
            <w:r w:rsidRPr="00C73729">
              <w:rPr>
                <w:rFonts w:ascii="Arial" w:hAnsi="Arial" w:cs="Arial"/>
                <w:szCs w:val="24"/>
              </w:rPr>
              <w:t>Shimbit</w:t>
            </w:r>
            <w:proofErr w:type="spellEnd"/>
            <w:r w:rsidRPr="00C73729">
              <w:rPr>
                <w:rFonts w:ascii="Arial" w:hAnsi="Arial" w:cs="Arial"/>
                <w:szCs w:val="24"/>
              </w:rPr>
              <w:t xml:space="preserve"> (24.5%). Most (36.7%) of the children were in the age range of one to two years. More than half of the guardians of the c</w:t>
            </w:r>
            <w:r>
              <w:rPr>
                <w:rFonts w:ascii="Arial" w:hAnsi="Arial" w:cs="Arial"/>
                <w:szCs w:val="24"/>
              </w:rPr>
              <w:t xml:space="preserve">hildren were housewives (56.1%). </w:t>
            </w:r>
            <w:r w:rsidRPr="00C73729">
              <w:rPr>
                <w:rFonts w:ascii="Arial" w:hAnsi="Arial" w:cs="Arial"/>
                <w:szCs w:val="24"/>
              </w:rPr>
              <w:t>Higher numbers of the participants were urban resident (84.7%)  (Table 1).</w:t>
            </w:r>
          </w:p>
        </w:tc>
        <w:tc>
          <w:tcPr>
            <w:cnfStyle w:val="000001000000" w:firstRow="0" w:lastRow="0" w:firstColumn="0" w:lastColumn="0" w:oddVBand="0" w:evenVBand="1" w:oddHBand="0" w:evenHBand="0" w:firstRowFirstColumn="0" w:firstRowLastColumn="0" w:lastRowFirstColumn="0" w:lastRowLastColumn="0"/>
            <w:tcW w:w="627" w:type="dxa"/>
          </w:tcPr>
          <w:p w:rsidR="00F968F7" w:rsidRDefault="00B54E67" w:rsidP="0022554A">
            <w:pPr>
              <w:tabs>
                <w:tab w:val="left" w:pos="5400"/>
              </w:tabs>
              <w:rPr>
                <w:sz w:val="20"/>
              </w:rPr>
            </w:pPr>
            <w:r>
              <w:rPr>
                <w:sz w:val="20"/>
              </w:rPr>
              <w:t>10-11</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58" w:name="bold31" w:colFirst="0" w:colLast="0"/>
            <w:bookmarkStart w:id="59" w:name="italic32" w:colFirst="0" w:colLast="0"/>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60" w:name="bold32" w:colFirst="0" w:colLast="0"/>
            <w:bookmarkStart w:id="61" w:name="italic33" w:colFirst="0" w:colLast="0"/>
            <w:bookmarkEnd w:id="58"/>
            <w:bookmarkEnd w:id="59"/>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BC56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val="restart"/>
          </w:tcPr>
          <w:p w:rsidR="00F968F7" w:rsidRPr="0022554A" w:rsidRDefault="00F968F7" w:rsidP="0022554A">
            <w:pPr>
              <w:tabs>
                <w:tab w:val="left" w:pos="5400"/>
              </w:tabs>
              <w:rPr>
                <w:bCs/>
                <w:sz w:val="20"/>
              </w:rPr>
            </w:pPr>
            <w:bookmarkStart w:id="62" w:name="bold33"/>
            <w:bookmarkStart w:id="63" w:name="italic34"/>
            <w:bookmarkEnd w:id="60"/>
            <w:bookmarkEnd w:id="61"/>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cnfStyle w:val="000001000000" w:firstRow="0" w:lastRow="0" w:firstColumn="0" w:lastColumn="0" w:oddVBand="0" w:evenVBand="1" w:oddHBand="0" w:evenHBand="0" w:firstRowFirstColumn="0" w:firstRowLastColumn="0" w:lastRowFirstColumn="0" w:lastRowLastColumn="0"/>
            <w:tcW w:w="630" w:type="dxa"/>
            <w:vMerge w:val="restart"/>
          </w:tcPr>
          <w:p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67" w:name="bold36" w:colFirst="0" w:colLast="0"/>
            <w:bookmarkStart w:id="68" w:name="italic36" w:colFirst="0" w:colLast="0"/>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22554A">
            <w:pPr>
              <w:tabs>
                <w:tab w:val="left" w:pos="5400"/>
              </w:tabs>
              <w:rPr>
                <w:sz w:val="20"/>
              </w:rPr>
            </w:pPr>
            <w:r>
              <w:rPr>
                <w:rFonts w:ascii="Arial" w:hAnsi="Arial" w:cs="Arial"/>
                <w:szCs w:val="24"/>
              </w:rPr>
              <w:t xml:space="preserve">This study addressed three key objectives; determined the point prevalence, assessed the drug resistance profile of isolates and identified factors associated with </w:t>
            </w:r>
            <w:r w:rsidRPr="003F392E">
              <w:rPr>
                <w:rFonts w:ascii="Arial" w:hAnsi="Arial" w:cs="Arial"/>
                <w:i/>
                <w:szCs w:val="24"/>
              </w:rPr>
              <w:t xml:space="preserve">C. </w:t>
            </w:r>
            <w:proofErr w:type="spellStart"/>
            <w:r w:rsidRPr="003F392E">
              <w:rPr>
                <w:rFonts w:ascii="Arial" w:hAnsi="Arial" w:cs="Arial"/>
                <w:i/>
                <w:szCs w:val="24"/>
              </w:rPr>
              <w:t>jejuni</w:t>
            </w:r>
            <w:proofErr w:type="spellEnd"/>
            <w:r>
              <w:rPr>
                <w:rFonts w:ascii="Arial" w:hAnsi="Arial" w:cs="Arial"/>
                <w:szCs w:val="24"/>
              </w:rPr>
              <w:t xml:space="preserve"> infection.</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val="restart"/>
          </w:tcPr>
          <w:p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cnfStyle w:val="000001000000" w:firstRow="0" w:lastRow="0" w:firstColumn="0" w:lastColumn="0" w:oddVBand="0" w:evenVBand="1" w:oddHBand="0" w:evenHBand="0" w:firstRowFirstColumn="0" w:firstRowLastColumn="0" w:lastRowFirstColumn="0" w:lastRowLastColumn="0"/>
            <w:tcW w:w="630" w:type="dxa"/>
            <w:vMerge w:val="restart"/>
          </w:tcPr>
          <w:p w:rsidR="00F968F7" w:rsidRPr="0022554A" w:rsidRDefault="00F968F7" w:rsidP="0022554A">
            <w:pPr>
              <w:tabs>
                <w:tab w:val="left" w:pos="5400"/>
              </w:tabs>
              <w:jc w:val="center"/>
              <w:rPr>
                <w:sz w:val="20"/>
              </w:rPr>
            </w:pPr>
            <w:r w:rsidRPr="0022554A">
              <w:rPr>
                <w:sz w:val="20"/>
              </w:rPr>
              <w:t>16</w:t>
            </w:r>
          </w:p>
        </w:tc>
        <w:tc>
          <w:tcPr>
            <w:cnfStyle w:val="000010000000" w:firstRow="0" w:lastRow="0" w:firstColumn="0" w:lastColumn="0" w:oddVBand="1" w:evenVBand="0" w:oddHBand="0" w:evenHBand="0" w:firstRowFirstColumn="0" w:firstRowLastColumn="0" w:lastRowFirstColumn="0" w:lastRowLastColumn="0"/>
            <w:tcW w:w="7664" w:type="dxa"/>
          </w:tcPr>
          <w:p w:rsidR="00F968F7" w:rsidRDefault="00363AF1" w:rsidP="00363A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Among the 196 children with </w:t>
            </w:r>
            <w:proofErr w:type="spellStart"/>
            <w:r w:rsidRPr="00C73729">
              <w:rPr>
                <w:rFonts w:ascii="Arial" w:hAnsi="Arial" w:cs="Arial"/>
                <w:szCs w:val="24"/>
              </w:rPr>
              <w:t>diarrhea</w:t>
            </w:r>
            <w:proofErr w:type="spellEnd"/>
            <w:r w:rsidRPr="00C73729">
              <w:rPr>
                <w:rFonts w:ascii="Arial" w:hAnsi="Arial" w:cs="Arial"/>
                <w:szCs w:val="24"/>
              </w:rPr>
              <w:t xml:space="preserve">, 39 (19.9%) were culture positive for </w:t>
            </w:r>
            <w:r w:rsidRPr="00C73729">
              <w:rPr>
                <w:rFonts w:ascii="Arial" w:hAnsi="Arial" w:cs="Arial"/>
                <w:i/>
                <w:szCs w:val="24"/>
              </w:rPr>
              <w:t>Campylobacter species</w:t>
            </w:r>
            <w:r w:rsidRPr="00C73729">
              <w:rPr>
                <w:rFonts w:ascii="Arial" w:hAnsi="Arial" w:cs="Arial"/>
                <w:szCs w:val="24"/>
              </w:rPr>
              <w:t xml:space="preserve">. The overall prevalence of </w:t>
            </w:r>
            <w:r>
              <w:rPr>
                <w:rFonts w:ascii="Arial" w:hAnsi="Arial" w:cs="Arial"/>
                <w:i/>
                <w:szCs w:val="24"/>
              </w:rPr>
              <w:t>C. </w:t>
            </w:r>
            <w:proofErr w:type="spellStart"/>
            <w:r w:rsidRPr="00C73729">
              <w:rPr>
                <w:rFonts w:ascii="Arial" w:hAnsi="Arial" w:cs="Arial"/>
                <w:i/>
                <w:szCs w:val="24"/>
              </w:rPr>
              <w:t>jejuni</w:t>
            </w:r>
            <w:proofErr w:type="spellEnd"/>
            <w:r w:rsidRPr="00C73729">
              <w:rPr>
                <w:rFonts w:ascii="Arial" w:hAnsi="Arial" w:cs="Arial"/>
                <w:szCs w:val="24"/>
              </w:rPr>
              <w:t xml:space="preserve"> was 29 (14.8%) and </w:t>
            </w:r>
            <w:r>
              <w:rPr>
                <w:rFonts w:ascii="Arial" w:hAnsi="Arial" w:cs="Arial"/>
                <w:szCs w:val="24"/>
              </w:rPr>
              <w:t xml:space="preserve">other species accounted 5.1%. Proportionally, </w:t>
            </w:r>
            <w:r w:rsidRPr="00C73729">
              <w:rPr>
                <w:rFonts w:ascii="Arial" w:hAnsi="Arial" w:cs="Arial"/>
                <w:i/>
                <w:szCs w:val="24"/>
              </w:rPr>
              <w:t xml:space="preserve">C. </w:t>
            </w:r>
            <w:proofErr w:type="spellStart"/>
            <w:r w:rsidRPr="00C73729">
              <w:rPr>
                <w:rFonts w:ascii="Arial" w:hAnsi="Arial" w:cs="Arial"/>
                <w:i/>
                <w:szCs w:val="24"/>
              </w:rPr>
              <w:t>jejuni</w:t>
            </w:r>
            <w:proofErr w:type="spellEnd"/>
            <w:r>
              <w:rPr>
                <w:rFonts w:ascii="Arial" w:hAnsi="Arial" w:cs="Arial"/>
                <w:szCs w:val="24"/>
              </w:rPr>
              <w:t xml:space="preserve"> infection was higher in male </w:t>
            </w:r>
            <w:r w:rsidRPr="00C73729">
              <w:rPr>
                <w:rFonts w:ascii="Arial" w:hAnsi="Arial" w:cs="Arial"/>
                <w:szCs w:val="24"/>
              </w:rPr>
              <w:t xml:space="preserve">17(58.6%) </w:t>
            </w:r>
            <w:r>
              <w:rPr>
                <w:rFonts w:ascii="Arial" w:hAnsi="Arial" w:cs="Arial"/>
                <w:szCs w:val="24"/>
              </w:rPr>
              <w:t>than female</w:t>
            </w:r>
            <w:r w:rsidRPr="00C73729">
              <w:rPr>
                <w:rFonts w:ascii="Arial" w:hAnsi="Arial" w:cs="Arial"/>
                <w:szCs w:val="24"/>
              </w:rPr>
              <w:t xml:space="preserve"> 12(41.4%). </w:t>
            </w:r>
            <w:r>
              <w:rPr>
                <w:rFonts w:ascii="Arial" w:hAnsi="Arial" w:cs="Arial"/>
                <w:szCs w:val="24"/>
              </w:rPr>
              <w:t xml:space="preserve">Similarly, age wise classification showed that, the rate of </w:t>
            </w:r>
            <w:r w:rsidRPr="00B13EED">
              <w:rPr>
                <w:rFonts w:ascii="Arial" w:hAnsi="Arial" w:cs="Arial"/>
                <w:i/>
                <w:szCs w:val="24"/>
              </w:rPr>
              <w:t xml:space="preserve">C. </w:t>
            </w:r>
            <w:proofErr w:type="spellStart"/>
            <w:r w:rsidRPr="00B13EED">
              <w:rPr>
                <w:rFonts w:ascii="Arial" w:hAnsi="Arial" w:cs="Arial"/>
                <w:i/>
                <w:szCs w:val="24"/>
              </w:rPr>
              <w:t>jejuni</w:t>
            </w:r>
            <w:proofErr w:type="spellEnd"/>
            <w:r>
              <w:rPr>
                <w:rFonts w:ascii="Arial" w:hAnsi="Arial" w:cs="Arial"/>
                <w:szCs w:val="24"/>
              </w:rPr>
              <w:t xml:space="preserve"> infection </w:t>
            </w:r>
            <w:r w:rsidRPr="00C73729">
              <w:rPr>
                <w:rFonts w:ascii="Arial" w:hAnsi="Arial" w:cs="Arial"/>
                <w:szCs w:val="24"/>
              </w:rPr>
              <w:t xml:space="preserve">was </w:t>
            </w:r>
            <w:r>
              <w:rPr>
                <w:rFonts w:ascii="Arial" w:hAnsi="Arial" w:cs="Arial"/>
                <w:szCs w:val="24"/>
              </w:rPr>
              <w:t xml:space="preserve">higher in the </w:t>
            </w:r>
            <w:r w:rsidRPr="00C73729">
              <w:rPr>
                <w:rFonts w:ascii="Arial" w:hAnsi="Arial" w:cs="Arial"/>
                <w:szCs w:val="24"/>
              </w:rPr>
              <w:t xml:space="preserve">age range of one to two years (41.4%) </w:t>
            </w:r>
            <w:r>
              <w:rPr>
                <w:rFonts w:ascii="Arial" w:hAnsi="Arial" w:cs="Arial"/>
                <w:szCs w:val="24"/>
              </w:rPr>
              <w:t>than over one years of age. However, none of the variable did not demonstrated a significant differences (Figure 1</w:t>
            </w:r>
            <w:r w:rsidRPr="00C73729">
              <w:rPr>
                <w:rFonts w:ascii="Arial" w:hAnsi="Arial" w:cs="Arial"/>
                <w:szCs w:val="24"/>
              </w:rPr>
              <w:t>)</w:t>
            </w:r>
            <w:r>
              <w:rPr>
                <w:rFonts w:ascii="Arial" w:hAnsi="Arial" w:cs="Arial"/>
                <w:szCs w:val="24"/>
              </w:rPr>
              <w:t>.</w:t>
            </w:r>
          </w:p>
          <w:p w:rsidR="00363AF1" w:rsidRDefault="00363AF1" w:rsidP="00363AF1">
            <w:pPr>
              <w:spacing w:before="100" w:beforeAutospacing="1" w:after="100" w:afterAutospacing="1" w:line="480" w:lineRule="auto"/>
              <w:jc w:val="both"/>
              <w:rPr>
                <w:rFonts w:ascii="Arial" w:hAnsi="Arial" w:cs="Arial"/>
                <w:szCs w:val="24"/>
              </w:rPr>
            </w:pPr>
            <w:r w:rsidRPr="00282021">
              <w:rPr>
                <w:rFonts w:ascii="Arial" w:hAnsi="Arial" w:cs="Arial"/>
                <w:color w:val="000000"/>
                <w:szCs w:val="24"/>
              </w:rPr>
              <w:t xml:space="preserve">Before </w:t>
            </w:r>
            <w:proofErr w:type="spellStart"/>
            <w:r w:rsidRPr="00282021">
              <w:rPr>
                <w:rFonts w:ascii="Arial" w:hAnsi="Arial" w:cs="Arial"/>
                <w:color w:val="000000"/>
                <w:szCs w:val="24"/>
              </w:rPr>
              <w:t>analyzing</w:t>
            </w:r>
            <w:proofErr w:type="spellEnd"/>
            <w:r w:rsidRPr="00282021">
              <w:rPr>
                <w:rFonts w:ascii="Arial" w:hAnsi="Arial" w:cs="Arial"/>
                <w:color w:val="000000"/>
                <w:szCs w:val="24"/>
              </w:rPr>
              <w:t xml:space="preserve"> the link between dependent and independent variables, the presence of any positive or negative correlation among independents variables were assessed using linear regression model. Fortunately, the tolerance results were between 0.85 and 0.9, variance inflation factor were between 1 and 1.5) and collinearity diagnostic were &lt;0.5; confirming apparent absence of multicollinearity among independent variables. Then </w:t>
            </w:r>
            <w:r w:rsidRPr="00282021">
              <w:rPr>
                <w:rFonts w:ascii="Arial" w:hAnsi="Arial" w:cs="Arial"/>
                <w:szCs w:val="24"/>
              </w:rPr>
              <w:t xml:space="preserve">to identify possible factors associated with </w:t>
            </w:r>
            <w:r w:rsidRPr="00282021">
              <w:rPr>
                <w:rFonts w:ascii="Arial" w:hAnsi="Arial" w:cs="Arial"/>
                <w:i/>
                <w:szCs w:val="24"/>
              </w:rPr>
              <w:t xml:space="preserve">C. </w:t>
            </w:r>
            <w:proofErr w:type="spellStart"/>
            <w:r w:rsidRPr="00282021">
              <w:rPr>
                <w:rFonts w:ascii="Arial" w:hAnsi="Arial" w:cs="Arial"/>
                <w:i/>
                <w:szCs w:val="24"/>
              </w:rPr>
              <w:t>jejuni</w:t>
            </w:r>
            <w:proofErr w:type="spellEnd"/>
            <w:r w:rsidRPr="00282021">
              <w:rPr>
                <w:rFonts w:ascii="Arial" w:hAnsi="Arial" w:cs="Arial"/>
                <w:szCs w:val="24"/>
              </w:rPr>
              <w:t xml:space="preserve"> infection, bivariate and multivariate logistic regressions were performed (Table 2). From all possible factors which were considered; types of guardian (AOR: 3.76, 95%CI: 1.29-10.98), absence of hand washing practice before food preparation (AOR: 3.63, 95%CI: </w:t>
            </w:r>
            <w:r>
              <w:rPr>
                <w:rFonts w:ascii="Arial" w:hAnsi="Arial" w:cs="Arial"/>
                <w:szCs w:val="24"/>
              </w:rPr>
              <w:t>1.15-</w:t>
            </w:r>
            <w:r w:rsidRPr="00282021">
              <w:rPr>
                <w:rFonts w:ascii="Arial" w:hAnsi="Arial" w:cs="Arial"/>
                <w:szCs w:val="24"/>
              </w:rPr>
              <w:lastRenderedPageBreak/>
              <w:t xml:space="preserve">11.46, normal body mass index (BMI) (AOR: 0.18; 95%CI: </w:t>
            </w:r>
            <w:r>
              <w:rPr>
                <w:rFonts w:ascii="Arial" w:hAnsi="Arial" w:cs="Arial"/>
                <w:szCs w:val="24"/>
              </w:rPr>
              <w:t>0.04-</w:t>
            </w:r>
            <w:r w:rsidRPr="00282021">
              <w:rPr>
                <w:rFonts w:ascii="Arial" w:hAnsi="Arial" w:cs="Arial"/>
                <w:szCs w:val="24"/>
              </w:rPr>
              <w:t xml:space="preserve">0.88, and contact with hen and cow domestic animals (AOR: 4.23; 95%CI: </w:t>
            </w:r>
            <w:r>
              <w:rPr>
                <w:rFonts w:ascii="Arial" w:hAnsi="Arial" w:cs="Arial"/>
                <w:szCs w:val="24"/>
              </w:rPr>
              <w:t>1.46-</w:t>
            </w:r>
            <w:r w:rsidRPr="00282021">
              <w:rPr>
                <w:rFonts w:ascii="Arial" w:hAnsi="Arial" w:cs="Arial"/>
                <w:szCs w:val="24"/>
              </w:rPr>
              <w:t xml:space="preserve">12.28 showed significant association. </w:t>
            </w:r>
            <w:r w:rsidRPr="00C73729">
              <w:rPr>
                <w:rFonts w:ascii="Arial" w:hAnsi="Arial" w:cs="Arial"/>
                <w:szCs w:val="24"/>
              </w:rPr>
              <w:t xml:space="preserve">Children who were getting care by neither their mother nor their father were 3.76 times more likely to be infected with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than those who got care by mothers</w:t>
            </w:r>
            <w:r>
              <w:rPr>
                <w:rFonts w:ascii="Arial" w:hAnsi="Arial" w:cs="Arial"/>
                <w:szCs w:val="24"/>
              </w:rPr>
              <w:t xml:space="preserve">. </w:t>
            </w:r>
            <w:r w:rsidRPr="00C73729">
              <w:rPr>
                <w:rFonts w:ascii="Arial" w:hAnsi="Arial" w:cs="Arial"/>
                <w:szCs w:val="24"/>
              </w:rPr>
              <w:t xml:space="preserve"> Children whose caregivers did not wash their hand before food preparation were 3.63 times more likely to be positive for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infection than those who wash their</w:t>
            </w:r>
            <w:r>
              <w:rPr>
                <w:rFonts w:ascii="Arial" w:hAnsi="Arial" w:cs="Arial"/>
                <w:szCs w:val="24"/>
              </w:rPr>
              <w:t xml:space="preserve"> hand before food preparation. </w:t>
            </w:r>
            <w:r w:rsidRPr="00C73729">
              <w:rPr>
                <w:rFonts w:ascii="Arial" w:hAnsi="Arial" w:cs="Arial"/>
                <w:szCs w:val="24"/>
              </w:rPr>
              <w:t xml:space="preserve">Body mass index (BMI) of the children were calculated according </w:t>
            </w:r>
            <w:r w:rsidRPr="005A0C8A">
              <w:rPr>
                <w:rFonts w:ascii="Arial" w:hAnsi="Arial" w:cs="Arial"/>
                <w:szCs w:val="24"/>
              </w:rPr>
              <w:t xml:space="preserve">to </w:t>
            </w:r>
            <w:proofErr w:type="spellStart"/>
            <w:r w:rsidRPr="005A0C8A">
              <w:rPr>
                <w:rFonts w:ascii="Arial" w:hAnsi="Arial" w:cs="Arial"/>
                <w:szCs w:val="24"/>
              </w:rPr>
              <w:t>Quetelet</w:t>
            </w:r>
            <w:proofErr w:type="spellEnd"/>
            <w:r w:rsidRPr="005A0C8A">
              <w:rPr>
                <w:rFonts w:ascii="Arial" w:hAnsi="Arial" w:cs="Arial"/>
                <w:szCs w:val="24"/>
              </w:rPr>
              <w:t>’ index classification</w:t>
            </w:r>
            <w:r w:rsidR="00B54E67">
              <w:rPr>
                <w:rFonts w:ascii="Arial" w:hAnsi="Arial" w:cs="Arial"/>
                <w:szCs w:val="24"/>
              </w:rPr>
              <w:t xml:space="preserve">.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culture positivity rate was also associated with nutritional status of the study participants. Based on </w:t>
            </w:r>
            <w:proofErr w:type="spellStart"/>
            <w:r w:rsidRPr="00C73729">
              <w:rPr>
                <w:rFonts w:ascii="Arial" w:hAnsi="Arial" w:cs="Arial"/>
                <w:szCs w:val="24"/>
              </w:rPr>
              <w:t>Quetelet</w:t>
            </w:r>
            <w:proofErr w:type="spellEnd"/>
            <w:r w:rsidRPr="00C73729">
              <w:rPr>
                <w:rFonts w:ascii="Arial" w:hAnsi="Arial" w:cs="Arial"/>
                <w:szCs w:val="24"/>
              </w:rPr>
              <w:t>’ index classification, children who had normal weight</w:t>
            </w:r>
            <w:r>
              <w:rPr>
                <w:rFonts w:ascii="Arial" w:hAnsi="Arial" w:cs="Arial"/>
                <w:szCs w:val="24"/>
              </w:rPr>
              <w:t xml:space="preserve"> </w:t>
            </w:r>
            <w:r w:rsidRPr="00C73729">
              <w:rPr>
                <w:rFonts w:ascii="Arial" w:hAnsi="Arial" w:cs="Arial"/>
                <w:szCs w:val="24"/>
              </w:rPr>
              <w:t xml:space="preserve">were 0.18 times less likely to be positive for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than those who were underweight. Having domestic animals in children house were 4.23</w:t>
            </w:r>
            <w:r>
              <w:rPr>
                <w:rFonts w:ascii="Arial" w:hAnsi="Arial" w:cs="Arial"/>
                <w:szCs w:val="24"/>
              </w:rPr>
              <w:t xml:space="preserve"> </w:t>
            </w:r>
            <w:r w:rsidRPr="00C73729">
              <w:rPr>
                <w:rFonts w:ascii="Arial" w:hAnsi="Arial" w:cs="Arial"/>
                <w:szCs w:val="24"/>
              </w:rPr>
              <w:t>times more</w:t>
            </w:r>
            <w:r>
              <w:rPr>
                <w:rFonts w:ascii="Arial" w:hAnsi="Arial" w:cs="Arial"/>
                <w:szCs w:val="24"/>
              </w:rPr>
              <w:t xml:space="preserve"> </w:t>
            </w:r>
            <w:r w:rsidRPr="00C73729">
              <w:rPr>
                <w:rFonts w:ascii="Arial" w:hAnsi="Arial" w:cs="Arial"/>
                <w:szCs w:val="24"/>
              </w:rPr>
              <w:t xml:space="preserve">likely to be positive for </w:t>
            </w:r>
            <w:r w:rsidRPr="00C73729">
              <w:rPr>
                <w:rFonts w:ascii="Arial" w:hAnsi="Arial" w:cs="Arial"/>
                <w:i/>
                <w:szCs w:val="24"/>
              </w:rPr>
              <w:t xml:space="preserve">C. </w:t>
            </w:r>
            <w:proofErr w:type="spellStart"/>
            <w:r w:rsidRPr="00C73729">
              <w:rPr>
                <w:rFonts w:ascii="Arial" w:hAnsi="Arial" w:cs="Arial"/>
                <w:i/>
                <w:szCs w:val="24"/>
              </w:rPr>
              <w:t>jejuni</w:t>
            </w:r>
            <w:proofErr w:type="spellEnd"/>
            <w:r>
              <w:rPr>
                <w:rFonts w:ascii="Arial" w:hAnsi="Arial" w:cs="Arial"/>
                <w:i/>
                <w:szCs w:val="24"/>
              </w:rPr>
              <w:t xml:space="preserve"> </w:t>
            </w:r>
            <w:r w:rsidRPr="00C73729">
              <w:rPr>
                <w:rFonts w:ascii="Arial" w:hAnsi="Arial" w:cs="Arial"/>
                <w:szCs w:val="24"/>
              </w:rPr>
              <w:t>than those did not</w:t>
            </w:r>
            <w:r>
              <w:rPr>
                <w:rFonts w:ascii="Arial" w:hAnsi="Arial" w:cs="Arial"/>
                <w:szCs w:val="24"/>
              </w:rPr>
              <w:t xml:space="preserve"> had (Table 2</w:t>
            </w:r>
            <w:r w:rsidRPr="00C73729">
              <w:rPr>
                <w:rFonts w:ascii="Arial" w:hAnsi="Arial" w:cs="Arial"/>
                <w:szCs w:val="24"/>
              </w:rPr>
              <w:t>).</w:t>
            </w:r>
          </w:p>
          <w:p w:rsidR="00363AF1" w:rsidRPr="00C73729" w:rsidRDefault="00363AF1" w:rsidP="00363A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The </w:t>
            </w:r>
            <w:r>
              <w:rPr>
                <w:rFonts w:ascii="Arial" w:hAnsi="Arial" w:cs="Arial"/>
                <w:szCs w:val="24"/>
              </w:rPr>
              <w:t xml:space="preserve">link between </w:t>
            </w:r>
            <w:r w:rsidRPr="00C73729">
              <w:rPr>
                <w:rFonts w:ascii="Arial" w:hAnsi="Arial" w:cs="Arial"/>
                <w:i/>
                <w:szCs w:val="24"/>
              </w:rPr>
              <w:t xml:space="preserve">C. </w:t>
            </w:r>
            <w:proofErr w:type="spellStart"/>
            <w:r w:rsidRPr="00C73729">
              <w:rPr>
                <w:rFonts w:ascii="Arial" w:hAnsi="Arial" w:cs="Arial"/>
                <w:i/>
                <w:szCs w:val="24"/>
              </w:rPr>
              <w:t>jejuni</w:t>
            </w:r>
            <w:proofErr w:type="spellEnd"/>
            <w:r>
              <w:rPr>
                <w:rFonts w:ascii="Arial" w:hAnsi="Arial" w:cs="Arial"/>
                <w:szCs w:val="24"/>
              </w:rPr>
              <w:t xml:space="preserve"> infection and chief clinical symptoms such as abdominal pain, fever, vomiting and type, frequency and duration of </w:t>
            </w:r>
            <w:proofErr w:type="spellStart"/>
            <w:r>
              <w:rPr>
                <w:rFonts w:ascii="Arial" w:hAnsi="Arial" w:cs="Arial"/>
                <w:szCs w:val="24"/>
              </w:rPr>
              <w:t>diarrhea</w:t>
            </w:r>
            <w:proofErr w:type="spellEnd"/>
            <w:r>
              <w:rPr>
                <w:rFonts w:ascii="Arial" w:hAnsi="Arial" w:cs="Arial"/>
                <w:szCs w:val="24"/>
              </w:rPr>
              <w:t xml:space="preserve"> were assessed</w:t>
            </w:r>
            <w:r w:rsidRPr="00C73729">
              <w:rPr>
                <w:rFonts w:ascii="Arial" w:hAnsi="Arial" w:cs="Arial"/>
                <w:szCs w:val="24"/>
              </w:rPr>
              <w:t xml:space="preserve">. </w:t>
            </w:r>
            <w:r>
              <w:rPr>
                <w:rFonts w:ascii="Arial" w:hAnsi="Arial" w:cs="Arial"/>
                <w:szCs w:val="24"/>
              </w:rPr>
              <w:t xml:space="preserve">However, none these variables demonstrated a significant association (data not shown). </w:t>
            </w:r>
          </w:p>
          <w:p w:rsidR="00363AF1" w:rsidRPr="00C73729" w:rsidRDefault="00363AF1" w:rsidP="00363AF1">
            <w:pPr>
              <w:spacing w:before="100" w:beforeAutospacing="1" w:after="100" w:afterAutospacing="1" w:line="360" w:lineRule="auto"/>
              <w:ind w:left="-360" w:right="-630"/>
              <w:jc w:val="both"/>
              <w:rPr>
                <w:rFonts w:ascii="Arial" w:hAnsi="Arial" w:cs="Arial"/>
                <w:b/>
                <w:szCs w:val="24"/>
              </w:rPr>
            </w:pPr>
            <w:r w:rsidRPr="00C73729">
              <w:rPr>
                <w:rFonts w:ascii="Arial" w:hAnsi="Arial" w:cs="Arial"/>
                <w:b/>
                <w:szCs w:val="24"/>
              </w:rPr>
              <w:t xml:space="preserve">Antimicrobial susceptibility profile of </w:t>
            </w:r>
            <w:r w:rsidRPr="00C73729">
              <w:rPr>
                <w:rFonts w:ascii="Arial" w:hAnsi="Arial" w:cs="Arial"/>
                <w:b/>
                <w:i/>
                <w:szCs w:val="24"/>
              </w:rPr>
              <w:t xml:space="preserve">Campylobacter </w:t>
            </w:r>
            <w:proofErr w:type="spellStart"/>
            <w:r w:rsidRPr="00C73729">
              <w:rPr>
                <w:rFonts w:ascii="Arial" w:hAnsi="Arial" w:cs="Arial"/>
                <w:b/>
                <w:i/>
                <w:szCs w:val="24"/>
              </w:rPr>
              <w:t>jejuni</w:t>
            </w:r>
            <w:proofErr w:type="spellEnd"/>
          </w:p>
          <w:p w:rsidR="00363AF1" w:rsidRPr="00363AF1" w:rsidRDefault="00363AF1" w:rsidP="00363AF1">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Antimicrobial susceptibility test was </w:t>
            </w:r>
            <w:r>
              <w:rPr>
                <w:rFonts w:ascii="Arial" w:hAnsi="Arial" w:cs="Arial"/>
                <w:szCs w:val="24"/>
              </w:rPr>
              <w:t xml:space="preserve">performed </w:t>
            </w:r>
            <w:r w:rsidRPr="00C73729">
              <w:rPr>
                <w:rFonts w:ascii="Arial" w:hAnsi="Arial" w:cs="Arial"/>
                <w:szCs w:val="24"/>
              </w:rPr>
              <w:t xml:space="preserve">for commonly prescribed drugs. </w:t>
            </w:r>
            <w:r>
              <w:rPr>
                <w:rFonts w:ascii="Arial" w:hAnsi="Arial" w:cs="Arial"/>
                <w:szCs w:val="24"/>
              </w:rPr>
              <w:t>As such,</w:t>
            </w:r>
            <w:r w:rsidRPr="00C73729">
              <w:rPr>
                <w:rFonts w:ascii="Arial" w:hAnsi="Arial" w:cs="Arial"/>
                <w:szCs w:val="24"/>
              </w:rPr>
              <w:t xml:space="preserve"> C</w:t>
            </w:r>
            <w:r w:rsidRPr="00C73729">
              <w:rPr>
                <w:rFonts w:ascii="Arial" w:hAnsi="Arial" w:cs="Arial"/>
                <w:i/>
                <w:szCs w:val="24"/>
              </w:rPr>
              <w:t xml:space="preserve">. </w:t>
            </w:r>
            <w:proofErr w:type="spellStart"/>
            <w:r w:rsidRPr="00C73729">
              <w:rPr>
                <w:rFonts w:ascii="Arial" w:hAnsi="Arial" w:cs="Arial"/>
                <w:i/>
                <w:szCs w:val="24"/>
              </w:rPr>
              <w:t>jejuni</w:t>
            </w:r>
            <w:proofErr w:type="spellEnd"/>
            <w:r>
              <w:rPr>
                <w:rFonts w:ascii="Arial" w:hAnsi="Arial" w:cs="Arial"/>
                <w:szCs w:val="24"/>
              </w:rPr>
              <w:t xml:space="preserve"> showed high rate of r</w:t>
            </w:r>
            <w:r w:rsidRPr="00C73729">
              <w:rPr>
                <w:rFonts w:ascii="Arial" w:hAnsi="Arial" w:cs="Arial"/>
                <w:szCs w:val="24"/>
              </w:rPr>
              <w:t xml:space="preserve">esistance </w:t>
            </w:r>
            <w:r>
              <w:rPr>
                <w:rFonts w:ascii="Arial" w:hAnsi="Arial" w:cs="Arial"/>
                <w:szCs w:val="24"/>
              </w:rPr>
              <w:t xml:space="preserve">were reported </w:t>
            </w:r>
            <w:r w:rsidRPr="00C73729">
              <w:rPr>
                <w:rFonts w:ascii="Arial" w:hAnsi="Arial" w:cs="Arial"/>
                <w:szCs w:val="24"/>
              </w:rPr>
              <w:t>to tetracyc</w:t>
            </w:r>
            <w:r>
              <w:rPr>
                <w:rFonts w:ascii="Arial" w:hAnsi="Arial" w:cs="Arial"/>
                <w:szCs w:val="24"/>
              </w:rPr>
              <w:t xml:space="preserve">line (82.8%), </w:t>
            </w:r>
            <w:proofErr w:type="spellStart"/>
            <w:r>
              <w:rPr>
                <w:rFonts w:ascii="Arial" w:hAnsi="Arial" w:cs="Arial"/>
                <w:szCs w:val="24"/>
              </w:rPr>
              <w:t>cefoxitin</w:t>
            </w:r>
            <w:proofErr w:type="spellEnd"/>
            <w:r>
              <w:rPr>
                <w:rFonts w:ascii="Arial" w:hAnsi="Arial" w:cs="Arial"/>
                <w:szCs w:val="24"/>
              </w:rPr>
              <w:t xml:space="preserve"> (82.8%), ampicillin (65.5%), </w:t>
            </w:r>
            <w:r w:rsidRPr="00C73729">
              <w:rPr>
                <w:rFonts w:ascii="Arial" w:hAnsi="Arial" w:cs="Arial"/>
                <w:szCs w:val="24"/>
              </w:rPr>
              <w:t>erythromycin (62.</w:t>
            </w:r>
            <w:r>
              <w:rPr>
                <w:rFonts w:ascii="Arial" w:hAnsi="Arial" w:cs="Arial"/>
                <w:szCs w:val="24"/>
              </w:rPr>
              <w:t xml:space="preserve">1%) were detected. On the contrary, relatively low rate of resistance were observed to ciprofloxacin (31%), </w:t>
            </w:r>
            <w:r w:rsidRPr="00A0672D">
              <w:t>Nalidixic acid</w:t>
            </w:r>
            <w:r>
              <w:rPr>
                <w:rFonts w:ascii="Arial" w:hAnsi="Arial" w:cs="Arial"/>
                <w:szCs w:val="24"/>
              </w:rPr>
              <w:t xml:space="preserve"> (34.5%), tobramycin (41.4%) and trimethoprim sulfamethoxazole (44.8%) </w:t>
            </w:r>
            <w:r w:rsidRPr="00C73729">
              <w:rPr>
                <w:rFonts w:ascii="Arial" w:hAnsi="Arial" w:cs="Arial"/>
                <w:szCs w:val="24"/>
              </w:rPr>
              <w:t xml:space="preserve"> </w:t>
            </w:r>
            <w:r>
              <w:rPr>
                <w:rFonts w:ascii="Arial" w:hAnsi="Arial" w:cs="Arial"/>
                <w:szCs w:val="24"/>
              </w:rPr>
              <w:t xml:space="preserve">(Figure 2). </w:t>
            </w:r>
            <w:r w:rsidRPr="00C73729">
              <w:rPr>
                <w:rFonts w:ascii="Arial" w:hAnsi="Arial" w:cs="Arial"/>
                <w:szCs w:val="24"/>
              </w:rPr>
              <w:t xml:space="preserve">Among the 29 </w:t>
            </w:r>
            <w:r w:rsidRPr="00AA1509">
              <w:rPr>
                <w:rFonts w:ascii="Arial" w:hAnsi="Arial" w:cs="Arial"/>
                <w:i/>
                <w:szCs w:val="24"/>
              </w:rPr>
              <w:t xml:space="preserve">C. </w:t>
            </w:r>
            <w:proofErr w:type="spellStart"/>
            <w:r w:rsidRPr="00AA1509">
              <w:rPr>
                <w:rFonts w:ascii="Arial" w:hAnsi="Arial" w:cs="Arial"/>
                <w:i/>
                <w:szCs w:val="24"/>
              </w:rPr>
              <w:t>jejuni</w:t>
            </w:r>
            <w:proofErr w:type="spellEnd"/>
            <w:r w:rsidRPr="00C73729">
              <w:rPr>
                <w:rFonts w:ascii="Arial" w:hAnsi="Arial" w:cs="Arial"/>
                <w:szCs w:val="24"/>
              </w:rPr>
              <w:t xml:space="preserve"> culture positives, multidrug resistance (an isolate being resistant to three or more </w:t>
            </w:r>
            <w:r>
              <w:rPr>
                <w:rFonts w:ascii="Arial" w:hAnsi="Arial" w:cs="Arial"/>
                <w:szCs w:val="24"/>
              </w:rPr>
              <w:t xml:space="preserve">class of </w:t>
            </w:r>
            <w:r>
              <w:rPr>
                <w:rFonts w:ascii="Arial" w:hAnsi="Arial" w:cs="Arial"/>
                <w:szCs w:val="24"/>
              </w:rPr>
              <w:lastRenderedPageBreak/>
              <w:t>antibiotics</w:t>
            </w:r>
            <w:r w:rsidRPr="00C73729">
              <w:rPr>
                <w:rFonts w:ascii="Arial" w:hAnsi="Arial" w:cs="Arial"/>
                <w:szCs w:val="24"/>
              </w:rPr>
              <w:t>) were detected in 23 (79.3%) of the strains. Among these 15 (51.7%) were resistant to four</w:t>
            </w:r>
            <w:r>
              <w:rPr>
                <w:rFonts w:ascii="Arial" w:hAnsi="Arial" w:cs="Arial"/>
                <w:szCs w:val="24"/>
              </w:rPr>
              <w:t xml:space="preserve"> or more classes of antibiotics.</w:t>
            </w:r>
          </w:p>
          <w:p w:rsidR="00363AF1" w:rsidRPr="00363AF1" w:rsidRDefault="00363AF1" w:rsidP="00363AF1">
            <w:pPr>
              <w:spacing w:before="100" w:beforeAutospacing="1" w:after="100" w:afterAutospacing="1" w:line="360" w:lineRule="auto"/>
              <w:ind w:left="-360" w:right="-630"/>
              <w:jc w:val="both"/>
              <w:rPr>
                <w:rFonts w:ascii="Arial" w:hAnsi="Arial" w:cs="Arial"/>
                <w:szCs w:val="24"/>
              </w:rPr>
            </w:pP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D6152F">
            <w:pPr>
              <w:tabs>
                <w:tab w:val="left" w:pos="5400"/>
              </w:tabs>
              <w:rPr>
                <w:sz w:val="20"/>
              </w:rPr>
            </w:pPr>
            <w:r>
              <w:rPr>
                <w:sz w:val="20"/>
              </w:rPr>
              <w:lastRenderedPageBreak/>
              <w:t>11-13</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6149D3" w:rsidRDefault="00363AF1" w:rsidP="00D6152F">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D6152F">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vMerge/>
          </w:tcPr>
          <w:p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cnfStyle w:val="000001000000" w:firstRow="0" w:lastRow="0" w:firstColumn="0" w:lastColumn="0" w:oddVBand="0" w:evenVBand="1" w:oddHBand="0" w:evenHBand="0" w:firstRowFirstColumn="0" w:firstRowLastColumn="0" w:lastRowFirstColumn="0" w:lastRowLastColumn="0"/>
            <w:tcW w:w="630" w:type="dxa"/>
            <w:vMerge/>
          </w:tcPr>
          <w:p w:rsidR="00F968F7" w:rsidRPr="0022554A" w:rsidRDefault="00F968F7" w:rsidP="0022554A">
            <w:pPr>
              <w:tabs>
                <w:tab w:val="left" w:pos="5400"/>
              </w:tabs>
              <w:jc w:val="center"/>
              <w:rPr>
                <w:sz w:val="20"/>
              </w:rPr>
            </w:pPr>
          </w:p>
        </w:tc>
        <w:tc>
          <w:tcPr>
            <w:cnfStyle w:val="000010000000" w:firstRow="0" w:lastRow="0" w:firstColumn="0" w:lastColumn="0" w:oddVBand="1" w:evenVBand="0" w:oddHBand="0" w:evenHBand="0" w:firstRowFirstColumn="0" w:firstRowLastColumn="0" w:lastRowFirstColumn="0" w:lastRowLastColumn="0"/>
            <w:tcW w:w="7664" w:type="dxa"/>
          </w:tcPr>
          <w:p w:rsidR="00F968F7" w:rsidRPr="006149D3" w:rsidRDefault="00363AF1" w:rsidP="00D6152F">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D6152F">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17</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22554A">
            <w:pPr>
              <w:tabs>
                <w:tab w:val="left" w:pos="5400"/>
              </w:tabs>
              <w:rPr>
                <w:sz w:val="20"/>
              </w:rPr>
            </w:pPr>
            <w:r>
              <w:rPr>
                <w:sz w:val="20"/>
              </w:rPr>
              <w:t>NA</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001" w:type="dxa"/>
            <w:gridSpan w:val="4"/>
          </w:tcPr>
          <w:p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rsidTr="00B54E67">
        <w:trPr>
          <w:cnfStyle w:val="000000100000" w:firstRow="0" w:lastRow="0" w:firstColumn="0" w:lastColumn="0" w:oddVBand="0" w:evenVBand="0" w:oddHBand="1" w:evenHBand="0" w:firstRowFirstColumn="0" w:firstRowLastColumn="0" w:lastRowFirstColumn="0" w:lastRowLastColumn="0"/>
          <w:trHeight w:val="1457"/>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18</w:t>
            </w:r>
          </w:p>
        </w:tc>
        <w:tc>
          <w:tcPr>
            <w:cnfStyle w:val="000010000000" w:firstRow="0" w:lastRow="0" w:firstColumn="0" w:lastColumn="0" w:oddVBand="1" w:evenVBand="0" w:oddHBand="0" w:evenHBand="0" w:firstRowFirstColumn="0" w:firstRowLastColumn="0" w:lastRowFirstColumn="0" w:lastRowLastColumn="0"/>
            <w:tcW w:w="7664" w:type="dxa"/>
          </w:tcPr>
          <w:p w:rsidR="00B54E67" w:rsidRDefault="00B54E67" w:rsidP="00B54E67">
            <w:pPr>
              <w:spacing w:before="100" w:beforeAutospacing="1" w:after="100" w:afterAutospacing="1" w:line="360" w:lineRule="auto"/>
              <w:ind w:left="-360" w:right="-630"/>
              <w:jc w:val="both"/>
              <w:rPr>
                <w:rFonts w:ascii="Arial" w:hAnsi="Arial" w:cs="Arial"/>
                <w:szCs w:val="24"/>
              </w:rPr>
            </w:pPr>
            <w:r>
              <w:rPr>
                <w:rFonts w:ascii="Arial" w:hAnsi="Arial" w:cs="Arial"/>
                <w:szCs w:val="24"/>
              </w:rPr>
              <w:t xml:space="preserve">This study addressed three key objectives; determined the point prevalence, assessed the drug resistance profile of isolates and identified factors associated with </w:t>
            </w:r>
            <w:r w:rsidRPr="003F392E">
              <w:rPr>
                <w:rFonts w:ascii="Arial" w:hAnsi="Arial" w:cs="Arial"/>
                <w:i/>
                <w:szCs w:val="24"/>
              </w:rPr>
              <w:t xml:space="preserve">C. </w:t>
            </w:r>
            <w:proofErr w:type="spellStart"/>
            <w:r w:rsidRPr="003F392E">
              <w:rPr>
                <w:rFonts w:ascii="Arial" w:hAnsi="Arial" w:cs="Arial"/>
                <w:i/>
                <w:szCs w:val="24"/>
              </w:rPr>
              <w:t>jejuni</w:t>
            </w:r>
            <w:proofErr w:type="spellEnd"/>
            <w:r>
              <w:rPr>
                <w:rFonts w:ascii="Arial" w:hAnsi="Arial" w:cs="Arial"/>
                <w:szCs w:val="24"/>
              </w:rPr>
              <w:t xml:space="preserve"> infection. T</w:t>
            </w:r>
            <w:r w:rsidRPr="00C73729">
              <w:rPr>
                <w:rFonts w:ascii="Arial" w:hAnsi="Arial" w:cs="Arial"/>
                <w:szCs w:val="24"/>
              </w:rPr>
              <w:t xml:space="preserve">he overall prevalence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Pr>
                <w:rFonts w:ascii="Arial" w:hAnsi="Arial" w:cs="Arial"/>
                <w:szCs w:val="24"/>
              </w:rPr>
              <w:t xml:space="preserve">was calculated at </w:t>
            </w:r>
            <w:r w:rsidRPr="00C73729">
              <w:rPr>
                <w:rFonts w:ascii="Arial" w:hAnsi="Arial" w:cs="Arial"/>
                <w:szCs w:val="24"/>
              </w:rPr>
              <w:t>14.8%</w:t>
            </w:r>
            <w:r w:rsidRPr="00C73729">
              <w:rPr>
                <w:rFonts w:ascii="Arial" w:hAnsi="Arial" w:cs="Arial"/>
                <w:i/>
                <w:szCs w:val="24"/>
              </w:rPr>
              <w:t xml:space="preserve">. </w:t>
            </w:r>
            <w:r w:rsidRPr="00C73729">
              <w:rPr>
                <w:rFonts w:ascii="Arial" w:hAnsi="Arial" w:cs="Arial"/>
                <w:szCs w:val="24"/>
              </w:rPr>
              <w:t xml:space="preserve">This finding was comparable with other studies reported in </w:t>
            </w:r>
            <w:proofErr w:type="spellStart"/>
            <w:r w:rsidRPr="00C73729">
              <w:rPr>
                <w:rFonts w:ascii="Arial" w:hAnsi="Arial" w:cs="Arial"/>
                <w:szCs w:val="24"/>
              </w:rPr>
              <w:t>Jimma</w:t>
            </w:r>
            <w:proofErr w:type="spellEnd"/>
            <w:r w:rsidRPr="00C73729">
              <w:rPr>
                <w:rFonts w:ascii="Arial" w:hAnsi="Arial" w:cs="Arial"/>
                <w:szCs w:val="24"/>
              </w:rPr>
              <w:t xml:space="preserve"> Ethiopia</w:t>
            </w:r>
            <w:r>
              <w:rPr>
                <w:rFonts w:ascii="Arial" w:hAnsi="Arial" w:cs="Arial"/>
                <w:szCs w:val="24"/>
              </w:rPr>
              <w:t xml:space="preserve"> </w:t>
            </w:r>
            <w:r w:rsidRPr="00C73729">
              <w:rPr>
                <w:rFonts w:ascii="Arial" w:hAnsi="Arial" w:cs="Arial"/>
                <w:noProof/>
                <w:szCs w:val="24"/>
              </w:rPr>
              <w:t>[23]</w:t>
            </w:r>
            <w:r w:rsidRPr="00C73729">
              <w:rPr>
                <w:rFonts w:ascii="Arial" w:hAnsi="Arial" w:cs="Arial"/>
                <w:szCs w:val="24"/>
              </w:rPr>
              <w:t xml:space="preserve"> and Gonda</w:t>
            </w:r>
            <w:r w:rsidRPr="00A161D3">
              <w:rPr>
                <w:rFonts w:ascii="Arial" w:hAnsi="Arial" w:cs="Arial"/>
                <w:szCs w:val="24"/>
              </w:rPr>
              <w:t xml:space="preserve">r Ethiopia </w:t>
            </w:r>
            <w:r w:rsidRPr="00A161D3">
              <w:rPr>
                <w:rFonts w:ascii="Arial" w:hAnsi="Arial" w:cs="Arial"/>
                <w:noProof/>
                <w:szCs w:val="24"/>
              </w:rPr>
              <w:t>[13]</w:t>
            </w:r>
            <w:r w:rsidRPr="00A161D3">
              <w:rPr>
                <w:rFonts w:ascii="Arial" w:hAnsi="Arial" w:cs="Arial"/>
                <w:szCs w:val="24"/>
              </w:rPr>
              <w:t xml:space="preserve">, </w:t>
            </w:r>
            <w:proofErr w:type="spellStart"/>
            <w:r w:rsidRPr="00A161D3">
              <w:rPr>
                <w:rFonts w:ascii="Arial" w:hAnsi="Arial" w:cs="Arial"/>
                <w:szCs w:val="24"/>
              </w:rPr>
              <w:t>kenya</w:t>
            </w:r>
            <w:proofErr w:type="spellEnd"/>
            <w:r w:rsidRPr="00A161D3">
              <w:rPr>
                <w:rFonts w:ascii="Arial" w:hAnsi="Arial" w:cs="Arial"/>
                <w:szCs w:val="24"/>
              </w:rPr>
              <w:t xml:space="preserve"> </w:t>
            </w:r>
            <w:r w:rsidRPr="00A161D3">
              <w:rPr>
                <w:rFonts w:ascii="Arial" w:hAnsi="Arial" w:cs="Arial"/>
                <w:noProof/>
                <w:szCs w:val="24"/>
              </w:rPr>
              <w:t>[24]</w:t>
            </w:r>
            <w:r w:rsidRPr="00C73729">
              <w:rPr>
                <w:rFonts w:ascii="Arial" w:hAnsi="Arial" w:cs="Arial"/>
                <w:szCs w:val="24"/>
              </w:rPr>
              <w:t xml:space="preserve"> with the isolation rates of 11.9% and 14%, </w:t>
            </w:r>
            <w:r>
              <w:rPr>
                <w:rFonts w:ascii="Arial" w:hAnsi="Arial" w:cs="Arial"/>
                <w:szCs w:val="24"/>
              </w:rPr>
              <w:t xml:space="preserve">12.9% </w:t>
            </w:r>
            <w:r w:rsidRPr="00C73729">
              <w:rPr>
                <w:rFonts w:ascii="Arial" w:hAnsi="Arial" w:cs="Arial"/>
                <w:szCs w:val="24"/>
              </w:rPr>
              <w:t>respectively.</w:t>
            </w:r>
            <w:r w:rsidRPr="003F392E">
              <w:rPr>
                <w:rFonts w:ascii="Arial" w:hAnsi="Arial" w:cs="Arial"/>
                <w:szCs w:val="24"/>
              </w:rPr>
              <w:t xml:space="preserve"> </w:t>
            </w:r>
            <w:r>
              <w:rPr>
                <w:rFonts w:ascii="Arial" w:hAnsi="Arial" w:cs="Arial"/>
                <w:szCs w:val="24"/>
              </w:rPr>
              <w:t>However, t</w:t>
            </w:r>
            <w:r w:rsidRPr="00C73729">
              <w:rPr>
                <w:rFonts w:ascii="Arial" w:hAnsi="Arial" w:cs="Arial"/>
                <w:szCs w:val="24"/>
              </w:rPr>
              <w:t>he present study showed higher prevalence compared to other African studies conducted in Sudan</w:t>
            </w:r>
            <w:r>
              <w:rPr>
                <w:rFonts w:ascii="Arial" w:hAnsi="Arial" w:cs="Arial"/>
                <w:szCs w:val="24"/>
              </w:rPr>
              <w:t>, 2%</w:t>
            </w:r>
            <w:r w:rsidRPr="00C73729">
              <w:rPr>
                <w:rFonts w:ascii="Arial" w:hAnsi="Arial" w:cs="Arial"/>
                <w:szCs w:val="24"/>
              </w:rPr>
              <w:t xml:space="preserve"> </w:t>
            </w:r>
            <w:r>
              <w:rPr>
                <w:rFonts w:ascii="Arial" w:hAnsi="Arial" w:cs="Arial"/>
                <w:noProof/>
                <w:szCs w:val="24"/>
              </w:rPr>
              <w:t>[38</w:t>
            </w:r>
            <w:proofErr w:type="gramStart"/>
            <w:r>
              <w:rPr>
                <w:rFonts w:ascii="Arial" w:hAnsi="Arial" w:cs="Arial"/>
                <w:noProof/>
                <w:szCs w:val="24"/>
              </w:rPr>
              <w:t>]</w:t>
            </w:r>
            <w:r w:rsidRPr="00C73729">
              <w:rPr>
                <w:rFonts w:ascii="Arial" w:hAnsi="Arial" w:cs="Arial"/>
                <w:szCs w:val="24"/>
              </w:rPr>
              <w:t xml:space="preserve"> ,</w:t>
            </w:r>
            <w:proofErr w:type="gramEnd"/>
            <w:r w:rsidRPr="00C73729">
              <w:rPr>
                <w:rFonts w:ascii="Arial" w:hAnsi="Arial" w:cs="Arial"/>
                <w:szCs w:val="24"/>
              </w:rPr>
              <w:t xml:space="preserve"> Burkina Faso</w:t>
            </w:r>
            <w:r>
              <w:rPr>
                <w:rFonts w:ascii="Arial" w:hAnsi="Arial" w:cs="Arial"/>
                <w:szCs w:val="24"/>
              </w:rPr>
              <w:t xml:space="preserve">, 1.1% </w:t>
            </w:r>
            <w:r>
              <w:rPr>
                <w:rFonts w:ascii="Arial" w:hAnsi="Arial" w:cs="Arial"/>
                <w:noProof/>
                <w:szCs w:val="24"/>
              </w:rPr>
              <w:t>[39]</w:t>
            </w:r>
            <w:r w:rsidRPr="00C73729">
              <w:rPr>
                <w:rFonts w:ascii="Arial" w:hAnsi="Arial" w:cs="Arial"/>
                <w:szCs w:val="24"/>
              </w:rPr>
              <w:t xml:space="preserve"> and Zambia</w:t>
            </w:r>
            <w:r>
              <w:rPr>
                <w:rFonts w:ascii="Arial" w:hAnsi="Arial" w:cs="Arial"/>
                <w:szCs w:val="24"/>
              </w:rPr>
              <w:t>,3.5%</w:t>
            </w:r>
            <w:r w:rsidRPr="00C73729">
              <w:rPr>
                <w:rFonts w:ascii="Arial" w:hAnsi="Arial" w:cs="Arial"/>
                <w:szCs w:val="24"/>
              </w:rPr>
              <w:t xml:space="preserve"> </w:t>
            </w:r>
            <w:r>
              <w:rPr>
                <w:rFonts w:ascii="Arial" w:hAnsi="Arial" w:cs="Arial"/>
                <w:noProof/>
                <w:szCs w:val="24"/>
              </w:rPr>
              <w:t>[40]</w:t>
            </w:r>
            <w:r w:rsidRPr="00C73729">
              <w:rPr>
                <w:rFonts w:ascii="Arial" w:hAnsi="Arial" w:cs="Arial"/>
                <w:szCs w:val="24"/>
              </w:rPr>
              <w:t>.</w:t>
            </w:r>
            <w:r>
              <w:rPr>
                <w:rFonts w:ascii="Arial" w:hAnsi="Arial" w:cs="Arial"/>
                <w:szCs w:val="24"/>
              </w:rPr>
              <w:t xml:space="preserve"> Additionally, the present study was higher compared with reports from Asia such as from study </w:t>
            </w:r>
            <w:proofErr w:type="gramStart"/>
            <w:r>
              <w:rPr>
                <w:rFonts w:ascii="Arial" w:hAnsi="Arial" w:cs="Arial"/>
                <w:szCs w:val="24"/>
              </w:rPr>
              <w:t xml:space="preserve">in  </w:t>
            </w:r>
            <w:r w:rsidRPr="00C73729">
              <w:rPr>
                <w:rFonts w:ascii="Arial" w:hAnsi="Arial" w:cs="Arial"/>
                <w:szCs w:val="24"/>
              </w:rPr>
              <w:t>India</w:t>
            </w:r>
            <w:proofErr w:type="gramEnd"/>
            <w:r w:rsidRPr="00C73729">
              <w:rPr>
                <w:rFonts w:ascii="Arial" w:hAnsi="Arial" w:cs="Arial"/>
                <w:szCs w:val="24"/>
              </w:rPr>
              <w:t xml:space="preserve"> </w:t>
            </w:r>
            <w:r>
              <w:rPr>
                <w:rFonts w:ascii="Arial" w:hAnsi="Arial" w:cs="Arial"/>
                <w:i/>
                <w:noProof/>
                <w:szCs w:val="24"/>
              </w:rPr>
              <w:t>[41]</w:t>
            </w:r>
            <w:r w:rsidRPr="00C73729">
              <w:rPr>
                <w:rFonts w:ascii="Arial" w:hAnsi="Arial" w:cs="Arial"/>
                <w:szCs w:val="24"/>
              </w:rPr>
              <w:t xml:space="preserve">, Iran, Asia </w:t>
            </w:r>
            <w:r>
              <w:rPr>
                <w:rFonts w:ascii="Arial" w:hAnsi="Arial" w:cs="Arial"/>
                <w:noProof/>
                <w:szCs w:val="24"/>
              </w:rPr>
              <w:t>[42]</w:t>
            </w:r>
            <w:r w:rsidRPr="00C73729">
              <w:rPr>
                <w:rFonts w:ascii="Arial" w:hAnsi="Arial" w:cs="Arial"/>
                <w:szCs w:val="24"/>
              </w:rPr>
              <w:t xml:space="preserve"> and Iran </w:t>
            </w:r>
            <w:r>
              <w:rPr>
                <w:rFonts w:ascii="Arial" w:hAnsi="Arial" w:cs="Arial"/>
                <w:noProof/>
                <w:szCs w:val="24"/>
              </w:rPr>
              <w:t>[43]</w:t>
            </w:r>
            <w:r w:rsidRPr="00C73729">
              <w:rPr>
                <w:rFonts w:ascii="Arial" w:hAnsi="Arial" w:cs="Arial"/>
                <w:szCs w:val="24"/>
              </w:rPr>
              <w:t xml:space="preserve"> </w:t>
            </w:r>
            <w:r>
              <w:rPr>
                <w:rFonts w:ascii="Arial" w:hAnsi="Arial" w:cs="Arial"/>
                <w:szCs w:val="24"/>
              </w:rPr>
              <w:t xml:space="preserve">which have an </w:t>
            </w:r>
            <w:r w:rsidRPr="00C73729">
              <w:rPr>
                <w:rFonts w:ascii="Arial" w:hAnsi="Arial" w:cs="Arial"/>
                <w:szCs w:val="24"/>
              </w:rPr>
              <w:t>isolation rate of 3.8%, 4.1%and 4.5%,respectively.</w:t>
            </w:r>
            <w:r w:rsidRPr="003B0680">
              <w:rPr>
                <w:rFonts w:ascii="Arial" w:hAnsi="Arial" w:cs="Arial"/>
                <w:szCs w:val="24"/>
              </w:rPr>
              <w:t xml:space="preserve"> </w:t>
            </w:r>
            <w:r>
              <w:rPr>
                <w:rFonts w:ascii="Arial" w:hAnsi="Arial" w:cs="Arial"/>
                <w:szCs w:val="24"/>
              </w:rPr>
              <w:t xml:space="preserve">The discrepancy might related with socio economic, the degree contact with animals and animal products, the sample collection, transportation, culturing conditions and the laboratory methods used. For instance, </w:t>
            </w:r>
            <w:r w:rsidRPr="00C73729">
              <w:rPr>
                <w:rFonts w:ascii="Arial" w:hAnsi="Arial" w:cs="Arial"/>
                <w:szCs w:val="24"/>
              </w:rPr>
              <w:t xml:space="preserve">our study </w:t>
            </w:r>
            <w:r>
              <w:rPr>
                <w:rFonts w:ascii="Arial" w:hAnsi="Arial" w:cs="Arial"/>
                <w:szCs w:val="24"/>
              </w:rPr>
              <w:t xml:space="preserve">used </w:t>
            </w:r>
            <w:r w:rsidRPr="00C73729">
              <w:rPr>
                <w:rFonts w:ascii="Arial" w:hAnsi="Arial" w:cs="Arial"/>
                <w:szCs w:val="24"/>
              </w:rPr>
              <w:t xml:space="preserve">Preston blood free agar, which has higher </w:t>
            </w:r>
            <w:r>
              <w:rPr>
                <w:rFonts w:ascii="Arial" w:hAnsi="Arial" w:cs="Arial"/>
                <w:szCs w:val="24"/>
              </w:rPr>
              <w:t>sensitivity</w:t>
            </w:r>
            <w:r w:rsidRPr="00C73729">
              <w:rPr>
                <w:rFonts w:ascii="Arial" w:hAnsi="Arial" w:cs="Arial"/>
                <w:szCs w:val="24"/>
              </w:rPr>
              <w:t xml:space="preserve"> compared to othe</w:t>
            </w:r>
            <w:r>
              <w:rPr>
                <w:rFonts w:ascii="Arial" w:hAnsi="Arial" w:cs="Arial"/>
                <w:szCs w:val="24"/>
              </w:rPr>
              <w:t xml:space="preserve">r </w:t>
            </w:r>
            <w:r>
              <w:rPr>
                <w:rFonts w:ascii="Arial" w:hAnsi="Arial" w:cs="Arial"/>
                <w:noProof/>
                <w:szCs w:val="24"/>
              </w:rPr>
              <w:t>[44]</w:t>
            </w:r>
            <w:r w:rsidRPr="00C73729">
              <w:rPr>
                <w:rFonts w:ascii="Arial" w:hAnsi="Arial" w:cs="Arial"/>
                <w:szCs w:val="24"/>
              </w:rPr>
              <w:t>.</w:t>
            </w:r>
            <w:r>
              <w:rPr>
                <w:rFonts w:ascii="Arial" w:hAnsi="Arial" w:cs="Arial"/>
                <w:szCs w:val="24"/>
              </w:rPr>
              <w:t xml:space="preserve"> Again, this study demonstrated a lower point prevalence when compared with a study from Pakistan</w:t>
            </w:r>
            <w:proofErr w:type="gramStart"/>
            <w:r>
              <w:rPr>
                <w:rFonts w:ascii="Arial" w:hAnsi="Arial" w:cs="Arial"/>
                <w:szCs w:val="24"/>
              </w:rPr>
              <w:t>;54.6</w:t>
            </w:r>
            <w:proofErr w:type="gramEnd"/>
            <w:r>
              <w:rPr>
                <w:rFonts w:ascii="Arial" w:hAnsi="Arial" w:cs="Arial"/>
                <w:szCs w:val="24"/>
              </w:rPr>
              <w:t xml:space="preserve">% </w:t>
            </w:r>
            <w:r w:rsidRPr="003B0680">
              <w:rPr>
                <w:rFonts w:ascii="Arial" w:hAnsi="Arial" w:cs="Arial"/>
                <w:noProof/>
                <w:szCs w:val="24"/>
              </w:rPr>
              <w:t>[45]</w:t>
            </w:r>
            <w:r w:rsidRPr="003B0680">
              <w:rPr>
                <w:rFonts w:ascii="Arial" w:hAnsi="Arial" w:cs="Arial"/>
                <w:szCs w:val="24"/>
              </w:rPr>
              <w:t xml:space="preserve">. </w:t>
            </w:r>
            <w:r>
              <w:rPr>
                <w:rFonts w:ascii="Arial" w:hAnsi="Arial" w:cs="Arial"/>
                <w:szCs w:val="24"/>
              </w:rPr>
              <w:t>Broadly speaking</w:t>
            </w:r>
            <w:r w:rsidRPr="00C1059B">
              <w:rPr>
                <w:rFonts w:ascii="Arial" w:hAnsi="Arial" w:cs="Arial"/>
                <w:szCs w:val="24"/>
              </w:rPr>
              <w:t xml:space="preserve">, Ethiopia is among the top ten countries having the highest number of deaths due to diarrheal diseases among </w:t>
            </w:r>
            <w:r>
              <w:rPr>
                <w:rFonts w:ascii="Arial" w:hAnsi="Arial" w:cs="Arial"/>
                <w:szCs w:val="24"/>
              </w:rPr>
              <w:t>U5C</w:t>
            </w:r>
            <w:r w:rsidRPr="00C1059B">
              <w:rPr>
                <w:rFonts w:ascii="Arial" w:hAnsi="Arial" w:cs="Arial"/>
                <w:szCs w:val="24"/>
              </w:rPr>
              <w:t xml:space="preserve"> in the world </w:t>
            </w:r>
            <w:r w:rsidRPr="00C1059B">
              <w:rPr>
                <w:rFonts w:ascii="Arial" w:hAnsi="Arial" w:cs="Arial"/>
                <w:noProof/>
                <w:szCs w:val="24"/>
              </w:rPr>
              <w:t>[46]</w:t>
            </w:r>
            <w:r w:rsidRPr="00C1059B">
              <w:rPr>
                <w:rFonts w:ascii="Arial" w:hAnsi="Arial" w:cs="Arial"/>
                <w:szCs w:val="24"/>
              </w:rPr>
              <w:t xml:space="preserve">. Community-based cross-sectional study was conducted in </w:t>
            </w:r>
            <w:proofErr w:type="spellStart"/>
            <w:r w:rsidRPr="00C1059B">
              <w:rPr>
                <w:rFonts w:ascii="Arial" w:hAnsi="Arial" w:cs="Arial"/>
                <w:szCs w:val="24"/>
              </w:rPr>
              <w:t>Sidama</w:t>
            </w:r>
            <w:proofErr w:type="spellEnd"/>
            <w:r w:rsidRPr="00C1059B">
              <w:rPr>
                <w:rFonts w:ascii="Arial" w:hAnsi="Arial" w:cs="Arial"/>
                <w:szCs w:val="24"/>
              </w:rPr>
              <w:t xml:space="preserve">, southern Ethiopia using a total of 537 U5C. The 2 weeks prevalence of </w:t>
            </w:r>
            <w:proofErr w:type="spellStart"/>
            <w:r w:rsidRPr="00C1059B">
              <w:rPr>
                <w:rFonts w:ascii="Arial" w:hAnsi="Arial" w:cs="Arial"/>
                <w:szCs w:val="24"/>
              </w:rPr>
              <w:t>diarrhea</w:t>
            </w:r>
            <w:proofErr w:type="spellEnd"/>
            <w:r w:rsidRPr="00C1059B">
              <w:rPr>
                <w:rFonts w:ascii="Arial" w:hAnsi="Arial" w:cs="Arial"/>
                <w:szCs w:val="24"/>
              </w:rPr>
              <w:t xml:space="preserve"> among U5C was 13.6, 95% CI (10.7, 16.5%</w:t>
            </w:r>
            <w:proofErr w:type="gramStart"/>
            <w:r w:rsidRPr="00C1059B">
              <w:rPr>
                <w:rFonts w:ascii="Arial" w:hAnsi="Arial" w:cs="Arial"/>
                <w:szCs w:val="24"/>
              </w:rPr>
              <w:t>)</w:t>
            </w:r>
            <w:r w:rsidRPr="00C1059B">
              <w:rPr>
                <w:rFonts w:ascii="Arial" w:hAnsi="Arial" w:cs="Arial"/>
                <w:noProof/>
                <w:szCs w:val="24"/>
              </w:rPr>
              <w:t>[</w:t>
            </w:r>
            <w:proofErr w:type="gramEnd"/>
            <w:r w:rsidRPr="00C1059B">
              <w:rPr>
                <w:rFonts w:ascii="Arial" w:hAnsi="Arial" w:cs="Arial"/>
                <w:noProof/>
                <w:szCs w:val="24"/>
              </w:rPr>
              <w:t>47]</w:t>
            </w:r>
            <w:r w:rsidRPr="00C1059B">
              <w:rPr>
                <w:rFonts w:ascii="Arial" w:hAnsi="Arial" w:cs="Arial"/>
                <w:szCs w:val="24"/>
              </w:rPr>
              <w:t xml:space="preserve">. Another community-based cross-sectional was conducted in </w:t>
            </w:r>
            <w:proofErr w:type="spellStart"/>
            <w:r w:rsidRPr="00C1059B">
              <w:rPr>
                <w:rFonts w:ascii="Arial" w:hAnsi="Arial" w:cs="Arial"/>
                <w:szCs w:val="24"/>
              </w:rPr>
              <w:t>Debre</w:t>
            </w:r>
            <w:proofErr w:type="spellEnd"/>
            <w:r w:rsidRPr="00C1059B">
              <w:rPr>
                <w:rFonts w:ascii="Arial" w:hAnsi="Arial" w:cs="Arial"/>
                <w:szCs w:val="24"/>
              </w:rPr>
              <w:t xml:space="preserve"> </w:t>
            </w:r>
            <w:proofErr w:type="spellStart"/>
            <w:r w:rsidRPr="00C1059B">
              <w:rPr>
                <w:rFonts w:ascii="Arial" w:hAnsi="Arial" w:cs="Arial"/>
                <w:szCs w:val="24"/>
              </w:rPr>
              <w:t>Berhan</w:t>
            </w:r>
            <w:proofErr w:type="spellEnd"/>
            <w:r w:rsidRPr="00C1059B">
              <w:rPr>
                <w:rFonts w:ascii="Arial" w:hAnsi="Arial" w:cs="Arial"/>
                <w:szCs w:val="24"/>
              </w:rPr>
              <w:t xml:space="preserve"> town between 13 and 18 April 2018. The two week prevalence of </w:t>
            </w:r>
            <w:proofErr w:type="spellStart"/>
            <w:r w:rsidRPr="00C1059B">
              <w:rPr>
                <w:rFonts w:ascii="Arial" w:hAnsi="Arial" w:cs="Arial"/>
                <w:szCs w:val="24"/>
              </w:rPr>
              <w:t>diarrhea</w:t>
            </w:r>
            <w:proofErr w:type="spellEnd"/>
            <w:r w:rsidRPr="00C1059B">
              <w:rPr>
                <w:rFonts w:ascii="Arial" w:hAnsi="Arial" w:cs="Arial"/>
                <w:szCs w:val="24"/>
              </w:rPr>
              <w:t xml:space="preserve"> among U5C was gauged at 16.4% (69/351) </w:t>
            </w:r>
            <w:r w:rsidRPr="00C1059B">
              <w:rPr>
                <w:rFonts w:ascii="Arial" w:hAnsi="Arial" w:cs="Arial"/>
                <w:noProof/>
                <w:szCs w:val="24"/>
              </w:rPr>
              <w:t>[48]</w:t>
            </w:r>
            <w:r w:rsidRPr="00C1059B">
              <w:rPr>
                <w:rFonts w:ascii="Arial" w:hAnsi="Arial" w:cs="Arial"/>
                <w:szCs w:val="24"/>
              </w:rPr>
              <w:t xml:space="preserve">.  Based a systematic review of 31 studies, the pooled prevalence of </w:t>
            </w:r>
            <w:proofErr w:type="spellStart"/>
            <w:r w:rsidRPr="00C1059B">
              <w:rPr>
                <w:rFonts w:ascii="Arial" w:hAnsi="Arial" w:cs="Arial"/>
                <w:szCs w:val="24"/>
              </w:rPr>
              <w:t>diarrhea</w:t>
            </w:r>
            <w:proofErr w:type="spellEnd"/>
            <w:r w:rsidRPr="00C1059B">
              <w:rPr>
                <w:rFonts w:ascii="Arial" w:hAnsi="Arial" w:cs="Arial"/>
                <w:szCs w:val="24"/>
              </w:rPr>
              <w:t xml:space="preserve"> among U5C in Ethiopia was 22% (95%CI: 19, 25%) </w:t>
            </w:r>
            <w:r w:rsidRPr="00C1059B">
              <w:rPr>
                <w:rFonts w:ascii="Arial" w:hAnsi="Arial" w:cs="Arial"/>
                <w:noProof/>
                <w:szCs w:val="24"/>
              </w:rPr>
              <w:t>[49]</w:t>
            </w:r>
            <w:r w:rsidRPr="00C1059B">
              <w:rPr>
                <w:rFonts w:ascii="Arial" w:hAnsi="Arial" w:cs="Arial"/>
                <w:szCs w:val="24"/>
              </w:rPr>
              <w:t xml:space="preserve">. The prevalence of diarrheal disease among </w:t>
            </w:r>
            <w:r>
              <w:rPr>
                <w:rFonts w:ascii="Arial" w:hAnsi="Arial" w:cs="Arial"/>
                <w:szCs w:val="24"/>
              </w:rPr>
              <w:lastRenderedPageBreak/>
              <w:t>U5C</w:t>
            </w:r>
            <w:r w:rsidRPr="00C1059B">
              <w:rPr>
                <w:rFonts w:ascii="Arial" w:hAnsi="Arial" w:cs="Arial"/>
                <w:szCs w:val="24"/>
              </w:rPr>
              <w:t xml:space="preserve"> in </w:t>
            </w:r>
            <w:proofErr w:type="spellStart"/>
            <w:r w:rsidRPr="00C1059B">
              <w:rPr>
                <w:rFonts w:ascii="Arial" w:hAnsi="Arial" w:cs="Arial"/>
                <w:szCs w:val="24"/>
              </w:rPr>
              <w:t>Arba</w:t>
            </w:r>
            <w:proofErr w:type="spellEnd"/>
            <w:r w:rsidRPr="00C1059B">
              <w:rPr>
                <w:rFonts w:ascii="Arial" w:hAnsi="Arial" w:cs="Arial"/>
                <w:szCs w:val="24"/>
              </w:rPr>
              <w:t xml:space="preserve"> Minch Southern Ethiopia and </w:t>
            </w:r>
            <w:proofErr w:type="spellStart"/>
            <w:r w:rsidRPr="00C1059B">
              <w:rPr>
                <w:rFonts w:ascii="Arial" w:hAnsi="Arial" w:cs="Arial"/>
                <w:szCs w:val="24"/>
              </w:rPr>
              <w:t>Jabithennan</w:t>
            </w:r>
            <w:proofErr w:type="spellEnd"/>
            <w:r w:rsidRPr="00C1059B">
              <w:rPr>
                <w:rFonts w:ascii="Arial" w:hAnsi="Arial" w:cs="Arial"/>
                <w:szCs w:val="24"/>
              </w:rPr>
              <w:t xml:space="preserve"> North West Ethiopia showed 30.5% and 21.6% </w:t>
            </w:r>
            <w:r w:rsidRPr="00C1059B">
              <w:rPr>
                <w:rFonts w:ascii="Arial" w:hAnsi="Arial" w:cs="Arial"/>
                <w:noProof/>
                <w:szCs w:val="24"/>
              </w:rPr>
              <w:t>[50, 51]</w:t>
            </w:r>
            <w:r w:rsidRPr="00C1059B">
              <w:rPr>
                <w:rFonts w:ascii="Arial" w:hAnsi="Arial" w:cs="Arial"/>
                <w:szCs w:val="24"/>
              </w:rPr>
              <w:t>, respectively.</w:t>
            </w:r>
          </w:p>
          <w:p w:rsidR="00B54E67" w:rsidRPr="00C73729" w:rsidRDefault="00B54E67" w:rsidP="00B54E67">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In the present study, children who </w:t>
            </w:r>
            <w:r>
              <w:rPr>
                <w:rFonts w:ascii="Arial" w:hAnsi="Arial" w:cs="Arial"/>
                <w:szCs w:val="24"/>
              </w:rPr>
              <w:t xml:space="preserve">obtain nursery by people other than their mother or father showed </w:t>
            </w:r>
            <w:r w:rsidRPr="00C73729">
              <w:rPr>
                <w:rFonts w:ascii="Arial" w:hAnsi="Arial" w:cs="Arial"/>
                <w:szCs w:val="24"/>
              </w:rPr>
              <w:t xml:space="preserve">significant association for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culture positivity rate. This might be </w:t>
            </w:r>
            <w:r>
              <w:rPr>
                <w:rFonts w:ascii="Arial" w:hAnsi="Arial" w:cs="Arial"/>
                <w:szCs w:val="24"/>
              </w:rPr>
              <w:t xml:space="preserve">related with responsibility, knowledge and skill about child care and </w:t>
            </w:r>
            <w:r w:rsidRPr="00C73729">
              <w:rPr>
                <w:rFonts w:ascii="Arial" w:hAnsi="Arial" w:cs="Arial"/>
                <w:szCs w:val="24"/>
              </w:rPr>
              <w:t>hygienic practice at</w:t>
            </w:r>
            <w:r>
              <w:rPr>
                <w:rFonts w:ascii="Arial" w:hAnsi="Arial" w:cs="Arial"/>
                <w:szCs w:val="24"/>
              </w:rPr>
              <w:t xml:space="preserve"> the time of food preparation. </w:t>
            </w:r>
            <w:r w:rsidRPr="00C73729">
              <w:rPr>
                <w:rFonts w:ascii="Arial" w:hAnsi="Arial" w:cs="Arial"/>
                <w:szCs w:val="24"/>
              </w:rPr>
              <w:t xml:space="preserve">Hand </w:t>
            </w:r>
            <w:r>
              <w:rPr>
                <w:rFonts w:ascii="Arial" w:hAnsi="Arial" w:cs="Arial"/>
                <w:szCs w:val="24"/>
              </w:rPr>
              <w:t>washing practice</w:t>
            </w:r>
            <w:r w:rsidRPr="00C73729">
              <w:rPr>
                <w:rFonts w:ascii="Arial" w:hAnsi="Arial" w:cs="Arial"/>
                <w:szCs w:val="24"/>
              </w:rPr>
              <w:t xml:space="preserve"> before food preparation was </w:t>
            </w:r>
            <w:r>
              <w:rPr>
                <w:rFonts w:ascii="Arial" w:hAnsi="Arial" w:cs="Arial"/>
                <w:szCs w:val="24"/>
              </w:rPr>
              <w:t xml:space="preserve">showed </w:t>
            </w:r>
            <w:r w:rsidRPr="00C73729">
              <w:rPr>
                <w:rFonts w:ascii="Arial" w:hAnsi="Arial" w:cs="Arial"/>
                <w:szCs w:val="24"/>
              </w:rPr>
              <w:t xml:space="preserve">a significant </w:t>
            </w:r>
            <w:r>
              <w:rPr>
                <w:rFonts w:ascii="Arial" w:hAnsi="Arial" w:cs="Arial"/>
                <w:szCs w:val="24"/>
              </w:rPr>
              <w:t xml:space="preserve">reduction in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Pr>
                <w:rFonts w:ascii="Arial" w:hAnsi="Arial" w:cs="Arial"/>
                <w:szCs w:val="24"/>
              </w:rPr>
              <w:t xml:space="preserve">culture positivity rate </w:t>
            </w:r>
            <w:r>
              <w:rPr>
                <w:rFonts w:ascii="Arial" w:hAnsi="Arial" w:cs="Arial"/>
                <w:noProof/>
                <w:szCs w:val="24"/>
              </w:rPr>
              <w:t>[52]</w:t>
            </w:r>
            <w:r w:rsidRPr="00C73729">
              <w:rPr>
                <w:rFonts w:ascii="Arial" w:hAnsi="Arial" w:cs="Arial"/>
                <w:szCs w:val="24"/>
              </w:rPr>
              <w:t>.</w:t>
            </w:r>
          </w:p>
          <w:p w:rsidR="00B54E67" w:rsidRPr="00C73729" w:rsidRDefault="00B54E67" w:rsidP="00B54E67">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Malnutrition had a significant association with C</w:t>
            </w:r>
            <w:r w:rsidRPr="00C73729">
              <w:rPr>
                <w:rFonts w:ascii="Arial" w:hAnsi="Arial" w:cs="Arial"/>
                <w:i/>
                <w:szCs w:val="24"/>
              </w:rPr>
              <w:t xml:space="preserve">.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culture positivity rate. This result is consistent with previous reports done in </w:t>
            </w:r>
            <w:proofErr w:type="spellStart"/>
            <w:r w:rsidRPr="00C73729">
              <w:rPr>
                <w:rFonts w:ascii="Arial" w:hAnsi="Arial" w:cs="Arial"/>
                <w:szCs w:val="24"/>
              </w:rPr>
              <w:t>Jimma</w:t>
            </w:r>
            <w:proofErr w:type="spellEnd"/>
            <w:r w:rsidRPr="00C73729">
              <w:rPr>
                <w:rFonts w:ascii="Arial" w:hAnsi="Arial" w:cs="Arial"/>
                <w:szCs w:val="24"/>
              </w:rPr>
              <w:t xml:space="preserve">, Ethiopia </w:t>
            </w:r>
            <w:r w:rsidRPr="00C73729">
              <w:rPr>
                <w:rFonts w:ascii="Arial" w:hAnsi="Arial" w:cs="Arial"/>
                <w:noProof/>
                <w:szCs w:val="24"/>
              </w:rPr>
              <w:t>[12]</w:t>
            </w:r>
            <w:r w:rsidRPr="00C73729">
              <w:rPr>
                <w:rFonts w:ascii="Arial" w:hAnsi="Arial" w:cs="Arial"/>
                <w:szCs w:val="24"/>
              </w:rPr>
              <w:t xml:space="preserve">, and Gondar, Ethiopia </w:t>
            </w:r>
            <w:r w:rsidRPr="00C73729">
              <w:rPr>
                <w:rFonts w:ascii="Arial" w:hAnsi="Arial" w:cs="Arial"/>
                <w:noProof/>
                <w:szCs w:val="24"/>
              </w:rPr>
              <w:t>[13]</w:t>
            </w:r>
            <w:r w:rsidRPr="00C73729">
              <w:rPr>
                <w:rFonts w:ascii="Arial" w:hAnsi="Arial" w:cs="Arial"/>
                <w:szCs w:val="24"/>
              </w:rPr>
              <w:t xml:space="preserve">. This could be due to low immune status of malnourished children. </w:t>
            </w:r>
            <w:r w:rsidRPr="00C1059B">
              <w:rPr>
                <w:rFonts w:ascii="Arial" w:hAnsi="Arial" w:cs="Arial"/>
                <w:szCs w:val="24"/>
              </w:rPr>
              <w:t xml:space="preserve">Based </w:t>
            </w:r>
            <w:r>
              <w:rPr>
                <w:rFonts w:ascii="Arial" w:hAnsi="Arial" w:cs="Arial"/>
                <w:szCs w:val="24"/>
              </w:rPr>
              <w:t xml:space="preserve">on </w:t>
            </w:r>
            <w:r w:rsidRPr="00C1059B">
              <w:rPr>
                <w:rFonts w:ascii="Arial" w:hAnsi="Arial" w:cs="Arial"/>
                <w:szCs w:val="24"/>
              </w:rPr>
              <w:t>a systematic review of 31 studies, lack of maternal education, lack of availabi</w:t>
            </w:r>
            <w:r>
              <w:rPr>
                <w:rFonts w:ascii="Arial" w:hAnsi="Arial" w:cs="Arial"/>
                <w:szCs w:val="24"/>
              </w:rPr>
              <w:t>lity of latrine, urban residency</w:t>
            </w:r>
            <w:r w:rsidRPr="00C1059B">
              <w:rPr>
                <w:rFonts w:ascii="Arial" w:hAnsi="Arial" w:cs="Arial"/>
                <w:szCs w:val="24"/>
              </w:rPr>
              <w:t xml:space="preserve">, and maternal hand washing practices were significantly associated with childhood </w:t>
            </w:r>
            <w:proofErr w:type="spellStart"/>
            <w:r w:rsidRPr="00C1059B">
              <w:rPr>
                <w:rFonts w:ascii="Arial" w:hAnsi="Arial" w:cs="Arial"/>
                <w:szCs w:val="24"/>
              </w:rPr>
              <w:t>diarrhea</w:t>
            </w:r>
            <w:proofErr w:type="spellEnd"/>
            <w:r w:rsidRPr="00C1059B">
              <w:rPr>
                <w:rFonts w:ascii="Arial" w:hAnsi="Arial" w:cs="Arial"/>
                <w:szCs w:val="24"/>
              </w:rPr>
              <w:t xml:space="preserve"> </w:t>
            </w:r>
            <w:r w:rsidRPr="00C1059B">
              <w:rPr>
                <w:rFonts w:ascii="Arial" w:hAnsi="Arial" w:cs="Arial"/>
                <w:noProof/>
                <w:szCs w:val="24"/>
              </w:rPr>
              <w:t>[49]</w:t>
            </w:r>
            <w:r w:rsidRPr="00C1059B">
              <w:rPr>
                <w:rFonts w:ascii="Arial" w:hAnsi="Arial" w:cs="Arial"/>
                <w:szCs w:val="24"/>
              </w:rPr>
              <w:t xml:space="preserve">. Based on 2016 Ethiopian demographic health survey (EDHS) data, a total of 10,641 children from 18,008 households were included in a study by </w:t>
            </w:r>
            <w:r w:rsidRPr="00C1059B">
              <w:rPr>
                <w:rFonts w:ascii="Arial" w:hAnsi="Arial" w:cs="Arial"/>
                <w:noProof/>
                <w:szCs w:val="24"/>
              </w:rPr>
              <w:t>Zewudie et al (2016)</w:t>
            </w:r>
            <w:r w:rsidRPr="00C1059B">
              <w:rPr>
                <w:rFonts w:ascii="Arial" w:hAnsi="Arial" w:cs="Arial"/>
                <w:szCs w:val="24"/>
              </w:rPr>
              <w:t>. The under-five child mortality (U5M) was signific</w:t>
            </w:r>
            <w:r>
              <w:rPr>
                <w:rFonts w:ascii="Arial" w:hAnsi="Arial" w:cs="Arial"/>
                <w:szCs w:val="24"/>
              </w:rPr>
              <w:t>antly linked with rural residency</w:t>
            </w:r>
            <w:r w:rsidRPr="00C1059B">
              <w:rPr>
                <w:rFonts w:ascii="Arial" w:hAnsi="Arial" w:cs="Arial"/>
                <w:szCs w:val="24"/>
              </w:rPr>
              <w:t xml:space="preserve">, none breastfeeding practices, having multiple birth, male gender, having first birth order and having family size six and above </w:t>
            </w:r>
            <w:r w:rsidRPr="00C1059B">
              <w:rPr>
                <w:rFonts w:ascii="Arial" w:hAnsi="Arial" w:cs="Arial"/>
                <w:noProof/>
                <w:szCs w:val="24"/>
              </w:rPr>
              <w:t>[1]</w:t>
            </w:r>
            <w:r w:rsidRPr="00C1059B">
              <w:rPr>
                <w:rFonts w:ascii="Arial" w:hAnsi="Arial" w:cs="Arial"/>
                <w:szCs w:val="24"/>
              </w:rPr>
              <w:t>.</w:t>
            </w:r>
          </w:p>
          <w:p w:rsidR="00B54E67" w:rsidRPr="00C73729" w:rsidRDefault="00B54E67" w:rsidP="00B54E67">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High culture positivity rate was also observed from children who have close contact with domestic animal (hen and cattle). This finding was </w:t>
            </w:r>
            <w:r>
              <w:rPr>
                <w:rFonts w:ascii="Arial" w:hAnsi="Arial" w:cs="Arial"/>
                <w:szCs w:val="24"/>
              </w:rPr>
              <w:t>in line</w:t>
            </w:r>
            <w:r w:rsidRPr="00C73729">
              <w:rPr>
                <w:rFonts w:ascii="Arial" w:hAnsi="Arial" w:cs="Arial"/>
                <w:szCs w:val="24"/>
              </w:rPr>
              <w:t xml:space="preserve"> with previous report</w:t>
            </w:r>
            <w:r>
              <w:rPr>
                <w:rFonts w:ascii="Arial" w:hAnsi="Arial" w:cs="Arial"/>
                <w:szCs w:val="24"/>
              </w:rPr>
              <w:t>s</w:t>
            </w:r>
            <w:r w:rsidRPr="00C73729">
              <w:rPr>
                <w:rFonts w:ascii="Arial" w:hAnsi="Arial" w:cs="Arial"/>
                <w:szCs w:val="24"/>
              </w:rPr>
              <w:t xml:space="preserve"> done in </w:t>
            </w:r>
            <w:proofErr w:type="spellStart"/>
            <w:r w:rsidRPr="00C73729">
              <w:rPr>
                <w:rFonts w:ascii="Arial" w:hAnsi="Arial" w:cs="Arial"/>
                <w:szCs w:val="24"/>
              </w:rPr>
              <w:t>Jimma</w:t>
            </w:r>
            <w:proofErr w:type="spellEnd"/>
            <w:r w:rsidRPr="00C73729">
              <w:rPr>
                <w:rFonts w:ascii="Arial" w:hAnsi="Arial" w:cs="Arial"/>
                <w:szCs w:val="24"/>
              </w:rPr>
              <w:t xml:space="preserve">, Ethiopia </w:t>
            </w:r>
            <w:r w:rsidRPr="00C73729">
              <w:rPr>
                <w:rFonts w:ascii="Arial" w:hAnsi="Arial" w:cs="Arial"/>
                <w:noProof/>
                <w:szCs w:val="24"/>
              </w:rPr>
              <w:t>[12, 23]</w:t>
            </w:r>
            <w:r w:rsidRPr="00C73729">
              <w:rPr>
                <w:rFonts w:ascii="Arial" w:hAnsi="Arial" w:cs="Arial"/>
                <w:szCs w:val="24"/>
              </w:rPr>
              <w:t>, and Gondar, Ethiopia</w:t>
            </w:r>
            <w:r>
              <w:rPr>
                <w:rFonts w:ascii="Arial" w:hAnsi="Arial" w:cs="Arial"/>
                <w:szCs w:val="24"/>
              </w:rPr>
              <w:t xml:space="preserve"> </w:t>
            </w:r>
            <w:r w:rsidRPr="00C73729">
              <w:rPr>
                <w:rFonts w:ascii="Arial" w:hAnsi="Arial" w:cs="Arial"/>
                <w:noProof/>
                <w:szCs w:val="24"/>
              </w:rPr>
              <w:t>[13]</w:t>
            </w:r>
            <w:r w:rsidRPr="00C73729">
              <w:rPr>
                <w:rFonts w:ascii="Arial" w:hAnsi="Arial" w:cs="Arial"/>
                <w:szCs w:val="24"/>
              </w:rPr>
              <w:t xml:space="preserve">. This </w:t>
            </w:r>
            <w:r>
              <w:rPr>
                <w:rFonts w:ascii="Arial" w:hAnsi="Arial" w:cs="Arial"/>
                <w:szCs w:val="24"/>
              </w:rPr>
              <w:t xml:space="preserve">is expected because of the fact that, </w:t>
            </w:r>
            <w:r w:rsidRPr="00920894">
              <w:rPr>
                <w:rFonts w:ascii="Arial" w:hAnsi="Arial" w:cs="Arial"/>
                <w:i/>
                <w:szCs w:val="24"/>
              </w:rPr>
              <w:t xml:space="preserve">C. </w:t>
            </w:r>
            <w:proofErr w:type="spellStart"/>
            <w:r w:rsidRPr="00920894">
              <w:rPr>
                <w:rFonts w:ascii="Arial" w:hAnsi="Arial" w:cs="Arial"/>
                <w:i/>
                <w:szCs w:val="24"/>
              </w:rPr>
              <w:t>jejuni</w:t>
            </w:r>
            <w:proofErr w:type="spellEnd"/>
            <w:r>
              <w:rPr>
                <w:rFonts w:ascii="Arial" w:hAnsi="Arial" w:cs="Arial"/>
                <w:szCs w:val="24"/>
              </w:rPr>
              <w:t xml:space="preserve"> is a </w:t>
            </w:r>
            <w:r w:rsidRPr="00C73729">
              <w:rPr>
                <w:rFonts w:ascii="Arial" w:hAnsi="Arial" w:cs="Arial"/>
                <w:szCs w:val="24"/>
              </w:rPr>
              <w:t xml:space="preserve">zoonotic bacteria. According to </w:t>
            </w:r>
            <w:proofErr w:type="spellStart"/>
            <w:r w:rsidRPr="00C73729">
              <w:rPr>
                <w:rFonts w:ascii="Arial" w:hAnsi="Arial" w:cs="Arial"/>
                <w:szCs w:val="24"/>
              </w:rPr>
              <w:t>Abamecha</w:t>
            </w:r>
            <w:proofErr w:type="spellEnd"/>
            <w:r w:rsidRPr="00C73729">
              <w:rPr>
                <w:rFonts w:ascii="Arial" w:hAnsi="Arial" w:cs="Arial"/>
                <w:szCs w:val="24"/>
              </w:rPr>
              <w:t xml:space="preserve"> </w:t>
            </w:r>
            <w:r w:rsidRPr="00C73729">
              <w:rPr>
                <w:rFonts w:ascii="Arial" w:hAnsi="Arial" w:cs="Arial"/>
                <w:i/>
                <w:szCs w:val="24"/>
              </w:rPr>
              <w:t xml:space="preserve">et al </w:t>
            </w:r>
            <w:r w:rsidRPr="00C73729">
              <w:rPr>
                <w:rFonts w:ascii="Arial" w:hAnsi="Arial" w:cs="Arial"/>
                <w:szCs w:val="24"/>
              </w:rPr>
              <w:t>report</w:t>
            </w:r>
            <w:r w:rsidRPr="00C73729">
              <w:rPr>
                <w:rFonts w:ascii="Arial" w:hAnsi="Arial" w:cs="Arial"/>
                <w:noProof/>
                <w:szCs w:val="24"/>
              </w:rPr>
              <w:t>[10]</w:t>
            </w:r>
            <w:r w:rsidRPr="00C73729">
              <w:rPr>
                <w:rFonts w:ascii="Arial" w:hAnsi="Arial" w:cs="Arial"/>
                <w:szCs w:val="24"/>
              </w:rPr>
              <w:t xml:space="preserve">,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was</w:t>
            </w:r>
            <w:r w:rsidRPr="00C73729">
              <w:rPr>
                <w:rFonts w:ascii="Arial" w:hAnsi="Arial" w:cs="Arial"/>
                <w:szCs w:val="24"/>
              </w:rPr>
              <w:t xml:space="preserve"> isolated from domestic animal </w:t>
            </w:r>
            <w:proofErr w:type="spellStart"/>
            <w:r w:rsidRPr="00C73729">
              <w:rPr>
                <w:rFonts w:ascii="Arial" w:hAnsi="Arial" w:cs="Arial"/>
                <w:szCs w:val="24"/>
              </w:rPr>
              <w:t>feces</w:t>
            </w:r>
            <w:proofErr w:type="spellEnd"/>
            <w:r w:rsidRPr="00C73729">
              <w:rPr>
                <w:rFonts w:ascii="Arial" w:hAnsi="Arial" w:cs="Arial"/>
                <w:szCs w:val="24"/>
              </w:rPr>
              <w:t xml:space="preserve"> such as cattle (75.3%), chicken (86.9%), sheep (84.6%)</w:t>
            </w:r>
            <w:r>
              <w:rPr>
                <w:rFonts w:ascii="Arial" w:hAnsi="Arial" w:cs="Arial"/>
                <w:szCs w:val="24"/>
              </w:rPr>
              <w:t xml:space="preserve"> </w:t>
            </w:r>
            <w:r w:rsidRPr="00C73729">
              <w:rPr>
                <w:rFonts w:ascii="Arial" w:hAnsi="Arial" w:cs="Arial"/>
                <w:szCs w:val="24"/>
              </w:rPr>
              <w:t xml:space="preserve">and goat (100%) done in </w:t>
            </w:r>
            <w:proofErr w:type="spellStart"/>
            <w:r w:rsidRPr="00C73729">
              <w:rPr>
                <w:rFonts w:ascii="Arial" w:hAnsi="Arial" w:cs="Arial"/>
                <w:szCs w:val="24"/>
              </w:rPr>
              <w:t>Gambella</w:t>
            </w:r>
            <w:proofErr w:type="spellEnd"/>
            <w:r w:rsidRPr="00C73729">
              <w:rPr>
                <w:rFonts w:ascii="Arial" w:hAnsi="Arial" w:cs="Arial"/>
                <w:szCs w:val="24"/>
              </w:rPr>
              <w:t xml:space="preserve">, Northwest Ethiopia.  </w:t>
            </w:r>
            <w:r>
              <w:rPr>
                <w:rFonts w:ascii="Arial" w:hAnsi="Arial" w:cs="Arial"/>
                <w:szCs w:val="24"/>
              </w:rPr>
              <w:t xml:space="preserve">In Sub-Saharan Africa 31% </w:t>
            </w:r>
            <w:proofErr w:type="gramStart"/>
            <w:r>
              <w:rPr>
                <w:rFonts w:ascii="Arial" w:hAnsi="Arial" w:cs="Arial"/>
                <w:szCs w:val="24"/>
              </w:rPr>
              <w:t xml:space="preserve">of </w:t>
            </w:r>
            <w:r w:rsidRPr="00C73729">
              <w:rPr>
                <w:rFonts w:ascii="Arial" w:hAnsi="Arial" w:cs="Arial"/>
                <w:szCs w:val="24"/>
              </w:rPr>
              <w:t xml:space="preserve"> children</w:t>
            </w:r>
            <w:proofErr w:type="gramEnd"/>
            <w:r w:rsidRPr="00C73729">
              <w:rPr>
                <w:rFonts w:ascii="Arial" w:hAnsi="Arial" w:cs="Arial"/>
                <w:szCs w:val="24"/>
              </w:rPr>
              <w:t xml:space="preserve"> health impact</w:t>
            </w:r>
            <w:r>
              <w:rPr>
                <w:rFonts w:ascii="Arial" w:hAnsi="Arial" w:cs="Arial"/>
                <w:szCs w:val="24"/>
              </w:rPr>
              <w:t xml:space="preserve"> is</w:t>
            </w:r>
            <w:r w:rsidRPr="00C73729">
              <w:rPr>
                <w:rFonts w:ascii="Arial" w:hAnsi="Arial" w:cs="Arial"/>
                <w:szCs w:val="24"/>
              </w:rPr>
              <w:t xml:space="preserve"> due to exposure to animal </w:t>
            </w:r>
            <w:proofErr w:type="spellStart"/>
            <w:r w:rsidRPr="00C73729">
              <w:rPr>
                <w:rFonts w:ascii="Arial" w:hAnsi="Arial" w:cs="Arial"/>
                <w:szCs w:val="24"/>
              </w:rPr>
              <w:t>feces</w:t>
            </w:r>
            <w:proofErr w:type="spellEnd"/>
            <w:r w:rsidRPr="00C73729">
              <w:rPr>
                <w:rFonts w:ascii="Arial" w:hAnsi="Arial" w:cs="Arial"/>
                <w:szCs w:val="24"/>
              </w:rPr>
              <w:t xml:space="preserve"> and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was </w:t>
            </w:r>
            <w:r>
              <w:rPr>
                <w:rFonts w:ascii="Arial" w:hAnsi="Arial" w:cs="Arial"/>
                <w:szCs w:val="24"/>
              </w:rPr>
              <w:t xml:space="preserve">the common pathogen identified from </w:t>
            </w:r>
            <w:r w:rsidRPr="00C73729">
              <w:rPr>
                <w:rFonts w:ascii="Arial" w:hAnsi="Arial" w:cs="Arial"/>
                <w:szCs w:val="24"/>
              </w:rPr>
              <w:t xml:space="preserve">children lived in close proximity with domestic animals </w:t>
            </w:r>
            <w:r>
              <w:rPr>
                <w:rFonts w:ascii="Arial" w:hAnsi="Arial" w:cs="Arial"/>
                <w:noProof/>
                <w:szCs w:val="24"/>
              </w:rPr>
              <w:t>[53]</w:t>
            </w:r>
            <w:r w:rsidRPr="00C73729">
              <w:rPr>
                <w:rFonts w:ascii="Arial" w:hAnsi="Arial" w:cs="Arial"/>
                <w:szCs w:val="24"/>
              </w:rPr>
              <w:t>.</w:t>
            </w:r>
          </w:p>
          <w:p w:rsidR="00B54E67" w:rsidRPr="00C73729" w:rsidRDefault="00B54E67" w:rsidP="00B54E67">
            <w:pPr>
              <w:spacing w:before="100" w:beforeAutospacing="1" w:after="100" w:afterAutospacing="1" w:line="360" w:lineRule="auto"/>
              <w:ind w:left="-360" w:right="-630"/>
              <w:jc w:val="both"/>
              <w:rPr>
                <w:rFonts w:ascii="Arial" w:hAnsi="Arial" w:cs="Arial"/>
                <w:szCs w:val="24"/>
              </w:rPr>
            </w:pPr>
            <w:r w:rsidRPr="00C73729">
              <w:rPr>
                <w:rFonts w:ascii="Arial" w:hAnsi="Arial" w:cs="Arial"/>
                <w:szCs w:val="24"/>
              </w:rPr>
              <w:t xml:space="preserve">Although </w:t>
            </w:r>
            <w:r>
              <w:rPr>
                <w:rFonts w:ascii="Arial" w:hAnsi="Arial" w:cs="Arial"/>
                <w:szCs w:val="24"/>
              </w:rPr>
              <w:t xml:space="preserve">molecular and culturing techniques are the recommended diagnostic </w:t>
            </w:r>
            <w:proofErr w:type="gramStart"/>
            <w:r>
              <w:rPr>
                <w:rFonts w:ascii="Arial" w:hAnsi="Arial" w:cs="Arial"/>
                <w:szCs w:val="24"/>
              </w:rPr>
              <w:t>methods</w:t>
            </w:r>
            <w:r>
              <w:rPr>
                <w:rFonts w:ascii="Arial" w:hAnsi="Arial" w:cs="Arial"/>
                <w:noProof/>
                <w:szCs w:val="24"/>
              </w:rPr>
              <w:t>[</w:t>
            </w:r>
            <w:proofErr w:type="gramEnd"/>
            <w:r>
              <w:rPr>
                <w:rFonts w:ascii="Arial" w:hAnsi="Arial" w:cs="Arial"/>
                <w:noProof/>
                <w:szCs w:val="24"/>
              </w:rPr>
              <w:t>54]</w:t>
            </w:r>
            <w:r>
              <w:rPr>
                <w:rFonts w:ascii="Arial" w:hAnsi="Arial" w:cs="Arial"/>
                <w:szCs w:val="24"/>
              </w:rPr>
              <w:t xml:space="preserve"> for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320CAA">
              <w:rPr>
                <w:rFonts w:ascii="Arial" w:hAnsi="Arial" w:cs="Arial"/>
                <w:szCs w:val="24"/>
              </w:rPr>
              <w:t>infection,</w:t>
            </w:r>
            <w:r w:rsidRPr="00C73729">
              <w:rPr>
                <w:rFonts w:ascii="Arial" w:hAnsi="Arial" w:cs="Arial"/>
                <w:szCs w:val="24"/>
              </w:rPr>
              <w:t xml:space="preserve"> sign-symptoms </w:t>
            </w:r>
            <w:r>
              <w:rPr>
                <w:rFonts w:ascii="Arial" w:hAnsi="Arial" w:cs="Arial"/>
                <w:szCs w:val="24"/>
              </w:rPr>
              <w:t xml:space="preserve">such as </w:t>
            </w:r>
            <w:r w:rsidRPr="00C73729">
              <w:rPr>
                <w:rFonts w:ascii="Arial" w:hAnsi="Arial" w:cs="Arial"/>
                <w:szCs w:val="24"/>
              </w:rPr>
              <w:t xml:space="preserve">duration of the </w:t>
            </w:r>
            <w:proofErr w:type="spellStart"/>
            <w:r w:rsidRPr="00C73729">
              <w:rPr>
                <w:rFonts w:ascii="Arial" w:hAnsi="Arial" w:cs="Arial"/>
                <w:szCs w:val="24"/>
              </w:rPr>
              <w:t>diarrhea</w:t>
            </w:r>
            <w:proofErr w:type="spellEnd"/>
            <w:r w:rsidRPr="00C73729">
              <w:rPr>
                <w:rFonts w:ascii="Arial" w:hAnsi="Arial" w:cs="Arial"/>
                <w:szCs w:val="24"/>
              </w:rPr>
              <w:t xml:space="preserve"> (one to five days), abdominal pain and vomiting can be an indicative for </w:t>
            </w:r>
            <w:r w:rsidRPr="00C73729">
              <w:rPr>
                <w:rFonts w:ascii="Arial" w:hAnsi="Arial" w:cs="Arial"/>
                <w:i/>
                <w:szCs w:val="24"/>
              </w:rPr>
              <w:lastRenderedPageBreak/>
              <w:t xml:space="preserve">C. </w:t>
            </w:r>
            <w:proofErr w:type="spellStart"/>
            <w:r w:rsidRPr="00C73729">
              <w:rPr>
                <w:rFonts w:ascii="Arial" w:hAnsi="Arial" w:cs="Arial"/>
                <w:i/>
                <w:szCs w:val="24"/>
              </w:rPr>
              <w:t>jejuni</w:t>
            </w:r>
            <w:proofErr w:type="spellEnd"/>
            <w:r w:rsidRPr="00C73729">
              <w:rPr>
                <w:rFonts w:ascii="Arial" w:hAnsi="Arial" w:cs="Arial"/>
                <w:i/>
                <w:szCs w:val="24"/>
              </w:rPr>
              <w:t xml:space="preserve"> </w:t>
            </w:r>
            <w:r w:rsidRPr="00C73729">
              <w:rPr>
                <w:rFonts w:ascii="Arial" w:hAnsi="Arial" w:cs="Arial"/>
                <w:szCs w:val="24"/>
              </w:rPr>
              <w:t xml:space="preserve">infection. </w:t>
            </w:r>
            <w:r>
              <w:rPr>
                <w:rFonts w:ascii="Arial" w:hAnsi="Arial" w:cs="Arial"/>
                <w:szCs w:val="24"/>
              </w:rPr>
              <w:t xml:space="preserve">However, these sign and symptoms </w:t>
            </w:r>
            <w:r w:rsidRPr="00C73729">
              <w:rPr>
                <w:rFonts w:ascii="Arial" w:hAnsi="Arial" w:cs="Arial"/>
                <w:szCs w:val="24"/>
              </w:rPr>
              <w:t>had no</w:t>
            </w:r>
            <w:r>
              <w:rPr>
                <w:rFonts w:ascii="Arial" w:hAnsi="Arial" w:cs="Arial"/>
                <w:szCs w:val="24"/>
              </w:rPr>
              <w:t xml:space="preserve"> </w:t>
            </w:r>
            <w:r w:rsidRPr="00C73729">
              <w:rPr>
                <w:rFonts w:ascii="Arial" w:hAnsi="Arial" w:cs="Arial"/>
                <w:szCs w:val="24"/>
              </w:rPr>
              <w:t xml:space="preserve">significant association in the present study. </w:t>
            </w:r>
          </w:p>
          <w:p w:rsidR="00B54E67" w:rsidRDefault="00B54E67" w:rsidP="00B54E67">
            <w:pPr>
              <w:spacing w:before="100" w:beforeAutospacing="1" w:after="100" w:afterAutospacing="1" w:line="360" w:lineRule="auto"/>
              <w:ind w:left="-360" w:right="-630"/>
              <w:jc w:val="both"/>
              <w:rPr>
                <w:rFonts w:ascii="Arial" w:hAnsi="Arial" w:cs="Arial"/>
                <w:color w:val="000000"/>
                <w:szCs w:val="24"/>
              </w:rPr>
            </w:pPr>
            <w:r w:rsidRPr="00C73729">
              <w:rPr>
                <w:rFonts w:ascii="Arial" w:hAnsi="Arial" w:cs="Arial"/>
                <w:szCs w:val="24"/>
              </w:rPr>
              <w:t xml:space="preserve">In this study, </w:t>
            </w:r>
            <w:r>
              <w:rPr>
                <w:rFonts w:ascii="Arial" w:hAnsi="Arial" w:cs="Arial"/>
                <w:szCs w:val="24"/>
              </w:rPr>
              <w:t>higher</w:t>
            </w:r>
            <w:r w:rsidRPr="00C73729">
              <w:rPr>
                <w:rFonts w:ascii="Arial" w:hAnsi="Arial" w:cs="Arial"/>
                <w:szCs w:val="24"/>
              </w:rPr>
              <w:t xml:space="preserve"> sensitivity rate</w:t>
            </w:r>
            <w:r>
              <w:rPr>
                <w:rFonts w:ascii="Arial" w:hAnsi="Arial" w:cs="Arial"/>
                <w:szCs w:val="24"/>
              </w:rPr>
              <w:t xml:space="preserve"> were observed for</w:t>
            </w:r>
            <w:r w:rsidRPr="00C73729">
              <w:rPr>
                <w:rFonts w:ascii="Arial" w:hAnsi="Arial" w:cs="Arial"/>
                <w:szCs w:val="24"/>
              </w:rPr>
              <w:t xml:space="preserve"> ciprofloxacin (69%) and nalidixic acid (65.5%) </w:t>
            </w:r>
            <w:r>
              <w:rPr>
                <w:rFonts w:ascii="Arial" w:hAnsi="Arial" w:cs="Arial"/>
                <w:szCs w:val="24"/>
              </w:rPr>
              <w:t xml:space="preserve">and this finding is in line with similar study done elsewhere in Ethiopia </w:t>
            </w:r>
            <w:r w:rsidRPr="00C73729">
              <w:rPr>
                <w:rFonts w:ascii="Arial" w:hAnsi="Arial" w:cs="Arial"/>
                <w:noProof/>
                <w:szCs w:val="24"/>
              </w:rPr>
              <w:t>[13]</w:t>
            </w:r>
            <w:r>
              <w:rPr>
                <w:rFonts w:ascii="Arial" w:hAnsi="Arial" w:cs="Arial"/>
                <w:szCs w:val="24"/>
              </w:rPr>
              <w:t xml:space="preserve"> and beyond </w:t>
            </w:r>
            <w:r>
              <w:rPr>
                <w:rFonts w:ascii="Arial" w:hAnsi="Arial" w:cs="Arial"/>
                <w:noProof/>
                <w:szCs w:val="24"/>
              </w:rPr>
              <w:t>[55, 56]</w:t>
            </w:r>
            <w:r w:rsidRPr="00C73729">
              <w:rPr>
                <w:rFonts w:ascii="Arial" w:hAnsi="Arial" w:cs="Arial"/>
                <w:szCs w:val="24"/>
              </w:rPr>
              <w:t xml:space="preserve">. Highest sensitivity rate of nalidixic acid (100%) were reported in </w:t>
            </w:r>
            <w:proofErr w:type="spellStart"/>
            <w:r w:rsidRPr="00C73729">
              <w:rPr>
                <w:rFonts w:ascii="Arial" w:hAnsi="Arial" w:cs="Arial"/>
                <w:szCs w:val="24"/>
              </w:rPr>
              <w:t>Jimma</w:t>
            </w:r>
            <w:proofErr w:type="spellEnd"/>
            <w:r w:rsidRPr="00C73729">
              <w:rPr>
                <w:rFonts w:ascii="Arial" w:hAnsi="Arial" w:cs="Arial"/>
                <w:szCs w:val="24"/>
              </w:rPr>
              <w:t>, Ethiopia</w:t>
            </w:r>
            <w:r>
              <w:rPr>
                <w:rFonts w:ascii="Arial" w:hAnsi="Arial" w:cs="Arial"/>
                <w:szCs w:val="24"/>
              </w:rPr>
              <w:t xml:space="preserve"> </w:t>
            </w:r>
            <w:r w:rsidRPr="00C73729">
              <w:rPr>
                <w:rFonts w:ascii="Arial" w:hAnsi="Arial" w:cs="Arial"/>
                <w:noProof/>
                <w:szCs w:val="24"/>
              </w:rPr>
              <w:t>[12]</w:t>
            </w:r>
            <w:r w:rsidRPr="00C73729">
              <w:rPr>
                <w:rFonts w:ascii="Arial" w:hAnsi="Arial" w:cs="Arial"/>
                <w:szCs w:val="24"/>
              </w:rPr>
              <w:t>, Sudan</w:t>
            </w:r>
            <w:r>
              <w:rPr>
                <w:rFonts w:ascii="Arial" w:hAnsi="Arial" w:cs="Arial"/>
                <w:szCs w:val="24"/>
              </w:rPr>
              <w:t xml:space="preserve"> </w:t>
            </w:r>
            <w:r>
              <w:rPr>
                <w:rFonts w:ascii="Arial" w:hAnsi="Arial" w:cs="Arial"/>
                <w:noProof/>
                <w:szCs w:val="24"/>
              </w:rPr>
              <w:t>[38</w:t>
            </w:r>
            <w:proofErr w:type="gramStart"/>
            <w:r>
              <w:rPr>
                <w:rFonts w:ascii="Arial" w:hAnsi="Arial" w:cs="Arial"/>
                <w:noProof/>
                <w:szCs w:val="24"/>
              </w:rPr>
              <w:t>]</w:t>
            </w:r>
            <w:r w:rsidRPr="00C73729">
              <w:rPr>
                <w:rFonts w:ascii="Arial" w:hAnsi="Arial" w:cs="Arial"/>
                <w:szCs w:val="24"/>
              </w:rPr>
              <w:t xml:space="preserve">  and</w:t>
            </w:r>
            <w:proofErr w:type="gramEnd"/>
            <w:r w:rsidRPr="00C73729">
              <w:rPr>
                <w:rFonts w:ascii="Arial" w:hAnsi="Arial" w:cs="Arial"/>
                <w:szCs w:val="24"/>
              </w:rPr>
              <w:t xml:space="preserve"> Zambia</w:t>
            </w:r>
            <w:r>
              <w:rPr>
                <w:rFonts w:ascii="Arial" w:hAnsi="Arial" w:cs="Arial"/>
                <w:noProof/>
                <w:szCs w:val="24"/>
              </w:rPr>
              <w:t>[40]</w:t>
            </w:r>
            <w:r>
              <w:rPr>
                <w:rFonts w:ascii="Arial" w:hAnsi="Arial" w:cs="Arial"/>
                <w:szCs w:val="24"/>
              </w:rPr>
              <w:t xml:space="preserve"> compared to the present study. </w:t>
            </w:r>
            <w:r w:rsidRPr="00C73729">
              <w:rPr>
                <w:rFonts w:ascii="Arial" w:hAnsi="Arial" w:cs="Arial"/>
                <w:szCs w:val="24"/>
              </w:rPr>
              <w:t xml:space="preserve">The resistance rate of tetracycline (82.8%), </w:t>
            </w:r>
            <w:proofErr w:type="spellStart"/>
            <w:r w:rsidRPr="00C73729">
              <w:rPr>
                <w:rFonts w:ascii="Arial" w:hAnsi="Arial" w:cs="Arial"/>
                <w:szCs w:val="24"/>
              </w:rPr>
              <w:t>cefoxitin</w:t>
            </w:r>
            <w:proofErr w:type="spellEnd"/>
            <w:r w:rsidRPr="00C73729">
              <w:rPr>
                <w:rFonts w:ascii="Arial" w:hAnsi="Arial" w:cs="Arial"/>
                <w:szCs w:val="24"/>
              </w:rPr>
              <w:t xml:space="preserve"> (82.</w:t>
            </w:r>
            <w:r>
              <w:rPr>
                <w:rFonts w:ascii="Arial" w:hAnsi="Arial" w:cs="Arial"/>
                <w:szCs w:val="24"/>
              </w:rPr>
              <w:t>8%) and erythromycin (62.1%) were</w:t>
            </w:r>
            <w:r w:rsidRPr="00C73729">
              <w:rPr>
                <w:rFonts w:ascii="Arial" w:hAnsi="Arial" w:cs="Arial"/>
                <w:szCs w:val="24"/>
              </w:rPr>
              <w:t xml:space="preserve"> higher</w:t>
            </w:r>
            <w:r>
              <w:rPr>
                <w:rFonts w:ascii="Arial" w:hAnsi="Arial" w:cs="Arial"/>
                <w:szCs w:val="24"/>
              </w:rPr>
              <w:t xml:space="preserve"> in this study</w:t>
            </w:r>
            <w:r w:rsidRPr="00C73729">
              <w:rPr>
                <w:rFonts w:ascii="Arial" w:hAnsi="Arial" w:cs="Arial"/>
                <w:szCs w:val="24"/>
              </w:rPr>
              <w:t xml:space="preserve"> compared to results done in Gondar </w:t>
            </w:r>
            <w:proofErr w:type="gramStart"/>
            <w:r w:rsidRPr="00C73729">
              <w:rPr>
                <w:rFonts w:ascii="Arial" w:hAnsi="Arial" w:cs="Arial"/>
                <w:szCs w:val="24"/>
              </w:rPr>
              <w:t>Ethiopia</w:t>
            </w:r>
            <w:r w:rsidRPr="00C73729">
              <w:rPr>
                <w:rFonts w:ascii="Arial" w:hAnsi="Arial" w:cs="Arial"/>
                <w:noProof/>
                <w:szCs w:val="24"/>
              </w:rPr>
              <w:t>[</w:t>
            </w:r>
            <w:proofErr w:type="gramEnd"/>
            <w:r w:rsidRPr="00C73729">
              <w:rPr>
                <w:rFonts w:ascii="Arial" w:hAnsi="Arial" w:cs="Arial"/>
                <w:noProof/>
                <w:szCs w:val="24"/>
              </w:rPr>
              <w:t>13]</w:t>
            </w:r>
            <w:r w:rsidRPr="00C73729">
              <w:rPr>
                <w:rFonts w:ascii="Arial" w:hAnsi="Arial" w:cs="Arial"/>
                <w:szCs w:val="24"/>
              </w:rPr>
              <w:t xml:space="preserve"> and </w:t>
            </w:r>
            <w:proofErr w:type="spellStart"/>
            <w:r w:rsidRPr="00C73729">
              <w:rPr>
                <w:rFonts w:ascii="Arial" w:hAnsi="Arial" w:cs="Arial"/>
                <w:szCs w:val="24"/>
              </w:rPr>
              <w:t>Jimma</w:t>
            </w:r>
            <w:proofErr w:type="spellEnd"/>
            <w:r w:rsidRPr="00C73729">
              <w:rPr>
                <w:rFonts w:ascii="Arial" w:hAnsi="Arial" w:cs="Arial"/>
                <w:szCs w:val="24"/>
              </w:rPr>
              <w:t>, Ethiopia</w:t>
            </w:r>
            <w:r>
              <w:rPr>
                <w:rFonts w:ascii="Arial" w:hAnsi="Arial" w:cs="Arial"/>
                <w:szCs w:val="24"/>
              </w:rPr>
              <w:t xml:space="preserve"> </w:t>
            </w:r>
            <w:r w:rsidRPr="00C73729">
              <w:rPr>
                <w:rFonts w:ascii="Arial" w:hAnsi="Arial" w:cs="Arial"/>
                <w:noProof/>
                <w:szCs w:val="24"/>
              </w:rPr>
              <w:t>[23]</w:t>
            </w:r>
            <w:r w:rsidRPr="00C73729">
              <w:rPr>
                <w:rFonts w:ascii="Arial" w:hAnsi="Arial" w:cs="Arial"/>
                <w:szCs w:val="24"/>
              </w:rPr>
              <w:t xml:space="preserve">. The resistance rate of ampicillin (65.5%) was in lined with </w:t>
            </w:r>
            <w:r>
              <w:rPr>
                <w:rFonts w:ascii="Arial" w:hAnsi="Arial" w:cs="Arial"/>
                <w:szCs w:val="24"/>
              </w:rPr>
              <w:t xml:space="preserve">a study </w:t>
            </w:r>
            <w:r w:rsidRPr="00C73729">
              <w:rPr>
                <w:rFonts w:ascii="Arial" w:hAnsi="Arial" w:cs="Arial"/>
                <w:szCs w:val="24"/>
              </w:rPr>
              <w:t xml:space="preserve">done in Gondar, Ethiopia </w:t>
            </w:r>
            <w:r w:rsidRPr="00C73729">
              <w:rPr>
                <w:rFonts w:ascii="Arial" w:hAnsi="Arial" w:cs="Arial"/>
                <w:noProof/>
                <w:szCs w:val="24"/>
              </w:rPr>
              <w:t>[13]</w:t>
            </w:r>
            <w:r w:rsidRPr="00C73729">
              <w:rPr>
                <w:rFonts w:ascii="Arial" w:hAnsi="Arial" w:cs="Arial"/>
                <w:szCs w:val="24"/>
              </w:rPr>
              <w:t xml:space="preserve"> and </w:t>
            </w:r>
            <w:proofErr w:type="spellStart"/>
            <w:r w:rsidRPr="00C73729">
              <w:rPr>
                <w:rFonts w:ascii="Arial" w:hAnsi="Arial" w:cs="Arial"/>
                <w:szCs w:val="24"/>
              </w:rPr>
              <w:t>Jimma</w:t>
            </w:r>
            <w:proofErr w:type="spellEnd"/>
            <w:r w:rsidRPr="00C73729">
              <w:rPr>
                <w:rFonts w:ascii="Arial" w:hAnsi="Arial" w:cs="Arial"/>
                <w:szCs w:val="24"/>
              </w:rPr>
              <w:t xml:space="preserve">, Ethiopia </w:t>
            </w:r>
            <w:r w:rsidRPr="00C73729">
              <w:rPr>
                <w:rFonts w:ascii="Arial" w:hAnsi="Arial" w:cs="Arial"/>
                <w:noProof/>
                <w:szCs w:val="24"/>
              </w:rPr>
              <w:t>[23]</w:t>
            </w:r>
            <w:r w:rsidRPr="00C73729">
              <w:rPr>
                <w:rFonts w:ascii="Arial" w:hAnsi="Arial" w:cs="Arial"/>
                <w:szCs w:val="24"/>
              </w:rPr>
              <w:t>.</w:t>
            </w:r>
            <w:r>
              <w:rPr>
                <w:rFonts w:ascii="Arial" w:hAnsi="Arial" w:cs="Arial"/>
                <w:szCs w:val="24"/>
              </w:rPr>
              <w:t xml:space="preserve">Taken together, the susceptibility profile </w:t>
            </w:r>
            <w:r w:rsidRPr="00C73729">
              <w:rPr>
                <w:rFonts w:ascii="Arial" w:hAnsi="Arial" w:cs="Arial"/>
                <w:i/>
                <w:szCs w:val="24"/>
              </w:rPr>
              <w:t xml:space="preserve">C. </w:t>
            </w:r>
            <w:proofErr w:type="spellStart"/>
            <w:r w:rsidRPr="00C73729">
              <w:rPr>
                <w:rFonts w:ascii="Arial" w:hAnsi="Arial" w:cs="Arial"/>
                <w:i/>
                <w:szCs w:val="24"/>
              </w:rPr>
              <w:t>jejuni</w:t>
            </w:r>
            <w:proofErr w:type="spellEnd"/>
            <w:r>
              <w:rPr>
                <w:rFonts w:ascii="Arial" w:hAnsi="Arial" w:cs="Arial"/>
                <w:i/>
                <w:szCs w:val="24"/>
              </w:rPr>
              <w:t xml:space="preserve"> </w:t>
            </w:r>
            <w:r>
              <w:rPr>
                <w:rFonts w:ascii="Arial" w:hAnsi="Arial" w:cs="Arial"/>
                <w:szCs w:val="24"/>
              </w:rPr>
              <w:t xml:space="preserve">isolates of this study in line with other studies. However, the slight discrepancy </w:t>
            </w:r>
            <w:r w:rsidRPr="00C73729">
              <w:rPr>
                <w:rFonts w:ascii="Arial" w:hAnsi="Arial" w:cs="Arial"/>
                <w:szCs w:val="24"/>
              </w:rPr>
              <w:t xml:space="preserve">could be </w:t>
            </w:r>
            <w:r>
              <w:rPr>
                <w:rFonts w:ascii="Arial" w:hAnsi="Arial" w:cs="Arial"/>
                <w:szCs w:val="24"/>
              </w:rPr>
              <w:t xml:space="preserve">related with patients and antibiotic stewardship related factors. It must be noted that, disk diffusion technique is a screening test and any resistance report require minimum inhibitory concentration (MIC) test for accurate categorization </w:t>
            </w:r>
            <w:r>
              <w:rPr>
                <w:rFonts w:ascii="Arial" w:hAnsi="Arial" w:cs="Arial"/>
                <w:noProof/>
                <w:szCs w:val="24"/>
              </w:rPr>
              <w:t>[35]</w:t>
            </w:r>
            <w:r>
              <w:rPr>
                <w:rFonts w:ascii="Arial" w:hAnsi="Arial" w:cs="Arial"/>
                <w:szCs w:val="24"/>
              </w:rPr>
              <w:t xml:space="preserve">. The Erythromycin susceptibility report can be used to infer the azithromycin and clarithromycin resistance profile and the quinolone resistance is most reliably detected with </w:t>
            </w:r>
            <w:r w:rsidRPr="00190591">
              <w:rPr>
                <w:rFonts w:ascii="Arial" w:hAnsi="Arial" w:cs="Arial"/>
              </w:rPr>
              <w:t>nalidixic acid disks</w:t>
            </w:r>
            <w:r>
              <w:rPr>
                <w:rFonts w:ascii="Arial" w:hAnsi="Arial" w:cs="Arial"/>
              </w:rPr>
              <w:t xml:space="preserve"> </w:t>
            </w:r>
            <w:r>
              <w:rPr>
                <w:rFonts w:ascii="Arial" w:hAnsi="Arial" w:cs="Arial"/>
                <w:noProof/>
              </w:rPr>
              <w:t>[36]</w:t>
            </w:r>
            <w:r>
              <w:rPr>
                <w:rFonts w:ascii="Arial" w:hAnsi="Arial" w:cs="Arial"/>
                <w:szCs w:val="24"/>
              </w:rPr>
              <w:t xml:space="preserve">. </w:t>
            </w:r>
            <w:r w:rsidRPr="00190591">
              <w:rPr>
                <w:rFonts w:ascii="Arial" w:hAnsi="Arial" w:cs="Arial"/>
                <w:szCs w:val="24"/>
              </w:rPr>
              <w:t xml:space="preserve">High rate of multidrug resistance was noticed among isolates of this study. The emergency of multidrug resistant pathogens across bacteria, fungi, viruses and parasites is on increasing </w:t>
            </w:r>
            <w:r w:rsidRPr="00190591">
              <w:rPr>
                <w:rFonts w:ascii="Arial" w:hAnsi="Arial" w:cs="Arial"/>
                <w:color w:val="000000"/>
                <w:szCs w:val="24"/>
              </w:rPr>
              <w:t xml:space="preserve">at a terrifying rate. Despite, drug resistance is a natural evolutionary process, malpractices such as the inappropriate use of antimicrobial drugs, inadequate sanitary conditions, inappropriate food-handling, and poor infection prevention and control practices considered as the driving force for emergence of super bugs </w:t>
            </w:r>
            <w:r w:rsidRPr="00190591">
              <w:rPr>
                <w:rFonts w:ascii="Arial" w:hAnsi="Arial" w:cs="Arial"/>
                <w:noProof/>
                <w:color w:val="000000"/>
                <w:szCs w:val="24"/>
              </w:rPr>
              <w:t>[57]</w:t>
            </w:r>
            <w:r w:rsidRPr="00190591">
              <w:rPr>
                <w:rFonts w:ascii="Arial" w:hAnsi="Arial" w:cs="Arial"/>
                <w:color w:val="000000"/>
                <w:szCs w:val="24"/>
              </w:rPr>
              <w:t>.</w:t>
            </w:r>
          </w:p>
          <w:p w:rsidR="00363AF1" w:rsidRPr="00363AF1" w:rsidRDefault="00363AF1" w:rsidP="00B54E67">
            <w:pPr>
              <w:spacing w:before="100" w:beforeAutospacing="1" w:after="100" w:afterAutospacing="1" w:line="360" w:lineRule="auto"/>
              <w:ind w:left="-360" w:right="-630"/>
              <w:jc w:val="both"/>
              <w:rPr>
                <w:rFonts w:ascii="Arial" w:hAnsi="Arial" w:cs="Arial"/>
                <w:szCs w:val="24"/>
              </w:rPr>
            </w:pP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B54E67" w:rsidP="0022554A">
            <w:pPr>
              <w:tabs>
                <w:tab w:val="left" w:pos="5400"/>
              </w:tabs>
              <w:rPr>
                <w:sz w:val="20"/>
              </w:rPr>
            </w:pPr>
            <w:r>
              <w:rPr>
                <w:sz w:val="20"/>
              </w:rPr>
              <w:lastRenderedPageBreak/>
              <w:t>14</w:t>
            </w:r>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lastRenderedPageBreak/>
              <w:t>Limitations</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19</w:t>
            </w:r>
          </w:p>
        </w:tc>
        <w:tc>
          <w:tcPr>
            <w:cnfStyle w:val="000010000000" w:firstRow="0" w:lastRow="0" w:firstColumn="0" w:lastColumn="0" w:oddVBand="1" w:evenVBand="0" w:oddHBand="0" w:evenHBand="0" w:firstRowFirstColumn="0" w:firstRowLastColumn="0" w:lastRowFirstColumn="0" w:lastRowLastColumn="0"/>
            <w:tcW w:w="7664" w:type="dxa"/>
          </w:tcPr>
          <w:p w:rsidR="00B54E67" w:rsidRPr="00AB7471" w:rsidRDefault="00B54E67" w:rsidP="00B54E67">
            <w:pPr>
              <w:spacing w:before="100" w:beforeAutospacing="1" w:after="100" w:afterAutospacing="1" w:line="360" w:lineRule="auto"/>
              <w:ind w:left="-360" w:right="-630"/>
              <w:jc w:val="both"/>
              <w:rPr>
                <w:rFonts w:ascii="Arial" w:hAnsi="Arial" w:cs="Arial"/>
                <w:szCs w:val="24"/>
              </w:rPr>
            </w:pPr>
            <w:r w:rsidRPr="00AB7471">
              <w:rPr>
                <w:rFonts w:ascii="Arial" w:hAnsi="Arial" w:cs="Arial"/>
                <w:szCs w:val="24"/>
              </w:rPr>
              <w:t>This is the first report in the slum area of Bahir Dar City administration</w:t>
            </w:r>
            <w:r>
              <w:rPr>
                <w:rFonts w:ascii="Arial" w:hAnsi="Arial" w:cs="Arial"/>
                <w:szCs w:val="24"/>
              </w:rPr>
              <w:t xml:space="preserve"> focusing on U5C. It assessed several factors and antibiotics. However, this study is not without limitations. The study is conducted on government health facility in which mainly visited by and served for economically disadvantaged community. As such, the finding might not fully inferred to all Bahir Dar City; rather, best inferred for suburban areas of Bahir Dar. The other limitations include the small sample size, failure to recheck the disk diffusion based resistance report with MIC. </w:t>
            </w:r>
          </w:p>
          <w:p w:rsidR="00F968F7" w:rsidRPr="0022554A" w:rsidRDefault="00F968F7" w:rsidP="0022554A">
            <w:pPr>
              <w:tabs>
                <w:tab w:val="left" w:pos="5400"/>
              </w:tabs>
              <w:rPr>
                <w:sz w:val="20"/>
              </w:rPr>
            </w:pP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4037F0" w:rsidP="0022554A">
            <w:pPr>
              <w:tabs>
                <w:tab w:val="left" w:pos="5400"/>
              </w:tabs>
              <w:rPr>
                <w:sz w:val="20"/>
              </w:rPr>
            </w:pPr>
            <w:r>
              <w:rPr>
                <w:sz w:val="20"/>
              </w:rPr>
              <w:lastRenderedPageBreak/>
              <w:t>16</w:t>
            </w: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20</w:t>
            </w:r>
          </w:p>
        </w:tc>
        <w:tc>
          <w:tcPr>
            <w:cnfStyle w:val="000010000000" w:firstRow="0" w:lastRow="0" w:firstColumn="0" w:lastColumn="0" w:oddVBand="1" w:evenVBand="0" w:oddHBand="0" w:evenHBand="0" w:firstRowFirstColumn="0" w:firstRowLastColumn="0" w:lastRowFirstColumn="0" w:lastRowLastColumn="0"/>
            <w:tcW w:w="7664" w:type="dxa"/>
          </w:tcPr>
          <w:p w:rsidR="00363AF1" w:rsidRPr="00C73729" w:rsidRDefault="00363AF1" w:rsidP="00363AF1">
            <w:pPr>
              <w:spacing w:before="100" w:beforeAutospacing="1" w:after="100" w:afterAutospacing="1" w:line="360" w:lineRule="auto"/>
              <w:ind w:left="-360" w:right="-630"/>
              <w:jc w:val="both"/>
              <w:rPr>
                <w:rFonts w:ascii="Arial" w:hAnsi="Arial" w:cs="Arial"/>
                <w:szCs w:val="24"/>
              </w:rPr>
            </w:pPr>
            <w:r>
              <w:rPr>
                <w:rFonts w:ascii="Arial" w:hAnsi="Arial" w:cs="Arial"/>
                <w:szCs w:val="24"/>
              </w:rPr>
              <w:t xml:space="preserve">Diarrheal disease is leading cause of under-five morbidity and mortality. </w:t>
            </w:r>
            <w:r w:rsidRPr="00ED34FB">
              <w:rPr>
                <w:rFonts w:ascii="Arial" w:hAnsi="Arial" w:cs="Arial"/>
                <w:i/>
                <w:szCs w:val="24"/>
              </w:rPr>
              <w:t xml:space="preserve">C. </w:t>
            </w:r>
            <w:proofErr w:type="spellStart"/>
            <w:r w:rsidRPr="00ED34FB">
              <w:rPr>
                <w:rFonts w:ascii="Arial" w:hAnsi="Arial" w:cs="Arial"/>
                <w:i/>
                <w:szCs w:val="24"/>
              </w:rPr>
              <w:t>jejuni</w:t>
            </w:r>
            <w:proofErr w:type="spellEnd"/>
            <w:r>
              <w:rPr>
                <w:rFonts w:ascii="Arial" w:hAnsi="Arial" w:cs="Arial"/>
                <w:szCs w:val="24"/>
              </w:rPr>
              <w:t xml:space="preserve"> continue to be one of the predominant zoonotic bacterial pathogens of U5C. In the present study, h</w:t>
            </w:r>
            <w:r w:rsidRPr="00C73729">
              <w:rPr>
                <w:rFonts w:ascii="Arial" w:hAnsi="Arial" w:cs="Arial"/>
                <w:szCs w:val="24"/>
              </w:rPr>
              <w:t xml:space="preserve">igher </w:t>
            </w:r>
            <w:r>
              <w:rPr>
                <w:rFonts w:ascii="Arial" w:hAnsi="Arial" w:cs="Arial"/>
                <w:szCs w:val="24"/>
              </w:rPr>
              <w:t>rate</w:t>
            </w:r>
            <w:r w:rsidRPr="00C73729">
              <w:rPr>
                <w:rFonts w:ascii="Arial" w:hAnsi="Arial" w:cs="Arial"/>
                <w:szCs w:val="24"/>
              </w:rPr>
              <w:t xml:space="preserve"> of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infection was isolated</w:t>
            </w:r>
            <w:r>
              <w:rPr>
                <w:rFonts w:ascii="Arial" w:hAnsi="Arial" w:cs="Arial"/>
                <w:szCs w:val="24"/>
              </w:rPr>
              <w:t xml:space="preserve"> in U5C and more specifically </w:t>
            </w:r>
            <w:r w:rsidRPr="00C73729">
              <w:rPr>
                <w:rFonts w:ascii="Arial" w:hAnsi="Arial" w:cs="Arial"/>
                <w:szCs w:val="24"/>
              </w:rPr>
              <w:t>among age groups of one to two years. Types of guardians, hand washing</w:t>
            </w:r>
            <w:r>
              <w:rPr>
                <w:rFonts w:ascii="Arial" w:hAnsi="Arial" w:cs="Arial"/>
                <w:szCs w:val="24"/>
              </w:rPr>
              <w:t xml:space="preserve"> practice</w:t>
            </w:r>
            <w:r w:rsidRPr="00C73729">
              <w:rPr>
                <w:rFonts w:ascii="Arial" w:hAnsi="Arial" w:cs="Arial"/>
                <w:szCs w:val="24"/>
              </w:rPr>
              <w:t xml:space="preserve">, malnutrition and contact with domestic animal showed </w:t>
            </w:r>
            <w:r>
              <w:rPr>
                <w:rFonts w:ascii="Arial" w:hAnsi="Arial" w:cs="Arial"/>
                <w:szCs w:val="24"/>
              </w:rPr>
              <w:t xml:space="preserve">significant </w:t>
            </w:r>
            <w:r w:rsidRPr="00C73729">
              <w:rPr>
                <w:rFonts w:ascii="Arial" w:hAnsi="Arial" w:cs="Arial"/>
                <w:szCs w:val="24"/>
              </w:rPr>
              <w:t xml:space="preserve">association with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infection. The most prevalent symptoms of </w:t>
            </w:r>
            <w:proofErr w:type="spellStart"/>
            <w:r w:rsidRPr="00C73729">
              <w:rPr>
                <w:rFonts w:ascii="Arial" w:hAnsi="Arial" w:cs="Arial"/>
                <w:szCs w:val="24"/>
              </w:rPr>
              <w:t>Campylobacteriosis</w:t>
            </w:r>
            <w:proofErr w:type="spellEnd"/>
            <w:r w:rsidRPr="00C73729">
              <w:rPr>
                <w:rFonts w:ascii="Arial" w:hAnsi="Arial" w:cs="Arial"/>
                <w:szCs w:val="24"/>
              </w:rPr>
              <w:t xml:space="preserve"> were </w:t>
            </w:r>
            <w:proofErr w:type="spellStart"/>
            <w:r w:rsidRPr="00C73729">
              <w:rPr>
                <w:rFonts w:ascii="Arial" w:hAnsi="Arial" w:cs="Arial"/>
                <w:szCs w:val="24"/>
              </w:rPr>
              <w:t>diarrhea</w:t>
            </w:r>
            <w:proofErr w:type="spellEnd"/>
            <w:r w:rsidRPr="00C73729">
              <w:rPr>
                <w:rFonts w:ascii="Arial" w:hAnsi="Arial" w:cs="Arial"/>
                <w:szCs w:val="24"/>
              </w:rPr>
              <w:t xml:space="preserve">, abdominal pain, and vomiting. </w:t>
            </w:r>
            <w:r w:rsidRPr="00C73729">
              <w:rPr>
                <w:rFonts w:ascii="Arial" w:hAnsi="Arial" w:cs="Arial"/>
                <w:i/>
                <w:szCs w:val="24"/>
              </w:rPr>
              <w:t xml:space="preserve"> </w:t>
            </w:r>
            <w:r>
              <w:rPr>
                <w:rFonts w:ascii="Arial" w:hAnsi="Arial" w:cs="Arial"/>
                <w:szCs w:val="24"/>
              </w:rPr>
              <w:t>C</w:t>
            </w:r>
            <w:r w:rsidRPr="00C73729">
              <w:rPr>
                <w:rFonts w:ascii="Arial" w:hAnsi="Arial" w:cs="Arial"/>
                <w:szCs w:val="24"/>
              </w:rPr>
              <w:t xml:space="preserve">iprofloxacin, nalidixic acid, and </w:t>
            </w:r>
            <w:proofErr w:type="spellStart"/>
            <w:r w:rsidRPr="00C73729">
              <w:rPr>
                <w:rFonts w:ascii="Arial" w:hAnsi="Arial" w:cs="Arial"/>
                <w:szCs w:val="24"/>
              </w:rPr>
              <w:t>tomboramycin</w:t>
            </w:r>
            <w:proofErr w:type="spellEnd"/>
            <w:r>
              <w:rPr>
                <w:rFonts w:ascii="Arial" w:hAnsi="Arial" w:cs="Arial"/>
                <w:szCs w:val="24"/>
              </w:rPr>
              <w:t xml:space="preserve"> were considered as an effective drugs against </w:t>
            </w:r>
            <w:r w:rsidRPr="00ED34FB">
              <w:rPr>
                <w:rFonts w:ascii="Arial" w:hAnsi="Arial" w:cs="Arial"/>
                <w:i/>
                <w:szCs w:val="24"/>
              </w:rPr>
              <w:t xml:space="preserve">C. </w:t>
            </w:r>
            <w:proofErr w:type="spellStart"/>
            <w:r w:rsidRPr="00ED34FB">
              <w:rPr>
                <w:rFonts w:ascii="Arial" w:hAnsi="Arial" w:cs="Arial"/>
                <w:i/>
                <w:szCs w:val="24"/>
              </w:rPr>
              <w:t>jejuni</w:t>
            </w:r>
            <w:proofErr w:type="spellEnd"/>
            <w:r>
              <w:rPr>
                <w:rFonts w:ascii="Arial" w:hAnsi="Arial" w:cs="Arial"/>
                <w:szCs w:val="24"/>
              </w:rPr>
              <w:t xml:space="preserve"> isolates found in Bahir Dar</w:t>
            </w:r>
            <w:r w:rsidRPr="00C73729">
              <w:rPr>
                <w:rFonts w:ascii="Arial" w:hAnsi="Arial" w:cs="Arial"/>
                <w:szCs w:val="24"/>
              </w:rPr>
              <w:t xml:space="preserve">. </w:t>
            </w:r>
            <w:r>
              <w:rPr>
                <w:rFonts w:ascii="Arial" w:hAnsi="Arial" w:cs="Arial"/>
                <w:szCs w:val="24"/>
              </w:rPr>
              <w:t xml:space="preserve">On the contrary </w:t>
            </w:r>
            <w:r w:rsidRPr="00C73729">
              <w:rPr>
                <w:rFonts w:ascii="Arial" w:hAnsi="Arial" w:cs="Arial"/>
                <w:i/>
                <w:szCs w:val="24"/>
              </w:rPr>
              <w:t xml:space="preserve">C. </w:t>
            </w:r>
            <w:proofErr w:type="spellStart"/>
            <w:r w:rsidRPr="00C73729">
              <w:rPr>
                <w:rFonts w:ascii="Arial" w:hAnsi="Arial" w:cs="Arial"/>
                <w:i/>
                <w:szCs w:val="24"/>
              </w:rPr>
              <w:t>jejuni</w:t>
            </w:r>
            <w:proofErr w:type="spellEnd"/>
            <w:r w:rsidRPr="00C73729">
              <w:rPr>
                <w:rFonts w:ascii="Arial" w:hAnsi="Arial" w:cs="Arial"/>
                <w:szCs w:val="24"/>
              </w:rPr>
              <w:t xml:space="preserve"> </w:t>
            </w:r>
            <w:r>
              <w:rPr>
                <w:rFonts w:ascii="Arial" w:hAnsi="Arial" w:cs="Arial"/>
                <w:szCs w:val="24"/>
              </w:rPr>
              <w:t>developed high degree of resistance towards</w:t>
            </w:r>
            <w:r w:rsidRPr="00C73729">
              <w:rPr>
                <w:rFonts w:ascii="Arial" w:hAnsi="Arial" w:cs="Arial"/>
                <w:szCs w:val="24"/>
              </w:rPr>
              <w:t xml:space="preserve"> tetracycline, ceftriaxone, ampicillin and erythromycin.</w:t>
            </w:r>
          </w:p>
          <w:p w:rsidR="00F968F7" w:rsidRPr="00363AF1" w:rsidRDefault="00363AF1" w:rsidP="00363AF1">
            <w:pPr>
              <w:spacing w:before="100" w:beforeAutospacing="1" w:after="100" w:afterAutospacing="1" w:line="360" w:lineRule="auto"/>
              <w:ind w:left="-360" w:right="-630"/>
              <w:jc w:val="both"/>
              <w:rPr>
                <w:rFonts w:ascii="Arial" w:hAnsi="Arial" w:cs="Arial"/>
                <w:szCs w:val="24"/>
              </w:rPr>
            </w:pPr>
            <w:r>
              <w:rPr>
                <w:rFonts w:ascii="Arial" w:hAnsi="Arial" w:cs="Arial"/>
                <w:szCs w:val="24"/>
              </w:rPr>
              <w:t xml:space="preserve">The health system actors should concert in </w:t>
            </w:r>
            <w:proofErr w:type="spellStart"/>
            <w:r>
              <w:rPr>
                <w:rFonts w:ascii="Arial" w:hAnsi="Arial" w:cs="Arial"/>
                <w:szCs w:val="24"/>
              </w:rPr>
              <w:t>tadem</w:t>
            </w:r>
            <w:proofErr w:type="spellEnd"/>
            <w:r>
              <w:rPr>
                <w:rFonts w:ascii="Arial" w:hAnsi="Arial" w:cs="Arial"/>
                <w:szCs w:val="24"/>
              </w:rPr>
              <w:t xml:space="preserve"> with </w:t>
            </w:r>
            <w:r w:rsidRPr="00C73729">
              <w:rPr>
                <w:rFonts w:ascii="Arial" w:hAnsi="Arial" w:cs="Arial"/>
                <w:szCs w:val="24"/>
              </w:rPr>
              <w:t xml:space="preserve">veterinary health </w:t>
            </w:r>
            <w:r>
              <w:rPr>
                <w:rFonts w:ascii="Arial" w:hAnsi="Arial" w:cs="Arial"/>
                <w:szCs w:val="24"/>
              </w:rPr>
              <w:t xml:space="preserve">officials through one health approach so as break the bridge of transmission from animal to human and the vice versa.  </w:t>
            </w:r>
            <w:r w:rsidRPr="00C73729">
              <w:rPr>
                <w:rFonts w:ascii="Arial" w:hAnsi="Arial" w:cs="Arial"/>
                <w:szCs w:val="24"/>
              </w:rPr>
              <w:t>While we recommend further study to clearly determine the drug sensitivity profile and antib</w:t>
            </w:r>
            <w:r>
              <w:rPr>
                <w:rFonts w:ascii="Arial" w:hAnsi="Arial" w:cs="Arial"/>
                <w:szCs w:val="24"/>
              </w:rPr>
              <w:t xml:space="preserve">iotics choices; Ciprofloxacin, Nalidixic acid, </w:t>
            </w:r>
            <w:proofErr w:type="spellStart"/>
            <w:r>
              <w:rPr>
                <w:rFonts w:ascii="Arial" w:hAnsi="Arial" w:cs="Arial"/>
                <w:szCs w:val="24"/>
              </w:rPr>
              <w:t>T</w:t>
            </w:r>
            <w:r w:rsidRPr="00C73729">
              <w:rPr>
                <w:rFonts w:ascii="Arial" w:hAnsi="Arial" w:cs="Arial"/>
                <w:szCs w:val="24"/>
              </w:rPr>
              <w:t>omboramycin</w:t>
            </w:r>
            <w:proofErr w:type="spellEnd"/>
            <w:r w:rsidRPr="00C73729">
              <w:rPr>
                <w:rFonts w:ascii="Arial" w:hAnsi="Arial" w:cs="Arial"/>
                <w:szCs w:val="24"/>
              </w:rPr>
              <w:t xml:space="preserve"> might be </w:t>
            </w:r>
            <w:r>
              <w:rPr>
                <w:rFonts w:ascii="Arial" w:hAnsi="Arial" w:cs="Arial"/>
                <w:szCs w:val="24"/>
              </w:rPr>
              <w:t>considered</w:t>
            </w:r>
            <w:r w:rsidRPr="00C73729">
              <w:rPr>
                <w:rFonts w:ascii="Arial" w:hAnsi="Arial" w:cs="Arial"/>
                <w:szCs w:val="24"/>
              </w:rPr>
              <w:t xml:space="preserve"> as first line treatment of choice to the test of time. Moreover, serotyping and molecular studies should be done to </w:t>
            </w:r>
            <w:r>
              <w:rPr>
                <w:rFonts w:ascii="Arial" w:hAnsi="Arial" w:cs="Arial"/>
                <w:szCs w:val="24"/>
              </w:rPr>
              <w:t xml:space="preserve">identify the dominant </w:t>
            </w:r>
            <w:r w:rsidRPr="00C73729">
              <w:rPr>
                <w:rFonts w:ascii="Arial" w:hAnsi="Arial" w:cs="Arial"/>
                <w:szCs w:val="24"/>
              </w:rPr>
              <w:t>strains</w:t>
            </w:r>
            <w:r>
              <w:rPr>
                <w:rFonts w:ascii="Arial" w:hAnsi="Arial" w:cs="Arial"/>
                <w:szCs w:val="24"/>
              </w:rPr>
              <w:t xml:space="preserve"> responsible for infection and drug resistance</w:t>
            </w:r>
            <w:r w:rsidRPr="00C73729">
              <w:rPr>
                <w:rFonts w:ascii="Arial" w:hAnsi="Arial" w:cs="Arial"/>
                <w:szCs w:val="24"/>
              </w:rPr>
              <w:t>.</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4037F0" w:rsidP="0022554A">
            <w:pPr>
              <w:tabs>
                <w:tab w:val="left" w:pos="5400"/>
              </w:tabs>
              <w:rPr>
                <w:sz w:val="20"/>
              </w:rPr>
            </w:pPr>
            <w:r>
              <w:rPr>
                <w:sz w:val="20"/>
              </w:rPr>
              <w:t>16-17</w:t>
            </w:r>
            <w:bookmarkStart w:id="88" w:name="_GoBack"/>
            <w:bookmarkEnd w:id="88"/>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89" w:name="italic48" w:colFirst="0" w:colLast="0"/>
            <w:bookmarkStart w:id="90" w:name="bold49" w:colFirst="0" w:colLast="0"/>
            <w:bookmarkEnd w:id="86"/>
            <w:bookmarkEnd w:id="87"/>
            <w:r w:rsidRPr="0022554A">
              <w:rPr>
                <w:bCs/>
                <w:sz w:val="20"/>
              </w:rPr>
              <w:t>Generalisability</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21</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1D62BA">
            <w:pPr>
              <w:tabs>
                <w:tab w:val="left" w:pos="5400"/>
              </w:tabs>
              <w:rPr>
                <w:sz w:val="20"/>
              </w:rPr>
            </w:pPr>
            <w:r>
              <w:rPr>
                <w:sz w:val="20"/>
              </w:rPr>
              <w:t>This study can be inferred to the</w:t>
            </w:r>
            <w:r w:rsidR="001D62BA">
              <w:rPr>
                <w:sz w:val="20"/>
              </w:rPr>
              <w:t xml:space="preserve"> suburban area populations in Bahir Dar</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tr w:rsidR="00F968F7" w:rsidRPr="0022554A" w:rsidTr="00BC56F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001" w:type="dxa"/>
            <w:gridSpan w:val="4"/>
          </w:tcPr>
          <w:p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rsidTr="00BC56F1">
        <w:tc>
          <w:tcPr>
            <w:cnfStyle w:val="000010000000" w:firstRow="0" w:lastRow="0" w:firstColumn="0" w:lastColumn="0" w:oddVBand="1" w:evenVBand="0" w:oddHBand="0" w:evenHBand="0" w:firstRowFirstColumn="0" w:firstRowLastColumn="0" w:lastRowFirstColumn="0" w:lastRowLastColumn="0"/>
            <w:tcW w:w="1080" w:type="dxa"/>
          </w:tcPr>
          <w:p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cnfStyle w:val="000001000000" w:firstRow="0" w:lastRow="0" w:firstColumn="0" w:lastColumn="0" w:oddVBand="0" w:evenVBand="1" w:oddHBand="0" w:evenHBand="0" w:firstRowFirstColumn="0" w:firstRowLastColumn="0" w:lastRowFirstColumn="0" w:lastRowLastColumn="0"/>
            <w:tcW w:w="630" w:type="dxa"/>
          </w:tcPr>
          <w:p w:rsidR="00F968F7" w:rsidRPr="0022554A" w:rsidRDefault="00F968F7" w:rsidP="0022554A">
            <w:pPr>
              <w:tabs>
                <w:tab w:val="left" w:pos="5400"/>
              </w:tabs>
              <w:jc w:val="center"/>
              <w:rPr>
                <w:sz w:val="20"/>
              </w:rPr>
            </w:pPr>
            <w:r w:rsidRPr="0022554A">
              <w:rPr>
                <w:sz w:val="20"/>
              </w:rPr>
              <w:t>22</w:t>
            </w:r>
          </w:p>
        </w:tc>
        <w:tc>
          <w:tcPr>
            <w:cnfStyle w:val="000010000000" w:firstRow="0" w:lastRow="0" w:firstColumn="0" w:lastColumn="0" w:oddVBand="1" w:evenVBand="0" w:oddHBand="0" w:evenHBand="0" w:firstRowFirstColumn="0" w:firstRowLastColumn="0" w:lastRowFirstColumn="0" w:lastRowLastColumn="0"/>
            <w:tcW w:w="7664" w:type="dxa"/>
          </w:tcPr>
          <w:p w:rsidR="00F968F7" w:rsidRPr="0022554A" w:rsidRDefault="00363AF1" w:rsidP="0022554A">
            <w:pPr>
              <w:tabs>
                <w:tab w:val="left" w:pos="5400"/>
              </w:tabs>
              <w:rPr>
                <w:sz w:val="20"/>
              </w:rPr>
            </w:pPr>
            <w:r>
              <w:rPr>
                <w:sz w:val="20"/>
              </w:rPr>
              <w:t>None</w:t>
            </w:r>
          </w:p>
        </w:tc>
        <w:tc>
          <w:tcPr>
            <w:cnfStyle w:val="000001000000" w:firstRow="0" w:lastRow="0" w:firstColumn="0" w:lastColumn="0" w:oddVBand="0" w:evenVBand="1" w:oddHBand="0" w:evenHBand="0" w:firstRowFirstColumn="0" w:firstRowLastColumn="0" w:lastRowFirstColumn="0" w:lastRowLastColumn="0"/>
            <w:tcW w:w="627" w:type="dxa"/>
          </w:tcPr>
          <w:p w:rsidR="00F968F7" w:rsidRPr="0022554A" w:rsidRDefault="00F968F7" w:rsidP="0022554A">
            <w:pPr>
              <w:tabs>
                <w:tab w:val="left" w:pos="5400"/>
              </w:tabs>
              <w:rPr>
                <w:sz w:val="20"/>
              </w:rPr>
            </w:pPr>
          </w:p>
        </w:tc>
      </w:tr>
      <w:bookmarkEnd w:id="93"/>
      <w:bookmarkEnd w:id="94"/>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rsidR="00AE2C57" w:rsidRDefault="00AE2C57" w:rsidP="0022554A">
      <w:pPr>
        <w:pStyle w:val="TableNote"/>
        <w:tabs>
          <w:tab w:val="left" w:pos="5400"/>
        </w:tabs>
        <w:rPr>
          <w:sz w:val="20"/>
        </w:rPr>
      </w:pPr>
    </w:p>
    <w:p w:rsidR="00B54E67"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rsidR="00A42352" w:rsidRPr="002602FB" w:rsidRDefault="00A42352" w:rsidP="002602FB">
      <w:pPr>
        <w:pStyle w:val="TableNote"/>
        <w:tabs>
          <w:tab w:val="left" w:pos="5400"/>
        </w:tabs>
        <w:rPr>
          <w:sz w:val="20"/>
        </w:rPr>
      </w:pP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14B" w:rsidRDefault="001B214B">
      <w:r>
        <w:separator/>
      </w:r>
    </w:p>
  </w:endnote>
  <w:endnote w:type="continuationSeparator" w:id="0">
    <w:p w:rsidR="001B214B" w:rsidRDefault="001B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xhcsxHdbbwfAdvTTaf7f9f4f.B">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480" w:rsidRDefault="00CE4480"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359747"/>
      <w:docPartObj>
        <w:docPartGallery w:val="Page Numbers (Bottom of Page)"/>
        <w:docPartUnique/>
      </w:docPartObj>
    </w:sdtPr>
    <w:sdtEndPr>
      <w:rPr>
        <w:noProof/>
      </w:rPr>
    </w:sdtEndPr>
    <w:sdtContent>
      <w:p w:rsidR="001D62BA" w:rsidRDefault="001D62BA">
        <w:pPr>
          <w:pStyle w:val="Footer"/>
          <w:jc w:val="right"/>
        </w:pPr>
        <w:r>
          <w:fldChar w:fldCharType="begin"/>
        </w:r>
        <w:r>
          <w:instrText xml:space="preserve"> PAGE   \* MERGEFORMAT </w:instrText>
        </w:r>
        <w:r>
          <w:fldChar w:fldCharType="separate"/>
        </w:r>
        <w:r w:rsidR="004037F0">
          <w:rPr>
            <w:noProof/>
          </w:rPr>
          <w:t>12</w:t>
        </w:r>
        <w:r>
          <w:rPr>
            <w:noProof/>
          </w:rPr>
          <w:fldChar w:fldCharType="end"/>
        </w:r>
      </w:p>
    </w:sdtContent>
  </w:sdt>
  <w:p w:rsidR="00CE4480" w:rsidRDefault="00CE4480"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14B" w:rsidRDefault="001B214B">
      <w:r>
        <w:separator/>
      </w:r>
    </w:p>
  </w:footnote>
  <w:footnote w:type="continuationSeparator" w:id="0">
    <w:p w:rsidR="001B214B" w:rsidRDefault="001B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BMC Infectious Diseases-LHA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axwepp2ddvzievtp552dpg5exspp5fxppv&quot;&gt;Pattern Recognition receptors&lt;record-ids&gt;&lt;item&gt;17738&lt;/item&gt;&lt;item&gt;17740&lt;/item&gt;&lt;item&gt;17741&lt;/item&gt;&lt;item&gt;17753&lt;/item&gt;&lt;item&gt;17755&lt;/item&gt;&lt;item&gt;17757&lt;/item&gt;&lt;item&gt;17761&lt;/item&gt;&lt;item&gt;17762&lt;/item&gt;&lt;item&gt;17763&lt;/item&gt;&lt;item&gt;17764&lt;/item&gt;&lt;item&gt;19438&lt;/item&gt;&lt;item&gt;19442&lt;/item&gt;&lt;item&gt;19451&lt;/item&gt;&lt;item&gt;19452&lt;/item&gt;&lt;item&gt;19453&lt;/item&gt;&lt;/record-ids&gt;&lt;/item&gt;&lt;/Libraries&gt;"/>
  </w:docVars>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B214B"/>
    <w:rsid w:val="001D62BA"/>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63AF1"/>
    <w:rsid w:val="00372129"/>
    <w:rsid w:val="00385050"/>
    <w:rsid w:val="003A3FDD"/>
    <w:rsid w:val="004037F0"/>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96627"/>
    <w:rsid w:val="006A2F18"/>
    <w:rsid w:val="006A5DD9"/>
    <w:rsid w:val="006B2915"/>
    <w:rsid w:val="006B56D7"/>
    <w:rsid w:val="006C01BF"/>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67"/>
    <w:rsid w:val="00B54EA0"/>
    <w:rsid w:val="00B60EFB"/>
    <w:rsid w:val="00B65366"/>
    <w:rsid w:val="00B77807"/>
    <w:rsid w:val="00B940E9"/>
    <w:rsid w:val="00BA1206"/>
    <w:rsid w:val="00BC56F1"/>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table" w:styleId="PlainTable2">
    <w:name w:val="Plain Table 2"/>
    <w:basedOn w:val="TableNormal"/>
    <w:uiPriority w:val="42"/>
    <w:rsid w:val="00BC56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BC56F1"/>
    <w:rPr>
      <w:rFonts w:ascii="DxhcsxHdbbwfAdvTTaf7f9f4f.B" w:hAnsi="DxhcsxHdbbwfAdvTTaf7f9f4f.B" w:hint="default"/>
      <w:b w:val="0"/>
      <w:bCs w:val="0"/>
      <w:i w:val="0"/>
      <w:iCs w:val="0"/>
      <w:color w:val="242021"/>
      <w:sz w:val="22"/>
      <w:szCs w:val="22"/>
    </w:rPr>
  </w:style>
  <w:style w:type="paragraph" w:styleId="ListParagraph">
    <w:name w:val="List Paragraph"/>
    <w:basedOn w:val="Normal"/>
    <w:link w:val="ListParagraphChar"/>
    <w:uiPriority w:val="34"/>
    <w:qFormat/>
    <w:rsid w:val="00BC56F1"/>
    <w:pPr>
      <w:spacing w:line="240" w:lineRule="auto"/>
      <w:ind w:left="720"/>
      <w:contextualSpacing/>
      <w:jc w:val="both"/>
    </w:pPr>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rsid w:val="00BC56F1"/>
    <w:rPr>
      <w:rFonts w:asciiTheme="minorHAnsi" w:eastAsiaTheme="minorHAnsi" w:hAnsiTheme="minorHAnsi" w:cstheme="minorBidi"/>
      <w:sz w:val="22"/>
      <w:szCs w:val="22"/>
      <w:lang w:val="en-US" w:eastAsia="en-US"/>
    </w:rPr>
  </w:style>
  <w:style w:type="paragraph" w:customStyle="1" w:styleId="EndNoteBibliographyTitle">
    <w:name w:val="EndNote Bibliography Title"/>
    <w:basedOn w:val="Normal"/>
    <w:link w:val="EndNoteBibliographyTitleChar"/>
    <w:rsid w:val="00B54E67"/>
    <w:pPr>
      <w:jc w:val="center"/>
    </w:pPr>
    <w:rPr>
      <w:noProof/>
      <w:lang w:val="en-US"/>
    </w:rPr>
  </w:style>
  <w:style w:type="character" w:customStyle="1" w:styleId="EndNoteBibliographyTitleChar">
    <w:name w:val="EndNote Bibliography Title Char"/>
    <w:basedOn w:val="DefaultParagraphFont"/>
    <w:link w:val="EndNoteBibliographyTitle"/>
    <w:rsid w:val="00B54E67"/>
    <w:rPr>
      <w:noProof/>
      <w:sz w:val="24"/>
      <w:lang w:val="en-US" w:eastAsia="en-US"/>
    </w:rPr>
  </w:style>
  <w:style w:type="paragraph" w:customStyle="1" w:styleId="EndNoteBibliography">
    <w:name w:val="EndNote Bibliography"/>
    <w:basedOn w:val="Normal"/>
    <w:link w:val="EndNoteBibliographyChar"/>
    <w:rsid w:val="00B54E67"/>
    <w:pPr>
      <w:spacing w:line="240" w:lineRule="exact"/>
    </w:pPr>
    <w:rPr>
      <w:noProof/>
      <w:lang w:val="en-US"/>
    </w:rPr>
  </w:style>
  <w:style w:type="character" w:customStyle="1" w:styleId="EndNoteBibliographyChar">
    <w:name w:val="EndNote Bibliography Char"/>
    <w:basedOn w:val="DefaultParagraphFont"/>
    <w:link w:val="EndNoteBibliography"/>
    <w:rsid w:val="00B54E67"/>
    <w:rPr>
      <w:noProof/>
      <w:sz w:val="24"/>
      <w:lang w:val="en-US" w:eastAsia="en-US"/>
    </w:rPr>
  </w:style>
  <w:style w:type="character" w:customStyle="1" w:styleId="FooterChar">
    <w:name w:val="Footer Char"/>
    <w:basedOn w:val="DefaultParagraphFont"/>
    <w:link w:val="Footer"/>
    <w:uiPriority w:val="99"/>
    <w:rsid w:val="001D62B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33</TotalTime>
  <Pages>12</Pages>
  <Words>3830</Words>
  <Characters>21836</Characters>
  <Application>Microsoft Office Word</Application>
  <DocSecurity>0</DocSecurity>
  <Lines>181</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25615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Microsoft account</cp:lastModifiedBy>
  <cp:revision>6</cp:revision>
  <cp:lastPrinted>2007-09-19T09:02:00Z</cp:lastPrinted>
  <dcterms:created xsi:type="dcterms:W3CDTF">2018-07-30T10:56:00Z</dcterms:created>
  <dcterms:modified xsi:type="dcterms:W3CDTF">2021-09-07T08:58:00Z</dcterms:modified>
</cp:coreProperties>
</file>