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CB426" w14:textId="77777777" w:rsidR="0076052A" w:rsidRPr="00885240" w:rsidRDefault="0076052A" w:rsidP="0076052A">
      <w:pPr>
        <w:rPr>
          <w:rFonts w:ascii="Arial" w:hAnsi="Arial" w:cs="Arial"/>
          <w:b/>
          <w:bCs/>
          <w:lang w:val="en-US"/>
        </w:rPr>
      </w:pPr>
      <w:r w:rsidRPr="00885240">
        <w:rPr>
          <w:rFonts w:ascii="Arial" w:hAnsi="Arial" w:cs="Arial"/>
          <w:b/>
          <w:bCs/>
          <w:lang w:val="en-US"/>
        </w:rPr>
        <w:t>SUPPLEMENTARY MATERIAL – SUBANALYSIS GG1</w:t>
      </w:r>
    </w:p>
    <w:p w14:paraId="42C81602" w14:textId="77777777" w:rsidR="0076052A" w:rsidRPr="00885240" w:rsidRDefault="0076052A" w:rsidP="0076052A">
      <w:pPr>
        <w:rPr>
          <w:rFonts w:ascii="Arial" w:hAnsi="Arial" w:cs="Arial"/>
          <w:b/>
          <w:bCs/>
          <w:kern w:val="0"/>
          <w:sz w:val="20"/>
          <w:szCs w:val="20"/>
          <w:lang w:val="en-US" w:eastAsia="es-MX"/>
          <w14:ligatures w14:val="none"/>
        </w:rPr>
      </w:pPr>
      <w:r w:rsidRPr="00885240">
        <w:rPr>
          <w:rFonts w:ascii="Arial" w:hAnsi="Arial" w:cs="Arial"/>
          <w:b/>
          <w:bCs/>
          <w:lang w:val="en-US"/>
        </w:rPr>
        <w:br/>
      </w:r>
      <w:r w:rsidRPr="00885240">
        <w:rPr>
          <w:rFonts w:ascii="Arial" w:hAnsi="Arial" w:cs="Arial"/>
          <w:b/>
          <w:bCs/>
          <w:sz w:val="20"/>
          <w:szCs w:val="20"/>
          <w:lang w:val="en-US"/>
        </w:rPr>
        <w:t>Supplementary Table S1. Univariable logistic regression for ISUP upgrading (≥+1) by PI-RADS category (development cohort, n=166)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6052A" w:rsidRPr="00885240" w14:paraId="1B15649C" w14:textId="77777777" w:rsidTr="005F01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11011C7A" w14:textId="77777777" w:rsidR="0076052A" w:rsidRPr="00885240" w:rsidRDefault="0076052A" w:rsidP="005F0198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PI-RADS category (vs 1)</w:t>
            </w:r>
          </w:p>
        </w:tc>
        <w:tc>
          <w:tcPr>
            <w:tcW w:w="2943" w:type="dxa"/>
          </w:tcPr>
          <w:p w14:paraId="72AE2E50" w14:textId="77777777" w:rsidR="0076052A" w:rsidRPr="00885240" w:rsidRDefault="0076052A" w:rsidP="005F0198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OR (95% CI)</w:t>
            </w:r>
          </w:p>
        </w:tc>
        <w:tc>
          <w:tcPr>
            <w:tcW w:w="2943" w:type="dxa"/>
          </w:tcPr>
          <w:p w14:paraId="1F33A388" w14:textId="77777777" w:rsidR="0076052A" w:rsidRPr="00885240" w:rsidRDefault="0076052A" w:rsidP="005F0198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p-value</w:t>
            </w:r>
          </w:p>
        </w:tc>
      </w:tr>
      <w:tr w:rsidR="0076052A" w:rsidRPr="00885240" w14:paraId="76D4CFF9" w14:textId="77777777" w:rsidTr="005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1EC18419" w14:textId="77777777" w:rsidR="0076052A" w:rsidRPr="00885240" w:rsidRDefault="0076052A" w:rsidP="005F0198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2 vs 1</w:t>
            </w:r>
          </w:p>
        </w:tc>
        <w:tc>
          <w:tcPr>
            <w:tcW w:w="2943" w:type="dxa"/>
          </w:tcPr>
          <w:p w14:paraId="00F57B3E" w14:textId="77777777" w:rsidR="0076052A" w:rsidRPr="00885240" w:rsidRDefault="0076052A" w:rsidP="005F0198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1.12 (0.23–5.83)</w:t>
            </w:r>
          </w:p>
        </w:tc>
        <w:tc>
          <w:tcPr>
            <w:tcW w:w="2943" w:type="dxa"/>
          </w:tcPr>
          <w:p w14:paraId="6485A9ED" w14:textId="77777777" w:rsidR="0076052A" w:rsidRPr="00885240" w:rsidRDefault="0076052A" w:rsidP="005F0198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0.885</w:t>
            </w:r>
          </w:p>
        </w:tc>
      </w:tr>
      <w:tr w:rsidR="0076052A" w:rsidRPr="00885240" w14:paraId="7CAABFC0" w14:textId="77777777" w:rsidTr="005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5D3B77D2" w14:textId="77777777" w:rsidR="0076052A" w:rsidRPr="00885240" w:rsidRDefault="0076052A" w:rsidP="005F0198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3 vs 1</w:t>
            </w:r>
          </w:p>
        </w:tc>
        <w:tc>
          <w:tcPr>
            <w:tcW w:w="2943" w:type="dxa"/>
          </w:tcPr>
          <w:p w14:paraId="4D709093" w14:textId="77777777" w:rsidR="0076052A" w:rsidRPr="00885240" w:rsidRDefault="0076052A" w:rsidP="005F0198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1.12 (0.27–5.18)</w:t>
            </w:r>
          </w:p>
        </w:tc>
        <w:tc>
          <w:tcPr>
            <w:tcW w:w="2943" w:type="dxa"/>
          </w:tcPr>
          <w:p w14:paraId="726736B5" w14:textId="77777777" w:rsidR="0076052A" w:rsidRPr="00885240" w:rsidRDefault="0076052A" w:rsidP="005F0198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0.874</w:t>
            </w:r>
          </w:p>
        </w:tc>
      </w:tr>
      <w:tr w:rsidR="0076052A" w:rsidRPr="00885240" w14:paraId="5BEDE1AA" w14:textId="77777777" w:rsidTr="005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3D8B2EA6" w14:textId="77777777" w:rsidR="0076052A" w:rsidRPr="00885240" w:rsidRDefault="0076052A" w:rsidP="005F0198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4 vs 1</w:t>
            </w:r>
          </w:p>
        </w:tc>
        <w:tc>
          <w:tcPr>
            <w:tcW w:w="2943" w:type="dxa"/>
          </w:tcPr>
          <w:p w14:paraId="1F896090" w14:textId="77777777" w:rsidR="0076052A" w:rsidRPr="00885240" w:rsidRDefault="0076052A" w:rsidP="005F0198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1.95 (0.57–7.74)</w:t>
            </w:r>
          </w:p>
        </w:tc>
        <w:tc>
          <w:tcPr>
            <w:tcW w:w="2943" w:type="dxa"/>
          </w:tcPr>
          <w:p w14:paraId="744A2803" w14:textId="77777777" w:rsidR="0076052A" w:rsidRPr="00885240" w:rsidRDefault="0076052A" w:rsidP="005F0198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0.304</w:t>
            </w:r>
          </w:p>
        </w:tc>
      </w:tr>
      <w:tr w:rsidR="0076052A" w:rsidRPr="00885240" w14:paraId="2D063BF0" w14:textId="77777777" w:rsidTr="005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4FF72A39" w14:textId="77777777" w:rsidR="0076052A" w:rsidRPr="00885240" w:rsidRDefault="0076052A" w:rsidP="005F0198">
            <w:pPr>
              <w:pStyle w:val="NormalWeb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 xml:space="preserve">5 vs 1 </w:t>
            </w:r>
          </w:p>
        </w:tc>
        <w:tc>
          <w:tcPr>
            <w:tcW w:w="2943" w:type="dxa"/>
          </w:tcPr>
          <w:p w14:paraId="581BA306" w14:textId="77777777" w:rsidR="0076052A" w:rsidRPr="00885240" w:rsidRDefault="0076052A" w:rsidP="005F0198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3.71 (1.04–15.45)</w:t>
            </w:r>
          </w:p>
        </w:tc>
        <w:tc>
          <w:tcPr>
            <w:tcW w:w="2943" w:type="dxa"/>
          </w:tcPr>
          <w:p w14:paraId="374A009C" w14:textId="77777777" w:rsidR="0076052A" w:rsidRPr="00885240" w:rsidRDefault="0076052A" w:rsidP="005F0198">
            <w:pPr>
              <w:pStyle w:val="Normal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0.052</w:t>
            </w:r>
          </w:p>
        </w:tc>
      </w:tr>
    </w:tbl>
    <w:p w14:paraId="633622CD" w14:textId="77777777" w:rsidR="0076052A" w:rsidRPr="00885240" w:rsidRDefault="0076052A" w:rsidP="0076052A">
      <w:pPr>
        <w:pStyle w:val="NormalWeb"/>
        <w:rPr>
          <w:rFonts w:ascii="Arial" w:hAnsi="Arial" w:cs="Arial"/>
          <w:sz w:val="14"/>
          <w:szCs w:val="14"/>
          <w:lang w:val="en-US"/>
        </w:rPr>
      </w:pPr>
      <w:r w:rsidRPr="00885240">
        <w:rPr>
          <w:rFonts w:ascii="Arial" w:hAnsi="Arial" w:cs="Arial"/>
          <w:sz w:val="14"/>
          <w:szCs w:val="14"/>
          <w:lang w:val="en-US"/>
        </w:rPr>
        <w:t>Footnote: Reference category = PI-RADS 1. ORs derived from univariable logistic regression. This table is provided as an exploratory, descriptive analysis of the category-specific effect pattern and is not included in the main manuscript to preserve a parsimonious final model (PI-RADS modeled as an ordinal predictor per +1 category) and to avoid overparameterization given the limited number of observations in some categories</w:t>
      </w:r>
    </w:p>
    <w:p w14:paraId="2EE210A7" w14:textId="77777777" w:rsidR="0076052A" w:rsidRPr="00885240" w:rsidRDefault="0076052A" w:rsidP="0076052A">
      <w:pPr>
        <w:rPr>
          <w:rFonts w:ascii="Arial" w:hAnsi="Arial" w:cs="Arial"/>
          <w:sz w:val="20"/>
          <w:szCs w:val="20"/>
          <w:lang w:val="en-US"/>
        </w:rPr>
      </w:pPr>
    </w:p>
    <w:p w14:paraId="31A5AC03" w14:textId="77777777" w:rsidR="0076052A" w:rsidRPr="00885240" w:rsidRDefault="0076052A" w:rsidP="0076052A">
      <w:pPr>
        <w:rPr>
          <w:rFonts w:ascii="Arial" w:hAnsi="Arial" w:cs="Arial"/>
          <w:sz w:val="20"/>
          <w:szCs w:val="20"/>
          <w:lang w:val="en-US"/>
        </w:rPr>
      </w:pPr>
      <w:r w:rsidRPr="00885240">
        <w:rPr>
          <w:rFonts w:ascii="Arial" w:hAnsi="Arial" w:cs="Arial"/>
          <w:b/>
          <w:bCs/>
          <w:sz w:val="20"/>
          <w:szCs w:val="20"/>
          <w:lang w:val="en-US"/>
        </w:rPr>
        <w:t>Supplementary Table S2. Prespecified rule-in and rule-out operating points for upgrading in the GG1 (biopsy ISUP 1) subanalysis (n=98)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262"/>
        <w:gridCol w:w="1086"/>
        <w:gridCol w:w="1080"/>
        <w:gridCol w:w="1080"/>
        <w:gridCol w:w="1080"/>
        <w:gridCol w:w="1080"/>
        <w:gridCol w:w="1080"/>
        <w:gridCol w:w="1080"/>
      </w:tblGrid>
      <w:tr w:rsidR="0076052A" w:rsidRPr="00885240" w14:paraId="4E64C7A1" w14:textId="77777777" w:rsidTr="005F01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" w:type="dxa"/>
          </w:tcPr>
          <w:p w14:paraId="3BC4C4A9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Operating point</w:t>
            </w:r>
          </w:p>
        </w:tc>
        <w:tc>
          <w:tcPr>
            <w:tcW w:w="1105" w:type="dxa"/>
          </w:tcPr>
          <w:p w14:paraId="06B94B82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Cutoff</w:t>
            </w:r>
          </w:p>
        </w:tc>
        <w:tc>
          <w:tcPr>
            <w:tcW w:w="1105" w:type="dxa"/>
          </w:tcPr>
          <w:p w14:paraId="0D9271FA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Sens</w:t>
            </w:r>
          </w:p>
        </w:tc>
        <w:tc>
          <w:tcPr>
            <w:tcW w:w="1105" w:type="dxa"/>
          </w:tcPr>
          <w:p w14:paraId="462B3CB1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Spec</w:t>
            </w:r>
          </w:p>
        </w:tc>
        <w:tc>
          <w:tcPr>
            <w:tcW w:w="1105" w:type="dxa"/>
          </w:tcPr>
          <w:p w14:paraId="03C426F9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PPV</w:t>
            </w:r>
          </w:p>
        </w:tc>
        <w:tc>
          <w:tcPr>
            <w:tcW w:w="1105" w:type="dxa"/>
          </w:tcPr>
          <w:p w14:paraId="1717DBAD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NPV</w:t>
            </w:r>
          </w:p>
        </w:tc>
        <w:tc>
          <w:tcPr>
            <w:tcW w:w="1105" w:type="dxa"/>
          </w:tcPr>
          <w:p w14:paraId="09533EB0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LR+</w:t>
            </w:r>
          </w:p>
        </w:tc>
        <w:tc>
          <w:tcPr>
            <w:tcW w:w="1105" w:type="dxa"/>
          </w:tcPr>
          <w:p w14:paraId="59989A50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LR−</w:t>
            </w:r>
          </w:p>
        </w:tc>
      </w:tr>
      <w:tr w:rsidR="0076052A" w:rsidRPr="00885240" w14:paraId="2C7E5197" w14:textId="77777777" w:rsidTr="005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" w:type="dxa"/>
          </w:tcPr>
          <w:p w14:paraId="0B4B39CB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Rule-out (sensitivity ≥0.90)</w:t>
            </w:r>
          </w:p>
        </w:tc>
        <w:tc>
          <w:tcPr>
            <w:tcW w:w="1105" w:type="dxa"/>
          </w:tcPr>
          <w:p w14:paraId="5FF4CD1A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0.356</w:t>
            </w:r>
          </w:p>
        </w:tc>
        <w:tc>
          <w:tcPr>
            <w:tcW w:w="1105" w:type="dxa"/>
          </w:tcPr>
          <w:p w14:paraId="4D6D4CAA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0.909</w:t>
            </w:r>
          </w:p>
        </w:tc>
        <w:tc>
          <w:tcPr>
            <w:tcW w:w="1105" w:type="dxa"/>
          </w:tcPr>
          <w:p w14:paraId="7522F703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0.349</w:t>
            </w:r>
          </w:p>
        </w:tc>
        <w:tc>
          <w:tcPr>
            <w:tcW w:w="1105" w:type="dxa"/>
          </w:tcPr>
          <w:p w14:paraId="596B2573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0.641</w:t>
            </w:r>
          </w:p>
        </w:tc>
        <w:tc>
          <w:tcPr>
            <w:tcW w:w="1105" w:type="dxa"/>
          </w:tcPr>
          <w:p w14:paraId="7E889440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0.750</w:t>
            </w:r>
          </w:p>
        </w:tc>
        <w:tc>
          <w:tcPr>
            <w:tcW w:w="1105" w:type="dxa"/>
          </w:tcPr>
          <w:p w14:paraId="58AC5588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1.396</w:t>
            </w:r>
          </w:p>
        </w:tc>
        <w:tc>
          <w:tcPr>
            <w:tcW w:w="1105" w:type="dxa"/>
          </w:tcPr>
          <w:p w14:paraId="665A2D07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0.261</w:t>
            </w:r>
          </w:p>
        </w:tc>
      </w:tr>
      <w:tr w:rsidR="0076052A" w:rsidRPr="00885240" w14:paraId="7BC16EEB" w14:textId="77777777" w:rsidTr="005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" w:type="dxa"/>
          </w:tcPr>
          <w:p w14:paraId="050CE4DA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Rule-in (specificity ≥0.90)</w:t>
            </w:r>
          </w:p>
        </w:tc>
        <w:tc>
          <w:tcPr>
            <w:tcW w:w="1105" w:type="dxa"/>
          </w:tcPr>
          <w:p w14:paraId="5AB42E40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0.701</w:t>
            </w:r>
          </w:p>
        </w:tc>
        <w:tc>
          <w:tcPr>
            <w:tcW w:w="1105" w:type="dxa"/>
          </w:tcPr>
          <w:p w14:paraId="4D5F29C9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0.418</w:t>
            </w:r>
          </w:p>
        </w:tc>
        <w:tc>
          <w:tcPr>
            <w:tcW w:w="1105" w:type="dxa"/>
          </w:tcPr>
          <w:p w14:paraId="56D2EA5F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0.907</w:t>
            </w:r>
          </w:p>
        </w:tc>
        <w:tc>
          <w:tcPr>
            <w:tcW w:w="1105" w:type="dxa"/>
          </w:tcPr>
          <w:p w14:paraId="74761CFE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0.852</w:t>
            </w:r>
          </w:p>
        </w:tc>
        <w:tc>
          <w:tcPr>
            <w:tcW w:w="1105" w:type="dxa"/>
          </w:tcPr>
          <w:p w14:paraId="72433E59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0.549</w:t>
            </w:r>
          </w:p>
        </w:tc>
        <w:tc>
          <w:tcPr>
            <w:tcW w:w="1105" w:type="dxa"/>
          </w:tcPr>
          <w:p w14:paraId="18BBC2C3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4.495</w:t>
            </w:r>
          </w:p>
        </w:tc>
        <w:tc>
          <w:tcPr>
            <w:tcW w:w="1105" w:type="dxa"/>
          </w:tcPr>
          <w:p w14:paraId="762B7200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0.641</w:t>
            </w:r>
          </w:p>
        </w:tc>
      </w:tr>
    </w:tbl>
    <w:p w14:paraId="46C93691" w14:textId="77777777" w:rsidR="0076052A" w:rsidRPr="00885240" w:rsidRDefault="0076052A" w:rsidP="0076052A">
      <w:pPr>
        <w:rPr>
          <w:rFonts w:ascii="Arial" w:hAnsi="Arial" w:cs="Arial"/>
          <w:sz w:val="14"/>
          <w:szCs w:val="14"/>
          <w:lang w:val="en-US"/>
        </w:rPr>
      </w:pPr>
      <w:r>
        <w:rPr>
          <w:rFonts w:ascii="Arial" w:hAnsi="Arial" w:cs="Arial"/>
          <w:sz w:val="14"/>
          <w:szCs w:val="14"/>
          <w:lang w:val="en-US"/>
        </w:rPr>
        <w:br/>
      </w:r>
      <w:r w:rsidRPr="00885240">
        <w:rPr>
          <w:rFonts w:ascii="Arial" w:hAnsi="Arial" w:cs="Arial"/>
          <w:sz w:val="14"/>
          <w:szCs w:val="14"/>
          <w:lang w:val="en-US"/>
        </w:rPr>
        <w:t>Footnote: For rule-out, TP/FP/TN/FN = 50/28/15/5. For rule-in, TP/FP/TN/FN = 23/4/39/32. PPV and NPV are calculated based on the observed upgrading prevalence within the GG1 subanalysis.</w:t>
      </w:r>
    </w:p>
    <w:p w14:paraId="303F22A2" w14:textId="77777777" w:rsidR="0076052A" w:rsidRPr="00885240" w:rsidRDefault="0076052A" w:rsidP="0076052A">
      <w:pPr>
        <w:rPr>
          <w:rFonts w:ascii="Arial" w:hAnsi="Arial" w:cs="Arial"/>
          <w:sz w:val="20"/>
          <w:szCs w:val="20"/>
          <w:lang w:val="en-US"/>
        </w:rPr>
      </w:pPr>
    </w:p>
    <w:p w14:paraId="01205F0C" w14:textId="77777777" w:rsidR="0076052A" w:rsidRPr="00885240" w:rsidRDefault="0076052A" w:rsidP="0076052A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885240">
        <w:rPr>
          <w:rFonts w:ascii="Arial" w:hAnsi="Arial" w:cs="Arial"/>
          <w:b/>
          <w:bCs/>
          <w:sz w:val="20"/>
          <w:szCs w:val="20"/>
          <w:lang w:val="en-US"/>
        </w:rPr>
        <w:t>Supplementary Table S3. Final multivariable model coefficients for individual risk calculation (development cohort, n=166)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207"/>
        <w:gridCol w:w="2206"/>
        <w:gridCol w:w="2207"/>
        <w:gridCol w:w="2208"/>
      </w:tblGrid>
      <w:tr w:rsidR="0076052A" w:rsidRPr="00885240" w14:paraId="24845FAA" w14:textId="77777777" w:rsidTr="005F01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51EAF9B1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Predictor</w:t>
            </w:r>
          </w:p>
        </w:tc>
        <w:tc>
          <w:tcPr>
            <w:tcW w:w="2209" w:type="dxa"/>
          </w:tcPr>
          <w:p w14:paraId="3E79ED32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β (log-odds)</w:t>
            </w:r>
          </w:p>
        </w:tc>
        <w:tc>
          <w:tcPr>
            <w:tcW w:w="2209" w:type="dxa"/>
          </w:tcPr>
          <w:p w14:paraId="668D59B3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Adjusted OR (95% CI)</w:t>
            </w:r>
          </w:p>
        </w:tc>
        <w:tc>
          <w:tcPr>
            <w:tcW w:w="2209" w:type="dxa"/>
          </w:tcPr>
          <w:p w14:paraId="57B70D41" w14:textId="77777777" w:rsidR="0076052A" w:rsidRPr="00885240" w:rsidRDefault="0076052A" w:rsidP="005F01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Coding/Units</w:t>
            </w:r>
          </w:p>
        </w:tc>
      </w:tr>
      <w:tr w:rsidR="0076052A" w:rsidRPr="00544A2C" w14:paraId="62E18E46" w14:textId="77777777" w:rsidTr="005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0556C990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PSA density (PSAD)</w:t>
            </w:r>
          </w:p>
        </w:tc>
        <w:tc>
          <w:tcPr>
            <w:tcW w:w="2209" w:type="dxa"/>
          </w:tcPr>
          <w:p w14:paraId="6D7F53C1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0.329</w:t>
            </w:r>
          </w:p>
        </w:tc>
        <w:tc>
          <w:tcPr>
            <w:tcW w:w="2209" w:type="dxa"/>
          </w:tcPr>
          <w:p w14:paraId="48BD0707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1.39 (1.11–1.74)</w:t>
            </w:r>
          </w:p>
        </w:tc>
        <w:tc>
          <w:tcPr>
            <w:tcW w:w="2209" w:type="dxa"/>
          </w:tcPr>
          <w:p w14:paraId="16C37163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Per 0.10 ng/mL increase</w:t>
            </w:r>
          </w:p>
        </w:tc>
      </w:tr>
      <w:tr w:rsidR="0076052A" w:rsidRPr="00885240" w14:paraId="3464D71A" w14:textId="77777777" w:rsidTr="005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021BECD3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Positive biopsy cores</w:t>
            </w:r>
          </w:p>
        </w:tc>
        <w:tc>
          <w:tcPr>
            <w:tcW w:w="2209" w:type="dxa"/>
          </w:tcPr>
          <w:p w14:paraId="04590285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0.077</w:t>
            </w:r>
          </w:p>
        </w:tc>
        <w:tc>
          <w:tcPr>
            <w:tcW w:w="2209" w:type="dxa"/>
          </w:tcPr>
          <w:p w14:paraId="65C24DB5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1.08 (0.94–1.25)</w:t>
            </w:r>
          </w:p>
        </w:tc>
        <w:tc>
          <w:tcPr>
            <w:tcW w:w="2209" w:type="dxa"/>
          </w:tcPr>
          <w:p w14:paraId="6A2BFBB9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Per +1 core</w:t>
            </w:r>
          </w:p>
        </w:tc>
      </w:tr>
      <w:tr w:rsidR="0076052A" w:rsidRPr="00885240" w14:paraId="458BDAD3" w14:textId="77777777" w:rsidTr="005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1B9CD3B1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PI-RADS</w:t>
            </w:r>
          </w:p>
        </w:tc>
        <w:tc>
          <w:tcPr>
            <w:tcW w:w="2209" w:type="dxa"/>
          </w:tcPr>
          <w:p w14:paraId="6A71FF92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0.419</w:t>
            </w:r>
          </w:p>
        </w:tc>
        <w:tc>
          <w:tcPr>
            <w:tcW w:w="2209" w:type="dxa"/>
          </w:tcPr>
          <w:p w14:paraId="32666ED0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1.52 (1.13–2.06)</w:t>
            </w:r>
          </w:p>
        </w:tc>
        <w:tc>
          <w:tcPr>
            <w:tcW w:w="2209" w:type="dxa"/>
          </w:tcPr>
          <w:p w14:paraId="1EB5F52F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Per +1 category increase</w:t>
            </w:r>
          </w:p>
        </w:tc>
      </w:tr>
      <w:tr w:rsidR="0076052A" w:rsidRPr="00544A2C" w14:paraId="50A4F87C" w14:textId="77777777" w:rsidTr="005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2156A6D2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Clinical stage ≥cT2b (vs ≤cT2a)</w:t>
            </w:r>
          </w:p>
        </w:tc>
        <w:tc>
          <w:tcPr>
            <w:tcW w:w="2209" w:type="dxa"/>
          </w:tcPr>
          <w:p w14:paraId="144A9BC9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-0.400</w:t>
            </w:r>
          </w:p>
        </w:tc>
        <w:tc>
          <w:tcPr>
            <w:tcW w:w="2209" w:type="dxa"/>
          </w:tcPr>
          <w:p w14:paraId="0D472B2A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0.67 (0.26–1.74)</w:t>
            </w:r>
          </w:p>
        </w:tc>
        <w:tc>
          <w:tcPr>
            <w:tcW w:w="2209" w:type="dxa"/>
          </w:tcPr>
          <w:p w14:paraId="7E4FA61F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Binary: 1 if ≥cT2b; 0 if ≤cT2a</w:t>
            </w:r>
          </w:p>
        </w:tc>
      </w:tr>
      <w:tr w:rsidR="0076052A" w:rsidRPr="00544A2C" w14:paraId="5AC3EFA4" w14:textId="77777777" w:rsidTr="005F01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63DD8563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Biopsy ISUP 2 (vs 1)</w:t>
            </w:r>
          </w:p>
        </w:tc>
        <w:tc>
          <w:tcPr>
            <w:tcW w:w="2209" w:type="dxa"/>
          </w:tcPr>
          <w:p w14:paraId="445306B9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-1.347</w:t>
            </w:r>
          </w:p>
        </w:tc>
        <w:tc>
          <w:tcPr>
            <w:tcW w:w="2209" w:type="dxa"/>
          </w:tcPr>
          <w:p w14:paraId="4035C64B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0.26 (0.10–0.70)</w:t>
            </w:r>
          </w:p>
        </w:tc>
        <w:tc>
          <w:tcPr>
            <w:tcW w:w="2209" w:type="dxa"/>
          </w:tcPr>
          <w:p w14:paraId="6A04F1FA" w14:textId="77777777" w:rsidR="0076052A" w:rsidRPr="00885240" w:rsidRDefault="0076052A" w:rsidP="005F0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Indicator: 1 if ISUP 2; reference ISUP 1</w:t>
            </w:r>
          </w:p>
        </w:tc>
      </w:tr>
      <w:tr w:rsidR="0076052A" w:rsidRPr="00544A2C" w14:paraId="2D350002" w14:textId="77777777" w:rsidTr="005F01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9" w:type="dxa"/>
          </w:tcPr>
          <w:p w14:paraId="29CD4F08" w14:textId="77777777" w:rsidR="0076052A" w:rsidRPr="00885240" w:rsidRDefault="0076052A" w:rsidP="005F0198">
            <w:pPr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Biopsy ISUP 3 (vs 1)</w:t>
            </w:r>
          </w:p>
        </w:tc>
        <w:tc>
          <w:tcPr>
            <w:tcW w:w="2209" w:type="dxa"/>
          </w:tcPr>
          <w:p w14:paraId="445DA153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-1.139</w:t>
            </w:r>
          </w:p>
        </w:tc>
        <w:tc>
          <w:tcPr>
            <w:tcW w:w="2209" w:type="dxa"/>
          </w:tcPr>
          <w:p w14:paraId="5702C890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885240">
              <w:rPr>
                <w:rFonts w:ascii="Arial" w:hAnsi="Arial" w:cs="Arial"/>
                <w:sz w:val="20"/>
                <w:szCs w:val="20"/>
              </w:rPr>
              <w:t>0.32 (0.07–1.46)</w:t>
            </w:r>
          </w:p>
        </w:tc>
        <w:tc>
          <w:tcPr>
            <w:tcW w:w="2209" w:type="dxa"/>
          </w:tcPr>
          <w:p w14:paraId="20D52D3B" w14:textId="77777777" w:rsidR="0076052A" w:rsidRPr="00885240" w:rsidRDefault="0076052A" w:rsidP="005F0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85240">
              <w:rPr>
                <w:rFonts w:ascii="Arial" w:hAnsi="Arial" w:cs="Arial"/>
                <w:sz w:val="20"/>
                <w:szCs w:val="20"/>
                <w:lang w:val="en-US"/>
              </w:rPr>
              <w:t>Indicator: 1 if ISUP 3; reference ISUP 1</w:t>
            </w:r>
          </w:p>
        </w:tc>
      </w:tr>
    </w:tbl>
    <w:p w14:paraId="654E22D1" w14:textId="77777777" w:rsidR="0076052A" w:rsidRPr="00885240" w:rsidRDefault="0076052A" w:rsidP="0076052A">
      <w:pPr>
        <w:rPr>
          <w:rFonts w:ascii="Arial" w:hAnsi="Arial" w:cs="Arial"/>
          <w:sz w:val="14"/>
          <w:szCs w:val="14"/>
          <w:lang w:val="en-US"/>
        </w:rPr>
      </w:pPr>
      <w:r>
        <w:rPr>
          <w:rFonts w:ascii="Arial" w:hAnsi="Arial" w:cs="Arial"/>
          <w:sz w:val="14"/>
          <w:szCs w:val="14"/>
          <w:lang w:val="en-US"/>
        </w:rPr>
        <w:br/>
      </w:r>
      <w:r w:rsidRPr="00885240">
        <w:rPr>
          <w:rFonts w:ascii="Arial" w:hAnsi="Arial" w:cs="Arial"/>
          <w:sz w:val="14"/>
          <w:szCs w:val="14"/>
          <w:lang w:val="en-US"/>
        </w:rPr>
        <w:t>Footnote: Predicted probability can be computed as p = 1 / (1 + exp(-(</w:t>
      </w:r>
      <w:r w:rsidRPr="00885240">
        <w:rPr>
          <w:rFonts w:ascii="Arial" w:hAnsi="Arial" w:cs="Arial"/>
          <w:sz w:val="14"/>
          <w:szCs w:val="14"/>
        </w:rPr>
        <w:t>β</w:t>
      </w:r>
      <w:r w:rsidRPr="00885240">
        <w:rPr>
          <w:rFonts w:ascii="Arial" w:hAnsi="Arial" w:cs="Arial"/>
          <w:sz w:val="14"/>
          <w:szCs w:val="14"/>
          <w:lang w:val="en-US"/>
        </w:rPr>
        <w:t xml:space="preserve">0 + </w:t>
      </w:r>
      <w:r w:rsidRPr="00885240">
        <w:rPr>
          <w:rFonts w:ascii="Arial" w:hAnsi="Arial" w:cs="Arial"/>
          <w:sz w:val="14"/>
          <w:szCs w:val="14"/>
        </w:rPr>
        <w:t>Σβ</w:t>
      </w:r>
      <w:r w:rsidRPr="00885240">
        <w:rPr>
          <w:rFonts w:ascii="Arial" w:hAnsi="Arial" w:cs="Arial"/>
          <w:sz w:val="14"/>
          <w:szCs w:val="14"/>
          <w:lang w:val="en-US"/>
        </w:rPr>
        <w:t>iXi))). The intercept (</w:t>
      </w:r>
      <w:r w:rsidRPr="00885240">
        <w:rPr>
          <w:rFonts w:ascii="Arial" w:hAnsi="Arial" w:cs="Arial"/>
          <w:sz w:val="14"/>
          <w:szCs w:val="14"/>
        </w:rPr>
        <w:t>β</w:t>
      </w:r>
      <w:r w:rsidRPr="00885240">
        <w:rPr>
          <w:rFonts w:ascii="Arial" w:hAnsi="Arial" w:cs="Arial"/>
          <w:sz w:val="14"/>
          <w:szCs w:val="14"/>
          <w:lang w:val="en-US"/>
        </w:rPr>
        <w:t>0) should be obtained from the fitted model output using the same coding as shown above.</w:t>
      </w:r>
    </w:p>
    <w:p w14:paraId="4752EC77" w14:textId="77777777" w:rsidR="00DE6AE2" w:rsidRPr="0076052A" w:rsidRDefault="00DE6AE2">
      <w:pPr>
        <w:rPr>
          <w:lang w:val="en-US"/>
        </w:rPr>
      </w:pPr>
    </w:p>
    <w:sectPr w:rsidR="00DE6AE2" w:rsidRPr="0076052A" w:rsidSect="007605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2A"/>
    <w:rsid w:val="00195413"/>
    <w:rsid w:val="003D0186"/>
    <w:rsid w:val="007278E4"/>
    <w:rsid w:val="0076052A"/>
    <w:rsid w:val="008878A5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0AFE9"/>
  <w15:chartTrackingRefBased/>
  <w15:docId w15:val="{A31C373D-A807-44A5-BBD0-5C321A2C1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52A"/>
    <w:pPr>
      <w:spacing w:line="259" w:lineRule="auto"/>
    </w:pPr>
    <w:rPr>
      <w:rFonts w:ascii="Times New Roman" w:eastAsia="Times New Roman" w:hAnsi="Times New Roman"/>
      <w:szCs w:val="22"/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05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5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52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52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52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52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52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52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52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5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5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5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5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5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5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5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05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60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52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60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052A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605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052A"/>
    <w:pPr>
      <w:spacing w:line="278" w:lineRule="auto"/>
      <w:ind w:left="720"/>
      <w:contextualSpacing/>
    </w:pPr>
    <w:rPr>
      <w:rFonts w:asciiTheme="minorHAnsi" w:eastAsiaTheme="minorHAnsi" w:hAnsiTheme="minorHAnsi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7605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5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052A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99"/>
    <w:rsid w:val="0076052A"/>
    <w:pPr>
      <w:spacing w:after="0" w:line="240" w:lineRule="auto"/>
    </w:pPr>
    <w:rPr>
      <w:sz w:val="22"/>
      <w:szCs w:val="22"/>
      <w:lang w:val="es-MX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76052A"/>
    <w:pPr>
      <w:spacing w:before="100" w:beforeAutospacing="1" w:after="100" w:afterAutospacing="1" w:line="240" w:lineRule="auto"/>
    </w:pPr>
    <w:rPr>
      <w:rFonts w:cs="Times New Roman"/>
      <w:kern w:val="0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1753</Characters>
  <Application>Microsoft Office Word</Application>
  <DocSecurity>0</DocSecurity>
  <Lines>159</Lines>
  <Paragraphs>140</Paragraphs>
  <ScaleCrop>false</ScaleCrop>
  <Company>Springer Nature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2026-04-15T09:09:00Z</dcterms:created>
  <dcterms:modified xsi:type="dcterms:W3CDTF">2026-04-15T09:10:00Z</dcterms:modified>
</cp:coreProperties>
</file>