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keepNext w:val="0"/>
        <w:keepLines w:val="0"/>
        <w:spacing w:before="280" w:lineRule="auto"/>
        <w:rPr/>
      </w:pPr>
      <w:bookmarkStart w:colFirst="0" w:colLast="0" w:name="_6amj3z5d1hhk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  <w:rtl w:val="0"/>
        </w:rPr>
        <w:t xml:space="preserve">Table S1. Summary of methodological approach for the narrative review</w:t>
      </w:r>
      <w:r w:rsidDel="00000000" w:rsidR="00000000" w:rsidRPr="00000000">
        <w:rPr>
          <w:rtl w:val="0"/>
        </w:rPr>
      </w:r>
    </w:p>
    <w:tbl>
      <w:tblPr>
        <w:tblStyle w:val="Table1"/>
        <w:tblW w:w="927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1950"/>
        <w:gridCol w:w="7320"/>
        <w:tblGridChange w:id="0">
          <w:tblGrid>
            <w:gridCol w:w="1950"/>
            <w:gridCol w:w="7320"/>
          </w:tblGrid>
        </w:tblGridChange>
      </w:tblGrid>
      <w:tr>
        <w:trPr>
          <w:cantSplit w:val="0"/>
          <w:trHeight w:val="58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Methodological component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Study design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Narrative review of global refractive error and optical service delivery models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6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Rationale for narrative approach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To synthesise heterogeneous evidence (empirical studies, programme evaluations, policy documents, global guidance) and enable conceptual comparison of complex service delivery architectures not amenable to meta-analysis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0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Review objectives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(1) Identify dominant global refractive error service delivery models; (2) examine their design and performance across the refractive care continuum; (3) assess alignment with WHO SPECS 2030 pillars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Analytical frameworks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rdo" w:cs="Cardo" w:eastAsia="Cardo" w:hAnsi="Cardo"/>
                <w:rtl w:val="0"/>
              </w:rPr>
              <w:t xml:space="preserve">(i) Refractive care continuum (access → refraction → dispensing → follow-up → functional outcomes/eREC); (ii) WHO SPECS 2030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Data sources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PubMed/MEDLINE, Scopus, Google Scholar, and grey literature (WHO reports, global commissions, programme evaluations)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Search period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January 2000 – March 2025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Key search concepts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Refractive error, spectacle provision, optical services, eye care service delivery, primary eye care, vision centres, school screening, outreach eye camps, tele-refraction, eREC, health systems, universal health coverage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Inclusion criteria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Sources describing or evaluating refractive error service delivery models; reporting on access, quality, equity, affordability, continuity, outcomes, or system integration; policy- or implementation-relevant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Exclusion criteria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Studies focused solely on clinical or surgical outcomes without service delivery or systems relevance; sources lacking substantive analytical content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3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Service delivery model classification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Eight models: facility-based public sector; private optical/social enterprise; school-based screening; outreach/mobile camps; tele-refraction; vision-centre (primary eye care); public–private partnerships; micro-entrepreneur models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Data extraction approach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Narrative extraction of service design, financing, workforce, dispensing pathways, referral and follow-up mechanisms, and implementation challenges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Performance assessment domains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Access; quality; affordability and equity; continuity and follow-up; sustainability and system integration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Assessment of SPECS 2030 alignment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Qualitative mapping of each model’s structural and operational characteristics to the five SPECS pillars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Contextual lens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Focus on LMICs and small publicly financed health systems, with Bhutan used as an illustrative case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Synthesis approach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Thematic and comparative synthesis; triangulation across multiple sources; identification of recurring system-level patterns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Quality appraisal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Formal risk-of-bias scoring not undertaken (not standard for narrative reviews); emphasis on conceptual relevance, consistency, and policy salience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Reporting standard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Narrative review reported in line with accepted methodological standards for narrative synthesis (SANRA-consistent)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pStyle w:val="Heading2"/>
        <w:keepNext w:val="0"/>
        <w:keepLines w:val="0"/>
        <w:spacing w:after="80" w:lineRule="auto"/>
        <w:rPr/>
      </w:pPr>
      <w:bookmarkStart w:colFirst="0" w:colLast="0" w:name="_cd9aoqem7nnh" w:id="1"/>
      <w:bookmarkEnd w:id="1"/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rd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rdo-regular.ttf"/><Relationship Id="rId2" Type="http://schemas.openxmlformats.org/officeDocument/2006/relationships/font" Target="fonts/Cardo-bold.ttf"/><Relationship Id="rId3" Type="http://schemas.openxmlformats.org/officeDocument/2006/relationships/font" Target="fonts/Cardo-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