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0A85D">
      <w:pPr>
        <w:pStyle w:val="23"/>
        <w:rPr>
          <w:rFonts w:hint="default" w:ascii="Segoe UI" w:hAnsi="Segoe UI" w:cs="Segoe UI"/>
          <w:sz w:val="21"/>
          <w:szCs w:val="21"/>
        </w:rPr>
      </w:pPr>
      <w:r>
        <w:rPr>
          <w:rFonts w:hint="default" w:ascii="Segoe UI" w:hAnsi="Segoe UI" w:cs="Segoe UI"/>
          <w:sz w:val="21"/>
          <w:szCs w:val="21"/>
        </w:rPr>
        <w:t>Title: Knowledge, Attitudes, and Practices Regarding Medication-Related Osteonecrosis of the Jaw (MRONJ) among Tunisian Dentists</w:t>
      </w:r>
    </w:p>
    <w:p w14:paraId="10B6B1DF">
      <w:pPr>
        <w:pStyle w:val="3"/>
        <w:rPr>
          <w:rFonts w:hint="default" w:ascii="Segoe UI" w:hAnsi="Segoe UI" w:cs="Segoe UI"/>
          <w:sz w:val="21"/>
          <w:szCs w:val="21"/>
        </w:rPr>
      </w:pPr>
      <w:r>
        <w:rPr>
          <w:rFonts w:hint="default" w:ascii="Segoe UI" w:hAnsi="Segoe UI" w:cs="Segoe UI"/>
          <w:sz w:val="21"/>
          <w:szCs w:val="21"/>
        </w:rPr>
        <w:t>Instructions to Participants: This questionnaire aims to assess dentists’ knowledge, attitudes, and practices regarding MRONJ. Participation is voluntary and anonymous. Please answer all questions honestly based on your current knowledge and clinical practice. Completion time is approximately 7–10 minutes.</w:t>
      </w:r>
    </w:p>
    <w:p w14:paraId="1E230621">
      <w:pPr>
        <w:rPr>
          <w:rFonts w:hint="default" w:ascii="Segoe UI" w:hAnsi="Segoe UI" w:cs="Segoe UI"/>
          <w:sz w:val="21"/>
          <w:szCs w:val="21"/>
        </w:rPr>
      </w:pPr>
    </w:p>
    <w:p w14:paraId="29333193">
      <w:pPr>
        <w:pStyle w:val="23"/>
        <w:rPr>
          <w:rFonts w:hint="default" w:ascii="Segoe UI" w:hAnsi="Segoe UI" w:cs="Segoe UI"/>
          <w:sz w:val="21"/>
          <w:szCs w:val="21"/>
        </w:rPr>
      </w:pPr>
      <w:r>
        <w:rPr>
          <w:rFonts w:hint="default" w:ascii="Segoe UI" w:hAnsi="Segoe UI" w:cs="Segoe UI"/>
          <w:sz w:val="21"/>
          <w:szCs w:val="21"/>
        </w:rPr>
        <w:t>Section A: Demographic and Professional Characteristics</w:t>
      </w:r>
    </w:p>
    <w:p w14:paraId="3F6F3B71">
      <w:pPr>
        <w:pStyle w:val="23"/>
        <w:numPr>
          <w:ilvl w:val="0"/>
          <w:numId w:val="1"/>
        </w:numPr>
        <w:ind w:left="57" w:leftChars="0" w:firstLine="0" w:firstLineChars="0"/>
        <w:rPr>
          <w:rFonts w:hint="default" w:ascii="Segoe UI" w:hAnsi="Segoe UI" w:cs="Segoe UI"/>
          <w:sz w:val="21"/>
          <w:szCs w:val="21"/>
        </w:rPr>
      </w:pPr>
      <w:r>
        <w:rPr>
          <w:rFonts w:hint="default" w:ascii="Segoe UI" w:hAnsi="Segoe UI" w:cs="Segoe UI"/>
          <w:sz w:val="21"/>
          <w:szCs w:val="21"/>
        </w:rPr>
        <w:t>Age (years): ______</w:t>
      </w:r>
    </w:p>
    <w:p w14:paraId="6BAA6577">
      <w:pPr>
        <w:pStyle w:val="23"/>
        <w:numPr>
          <w:numId w:val="0"/>
        </w:numPr>
        <w:ind w:left="57" w:leftChars="0"/>
        <w:rPr>
          <w:rFonts w:hint="default" w:ascii="Segoe UI" w:hAnsi="Segoe UI" w:cs="Segoe UI"/>
          <w:sz w:val="21"/>
          <w:szCs w:val="21"/>
        </w:rPr>
      </w:pPr>
      <w:r>
        <w:rPr>
          <w:rFonts w:hint="default" w:ascii="Segoe UI" w:hAnsi="Segoe UI" w:cs="Segoe UI"/>
          <w:sz w:val="21"/>
          <w:szCs w:val="21"/>
        </w:rPr>
        <w:t>2. Gender: [ ] Male [ ] Female [ ] Prefer not to say</w:t>
      </w:r>
    </w:p>
    <w:p w14:paraId="71AD8AD2">
      <w:pPr>
        <w:pStyle w:val="23"/>
        <w:numPr>
          <w:numId w:val="0"/>
        </w:numPr>
        <w:ind w:left="57" w:leftChars="0"/>
        <w:rPr>
          <w:rFonts w:hint="default" w:ascii="Segoe UI" w:hAnsi="Segoe UI" w:cs="Segoe UI"/>
          <w:sz w:val="21"/>
          <w:szCs w:val="21"/>
        </w:rPr>
      </w:pPr>
      <w:r>
        <w:rPr>
          <w:rFonts w:hint="default" w:ascii="Segoe UI" w:hAnsi="Segoe UI" w:cs="Segoe UI"/>
          <w:sz w:val="21"/>
          <w:szCs w:val="21"/>
        </w:rPr>
        <w:t xml:space="preserve"> 3. Years of Practice: [ ] ≤5 years [ ] 6–15 years [ ] &gt;15 years </w:t>
      </w:r>
    </w:p>
    <w:p w14:paraId="101CFADF">
      <w:pPr>
        <w:pStyle w:val="23"/>
        <w:numPr>
          <w:numId w:val="0"/>
        </w:numPr>
        <w:ind w:left="57" w:leftChars="0"/>
        <w:rPr>
          <w:rFonts w:hint="default" w:ascii="Segoe UI" w:hAnsi="Segoe UI" w:cs="Segoe UI"/>
          <w:sz w:val="21"/>
          <w:szCs w:val="21"/>
        </w:rPr>
      </w:pPr>
      <w:r>
        <w:rPr>
          <w:rFonts w:hint="default" w:ascii="Segoe UI" w:hAnsi="Segoe UI" w:cs="Segoe UI"/>
          <w:sz w:val="21"/>
          <w:szCs w:val="21"/>
        </w:rPr>
        <w:t xml:space="preserve">4. Professional Status: [ ] General Practitioner [ ] Specialist (Oral Surgeon, Periodontist, Prosthodontist) </w:t>
      </w:r>
    </w:p>
    <w:p w14:paraId="4BFFE2EA">
      <w:pPr>
        <w:pStyle w:val="23"/>
        <w:numPr>
          <w:numId w:val="0"/>
        </w:numPr>
        <w:ind w:left="57" w:leftChars="0"/>
        <w:rPr>
          <w:rFonts w:hint="default" w:ascii="Segoe UI" w:hAnsi="Segoe UI" w:cs="Segoe UI"/>
          <w:sz w:val="21"/>
          <w:szCs w:val="21"/>
        </w:rPr>
      </w:pPr>
      <w:r>
        <w:rPr>
          <w:rFonts w:hint="default" w:ascii="Segoe UI" w:hAnsi="Segoe UI" w:cs="Segoe UI"/>
          <w:sz w:val="21"/>
          <w:szCs w:val="21"/>
        </w:rPr>
        <w:t>5. Practice Sector: [ ] Public [ ] Private</w:t>
      </w:r>
    </w:p>
    <w:p w14:paraId="7EFF6C6C">
      <w:pPr>
        <w:pStyle w:val="23"/>
        <w:numPr>
          <w:numId w:val="0"/>
        </w:numPr>
        <w:ind w:left="57" w:leftChars="0"/>
        <w:rPr>
          <w:rFonts w:hint="default" w:ascii="Segoe UI" w:hAnsi="Segoe UI" w:cs="Segoe UI"/>
          <w:sz w:val="21"/>
          <w:szCs w:val="21"/>
        </w:rPr>
      </w:pPr>
      <w:r>
        <w:rPr>
          <w:rFonts w:hint="default" w:ascii="Segoe UI" w:hAnsi="Segoe UI" w:cs="Segoe UI"/>
          <w:sz w:val="21"/>
          <w:szCs w:val="21"/>
        </w:rPr>
        <w:t xml:space="preserve"> 6. Practice Location: [ ] Urban [ ] Rural</w:t>
      </w:r>
    </w:p>
    <w:p w14:paraId="70460C22">
      <w:pPr>
        <w:rPr>
          <w:rFonts w:hint="default" w:ascii="Segoe UI" w:hAnsi="Segoe UI" w:cs="Segoe UI"/>
          <w:sz w:val="21"/>
          <w:szCs w:val="21"/>
        </w:rPr>
      </w:pPr>
    </w:p>
    <w:p w14:paraId="71C23839">
      <w:pPr>
        <w:pStyle w:val="23"/>
        <w:rPr>
          <w:rFonts w:hint="default" w:ascii="Segoe UI" w:hAnsi="Segoe UI" w:cs="Segoe UI"/>
          <w:sz w:val="21"/>
          <w:szCs w:val="21"/>
        </w:rPr>
      </w:pPr>
      <w:r>
        <w:rPr>
          <w:rFonts w:hint="default" w:ascii="Segoe UI" w:hAnsi="Segoe UI" w:cs="Segoe UI"/>
          <w:sz w:val="21"/>
          <w:szCs w:val="21"/>
        </w:rPr>
        <w:t>Section B: Knowledge Assessment 7. Which of the following are major risk factors for MRONJ? (Select all that apply) [ ] Intravenous bisphosphonates [ ] Oral bisphosphonates [ ] Tooth extraction [ ] Antibiotic therapy [ ] Radiation therapy to the jaw</w:t>
      </w:r>
    </w:p>
    <w:p w14:paraId="23488783">
      <w:pPr>
        <w:numPr>
          <w:ilvl w:val="0"/>
          <w:numId w:val="2"/>
        </w:numPr>
        <w:ind w:left="300" w:leftChars="0"/>
        <w:rPr>
          <w:rFonts w:hint="default" w:ascii="Segoe UI" w:hAnsi="Segoe UI" w:cs="Segoe UI"/>
          <w:sz w:val="21"/>
          <w:szCs w:val="21"/>
        </w:rPr>
      </w:pPr>
      <w:r>
        <w:rPr>
          <w:rFonts w:hint="default" w:ascii="Segoe UI" w:hAnsi="Segoe UI" w:cs="Segoe UI"/>
          <w:sz w:val="21"/>
          <w:szCs w:val="21"/>
        </w:rPr>
        <w:t>What is the approximate incidence of MRONJ in patients receiving oral bisphosphonates for osteoporosis? [ ] &lt;0.1% per year [ ] 1–2% per year [ ] 5–10% per year [ ] &gt;10% per year</w:t>
      </w:r>
    </w:p>
    <w:p w14:paraId="4F519738">
      <w:pPr>
        <w:numPr>
          <w:ilvl w:val="0"/>
          <w:numId w:val="2"/>
        </w:numPr>
        <w:ind w:left="300" w:leftChars="0"/>
        <w:rPr>
          <w:rFonts w:hint="default" w:ascii="Segoe UI" w:hAnsi="Segoe UI" w:cs="Segoe UI"/>
          <w:sz w:val="21"/>
          <w:szCs w:val="21"/>
        </w:rPr>
      </w:pPr>
      <w:r>
        <w:rPr>
          <w:rFonts w:hint="default" w:ascii="Segoe UI" w:hAnsi="Segoe UI" w:cs="Segoe UI"/>
          <w:sz w:val="21"/>
          <w:szCs w:val="21"/>
        </w:rPr>
        <w:t>Is a mandatory “drug holiday” required before performing a dental extraction in patients on oral bisphosphonates? [ ] Yes [ ] No [ ] Unsure</w:t>
      </w:r>
    </w:p>
    <w:p w14:paraId="3651063E">
      <w:pPr>
        <w:numPr>
          <w:ilvl w:val="0"/>
          <w:numId w:val="2"/>
        </w:numPr>
        <w:ind w:left="300" w:leftChars="0"/>
        <w:rPr>
          <w:rFonts w:hint="default" w:ascii="Segoe UI" w:hAnsi="Segoe UI" w:cs="Segoe UI"/>
          <w:sz w:val="21"/>
          <w:szCs w:val="21"/>
        </w:rPr>
      </w:pPr>
      <w:r>
        <w:rPr>
          <w:rFonts w:hint="default" w:ascii="Segoe UI" w:hAnsi="Segoe UI" w:cs="Segoe UI"/>
          <w:sz w:val="21"/>
          <w:szCs w:val="21"/>
        </w:rPr>
        <w:t>Which stage(s) of MRONJ require surgical intervention? [ ] Stage 0 [ ] Stage 1 [ ] Stage 2 [ ] Stage 3 [ ] Not sure</w:t>
      </w:r>
    </w:p>
    <w:p w14:paraId="5CD0C5FA">
      <w:pPr>
        <w:numPr>
          <w:ilvl w:val="0"/>
          <w:numId w:val="2"/>
        </w:numPr>
        <w:ind w:left="300" w:leftChars="0"/>
        <w:rPr>
          <w:rFonts w:hint="default" w:ascii="Segoe UI" w:hAnsi="Segoe UI" w:cs="Segoe UI"/>
          <w:sz w:val="21"/>
          <w:szCs w:val="21"/>
        </w:rPr>
      </w:pPr>
      <w:r>
        <w:rPr>
          <w:rFonts w:hint="default" w:ascii="Segoe UI" w:hAnsi="Segoe UI" w:cs="Segoe UI"/>
          <w:sz w:val="21"/>
          <w:szCs w:val="21"/>
        </w:rPr>
        <w:t>Which preventive measures should be applied before starting antiresorptive therapy? (Select all that apply) [ ] Comprehensive oral examination [ ] Extraction of non-restorable teeth [ ] Oral hygiene instructions [ ] No preventive measures needed</w:t>
      </w:r>
    </w:p>
    <w:p w14:paraId="4B5669ED">
      <w:pPr>
        <w:numPr>
          <w:ilvl w:val="0"/>
          <w:numId w:val="2"/>
        </w:numPr>
        <w:ind w:left="300" w:leftChars="0"/>
        <w:rPr>
          <w:rFonts w:hint="default" w:ascii="Segoe UI" w:hAnsi="Segoe UI" w:cs="Segoe UI"/>
          <w:sz w:val="21"/>
          <w:szCs w:val="21"/>
        </w:rPr>
      </w:pPr>
      <w:r>
        <w:rPr>
          <w:rFonts w:hint="default" w:ascii="Segoe UI" w:hAnsi="Segoe UI" w:cs="Segoe UI"/>
          <w:sz w:val="21"/>
          <w:szCs w:val="21"/>
        </w:rPr>
        <w:t>Which dental procedures increase the risk of MRONJ? (Select all that apply) [ ] Tooth extraction [ ] Implant placement [ ] Root canal treatment [ ] Periodontal surgery</w:t>
      </w:r>
    </w:p>
    <w:p w14:paraId="327A8785">
      <w:pPr>
        <w:numPr>
          <w:ilvl w:val="0"/>
          <w:numId w:val="2"/>
        </w:numPr>
        <w:ind w:left="300" w:leftChars="0"/>
        <w:rPr>
          <w:rFonts w:hint="default" w:ascii="Segoe UI" w:hAnsi="Segoe UI" w:cs="Segoe UI"/>
          <w:sz w:val="21"/>
          <w:szCs w:val="21"/>
        </w:rPr>
      </w:pPr>
      <w:r>
        <w:rPr>
          <w:rFonts w:hint="default" w:ascii="Segoe UI" w:hAnsi="Segoe UI" w:cs="Segoe UI"/>
          <w:sz w:val="21"/>
          <w:szCs w:val="21"/>
        </w:rPr>
        <w:t>Are you aware of national or international MRONJ guidelines? [ ] Yes [ ] No</w:t>
      </w:r>
    </w:p>
    <w:p w14:paraId="4A77DBD2">
      <w:pPr>
        <w:numPr>
          <w:ilvl w:val="0"/>
          <w:numId w:val="2"/>
        </w:numPr>
        <w:ind w:left="300" w:leftChars="0"/>
        <w:rPr>
          <w:rFonts w:hint="default" w:ascii="Segoe UI" w:hAnsi="Segoe UI" w:cs="Segoe UI"/>
          <w:sz w:val="21"/>
          <w:szCs w:val="21"/>
        </w:rPr>
      </w:pPr>
      <w:r>
        <w:rPr>
          <w:rFonts w:hint="default" w:ascii="Segoe UI" w:hAnsi="Segoe UI" w:cs="Segoe UI"/>
          <w:sz w:val="21"/>
          <w:szCs w:val="21"/>
        </w:rPr>
        <w:t>Have you received formal training on MRONJ management? [ ] Yes [ ] No</w:t>
      </w:r>
    </w:p>
    <w:p w14:paraId="4AC55CB9">
      <w:pPr>
        <w:rPr>
          <w:rFonts w:hint="default" w:ascii="Segoe UI" w:hAnsi="Segoe UI" w:cs="Segoe UI"/>
          <w:sz w:val="21"/>
          <w:szCs w:val="21"/>
        </w:rPr>
      </w:pPr>
    </w:p>
    <w:p w14:paraId="059D0E59">
      <w:pPr>
        <w:pStyle w:val="23"/>
        <w:rPr>
          <w:rFonts w:hint="default" w:ascii="Segoe UI" w:hAnsi="Segoe UI" w:cs="Segoe UI"/>
          <w:sz w:val="21"/>
          <w:szCs w:val="21"/>
        </w:rPr>
      </w:pPr>
      <w:r>
        <w:rPr>
          <w:rFonts w:hint="default" w:ascii="Segoe UI" w:hAnsi="Segoe UI" w:cs="Segoe UI"/>
          <w:sz w:val="21"/>
          <w:szCs w:val="21"/>
        </w:rPr>
        <w:t>Section C: Attitudes and Perceptions</w:t>
      </w:r>
    </w:p>
    <w:p w14:paraId="4DE89B35">
      <w:pPr>
        <w:pStyle w:val="23"/>
        <w:rPr>
          <w:rFonts w:hint="default" w:ascii="Segoe UI" w:hAnsi="Segoe UI" w:cs="Segoe UI"/>
          <w:sz w:val="21"/>
          <w:szCs w:val="21"/>
        </w:rPr>
      </w:pPr>
      <w:r>
        <w:rPr>
          <w:rFonts w:hint="default" w:ascii="Segoe UI" w:hAnsi="Segoe UI" w:cs="Segoe UI"/>
          <w:sz w:val="21"/>
          <w:szCs w:val="21"/>
        </w:rPr>
        <w:t xml:space="preserve"> (Likert scale: 1 = Not confident / 5 = Very confident) </w:t>
      </w:r>
    </w:p>
    <w:p w14:paraId="31DED538">
      <w:pPr>
        <w:pStyle w:val="23"/>
        <w:numPr>
          <w:ilvl w:val="0"/>
          <w:numId w:val="2"/>
        </w:numPr>
        <w:ind w:left="300" w:leftChars="0" w:hanging="360" w:firstLineChars="0"/>
        <w:rPr>
          <w:rFonts w:hint="default" w:ascii="Segoe UI" w:hAnsi="Segoe UI" w:cs="Segoe UI"/>
          <w:sz w:val="21"/>
          <w:szCs w:val="21"/>
        </w:rPr>
      </w:pPr>
      <w:r>
        <w:rPr>
          <w:rFonts w:hint="default" w:ascii="Segoe UI" w:hAnsi="Segoe UI" w:cs="Segoe UI"/>
          <w:sz w:val="21"/>
          <w:szCs w:val="21"/>
        </w:rPr>
        <w:t xml:space="preserve">How confident do you feel in managing patients on bisphosphonates? </w:t>
      </w:r>
    </w:p>
    <w:p w14:paraId="10E6C287">
      <w:pPr>
        <w:pStyle w:val="23"/>
        <w:numPr>
          <w:numId w:val="0"/>
        </w:numPr>
        <w:ind w:left="-60" w:leftChars="0"/>
        <w:rPr>
          <w:rFonts w:hint="default" w:ascii="Segoe UI" w:hAnsi="Segoe UI" w:cs="Segoe UI"/>
          <w:sz w:val="21"/>
          <w:szCs w:val="21"/>
        </w:rPr>
      </w:pPr>
      <w:r>
        <w:rPr>
          <w:rFonts w:hint="default" w:ascii="Segoe UI" w:hAnsi="Segoe UI" w:cs="Segoe UI"/>
          <w:sz w:val="21"/>
          <w:szCs w:val="21"/>
        </w:rPr>
        <w:t xml:space="preserve">16. How anxious are you when treating patients at risk of MRONJ? </w:t>
      </w:r>
    </w:p>
    <w:p w14:paraId="3C694722">
      <w:pPr>
        <w:pStyle w:val="23"/>
        <w:numPr>
          <w:ilvl w:val="0"/>
          <w:numId w:val="3"/>
        </w:numPr>
        <w:rPr>
          <w:rFonts w:hint="default" w:ascii="Segoe UI" w:hAnsi="Segoe UI" w:cs="Segoe UI"/>
          <w:sz w:val="21"/>
          <w:szCs w:val="21"/>
        </w:rPr>
      </w:pPr>
      <w:r>
        <w:rPr>
          <w:rFonts w:hint="default" w:ascii="Segoe UI" w:hAnsi="Segoe UI" w:cs="Segoe UI"/>
          <w:sz w:val="21"/>
          <w:szCs w:val="21"/>
        </w:rPr>
        <w:t xml:space="preserve">How severe do you perceive the risk of MRONJ following dental extraction? </w:t>
      </w:r>
    </w:p>
    <w:p w14:paraId="70CCA718">
      <w:pPr>
        <w:pStyle w:val="23"/>
        <w:numPr>
          <w:ilvl w:val="0"/>
          <w:numId w:val="3"/>
        </w:numPr>
        <w:ind w:left="0" w:leftChars="0" w:firstLine="0" w:firstLineChars="0"/>
        <w:rPr>
          <w:rFonts w:hint="default" w:ascii="Segoe UI" w:hAnsi="Segoe UI" w:cs="Segoe UI"/>
          <w:sz w:val="21"/>
          <w:szCs w:val="21"/>
        </w:rPr>
      </w:pPr>
      <w:r>
        <w:rPr>
          <w:rFonts w:hint="default" w:ascii="Segoe UI" w:hAnsi="Segoe UI" w:cs="Segoe UI"/>
          <w:sz w:val="21"/>
          <w:szCs w:val="21"/>
        </w:rPr>
        <w:t xml:space="preserve">How important do you consider interdisciplinary consultation (with oral surgeon/oncologist) when treating such patients? </w:t>
      </w:r>
    </w:p>
    <w:p w14:paraId="0D76BA1A">
      <w:pPr>
        <w:pStyle w:val="23"/>
        <w:numPr>
          <w:numId w:val="0"/>
        </w:numPr>
        <w:ind w:leftChars="0"/>
        <w:rPr>
          <w:rFonts w:hint="default" w:ascii="Segoe UI" w:hAnsi="Segoe UI" w:cs="Segoe UI"/>
          <w:sz w:val="21"/>
          <w:szCs w:val="21"/>
        </w:rPr>
      </w:pPr>
      <w:r>
        <w:rPr>
          <w:rFonts w:hint="default" w:ascii="Segoe UI" w:hAnsi="Segoe UI" w:cs="Segoe UI"/>
          <w:sz w:val="21"/>
          <w:szCs w:val="21"/>
        </w:rPr>
        <w:t>19. How often do you believe preventive measures can reduce MRONJ incidence?</w:t>
      </w:r>
    </w:p>
    <w:p w14:paraId="7558A9E7">
      <w:pPr>
        <w:rPr>
          <w:rFonts w:hint="default" w:ascii="Segoe UI" w:hAnsi="Segoe UI" w:cs="Segoe UI"/>
          <w:sz w:val="21"/>
          <w:szCs w:val="21"/>
        </w:rPr>
      </w:pPr>
    </w:p>
    <w:p w14:paraId="30DBDBC7">
      <w:pPr>
        <w:pStyle w:val="23"/>
        <w:rPr>
          <w:rFonts w:hint="default" w:ascii="Segoe UI" w:hAnsi="Segoe UI" w:cs="Segoe UI"/>
          <w:sz w:val="21"/>
          <w:szCs w:val="21"/>
        </w:rPr>
      </w:pPr>
      <w:r>
        <w:rPr>
          <w:rFonts w:hint="default" w:ascii="Segoe UI" w:hAnsi="Segoe UI" w:cs="Segoe UI"/>
          <w:sz w:val="21"/>
          <w:szCs w:val="21"/>
        </w:rPr>
        <w:t xml:space="preserve">Section D: Reported Clinical Practices </w:t>
      </w:r>
    </w:p>
    <w:p w14:paraId="5BA81C3C">
      <w:pPr>
        <w:pStyle w:val="23"/>
        <w:rPr>
          <w:rFonts w:hint="default" w:ascii="Segoe UI" w:hAnsi="Segoe UI" w:cs="Segoe UI"/>
          <w:sz w:val="21"/>
          <w:szCs w:val="21"/>
        </w:rPr>
      </w:pPr>
      <w:r>
        <w:rPr>
          <w:rFonts w:hint="default" w:ascii="Segoe UI" w:hAnsi="Segoe UI" w:cs="Segoe UI"/>
          <w:sz w:val="21"/>
          <w:szCs w:val="21"/>
        </w:rPr>
        <w:t>20. How many patients on bisphosphonates do you see per month? [ ] 0–5 [ ] 6–10 [ ] &gt;10</w:t>
      </w:r>
    </w:p>
    <w:p w14:paraId="05233161">
      <w:pPr>
        <w:numPr>
          <w:ilvl w:val="0"/>
          <w:numId w:val="4"/>
        </w:numPr>
        <w:ind w:left="300" w:leftChars="0"/>
        <w:rPr>
          <w:rFonts w:hint="default" w:ascii="Segoe UI" w:hAnsi="Segoe UI" w:cs="Segoe UI"/>
          <w:sz w:val="21"/>
          <w:szCs w:val="21"/>
        </w:rPr>
      </w:pPr>
      <w:r>
        <w:rPr>
          <w:rFonts w:hint="default" w:ascii="Segoe UI" w:hAnsi="Segoe UI" w:cs="Segoe UI"/>
          <w:sz w:val="21"/>
          <w:szCs w:val="21"/>
        </w:rPr>
        <w:t>When treating a patient on bisphosphonates, do you modify your dental treatment plan? [ ] Yes [ ] No [ ] Sometimes</w:t>
      </w:r>
    </w:p>
    <w:p w14:paraId="3DCF87C7">
      <w:pPr>
        <w:numPr>
          <w:ilvl w:val="0"/>
          <w:numId w:val="4"/>
        </w:numPr>
        <w:ind w:left="300" w:leftChars="0"/>
        <w:rPr>
          <w:rFonts w:hint="default" w:ascii="Segoe UI" w:hAnsi="Segoe UI" w:cs="Segoe UI"/>
          <w:sz w:val="21"/>
          <w:szCs w:val="21"/>
        </w:rPr>
      </w:pPr>
      <w:r>
        <w:rPr>
          <w:rFonts w:hint="default" w:ascii="Segoe UI" w:hAnsi="Segoe UI" w:cs="Segoe UI"/>
          <w:sz w:val="21"/>
          <w:szCs w:val="21"/>
        </w:rPr>
        <w:t>Have you ever refused treatment to a patient on bisphosphonates due to MRONJ risk? [ ] Yes [ ] No</w:t>
      </w:r>
    </w:p>
    <w:p w14:paraId="4DD91B5E">
      <w:pPr>
        <w:numPr>
          <w:ilvl w:val="0"/>
          <w:numId w:val="4"/>
        </w:numPr>
        <w:ind w:left="300" w:leftChars="0"/>
        <w:rPr>
          <w:rFonts w:hint="default" w:ascii="Segoe UI" w:hAnsi="Segoe UI" w:cs="Segoe UI"/>
          <w:sz w:val="21"/>
          <w:szCs w:val="21"/>
        </w:rPr>
      </w:pPr>
      <w:r>
        <w:rPr>
          <w:rFonts w:hint="default" w:ascii="Segoe UI" w:hAnsi="Segoe UI" w:cs="Segoe UI"/>
          <w:sz w:val="21"/>
          <w:szCs w:val="21"/>
        </w:rPr>
        <w:t>How often do you refer BP patients to a specialist before dental procedures? [ ] Always [ ] Usually [ ] Sometimes [ ] Never</w:t>
      </w:r>
    </w:p>
    <w:p w14:paraId="48A199B3">
      <w:pPr>
        <w:numPr>
          <w:ilvl w:val="0"/>
          <w:numId w:val="4"/>
        </w:numPr>
        <w:ind w:left="300" w:leftChars="0"/>
        <w:rPr>
          <w:rFonts w:hint="default" w:ascii="Segoe UI" w:hAnsi="Segoe UI" w:cs="Segoe UI"/>
          <w:sz w:val="21"/>
          <w:szCs w:val="21"/>
        </w:rPr>
      </w:pPr>
      <w:r>
        <w:rPr>
          <w:rFonts w:hint="default" w:ascii="Segoe UI" w:hAnsi="Segoe UI" w:cs="Segoe UI"/>
          <w:sz w:val="21"/>
          <w:szCs w:val="21"/>
        </w:rPr>
        <w:t>Which sources do you consult when managing MRONJ patients? (Select all that apply) [ ] AAOMS/MASCC/ISOO/ASCO guidelines [ ] Colleagues / specialists [ ] Continuing education courses [ ] Literature / journals [ ] Others: ______</w:t>
      </w:r>
    </w:p>
    <w:p w14:paraId="72663E00">
      <w:pPr>
        <w:rPr>
          <w:rFonts w:hint="default" w:ascii="Segoe UI" w:hAnsi="Segoe UI" w:cs="Segoe UI"/>
          <w:sz w:val="21"/>
          <w:szCs w:val="21"/>
        </w:rPr>
      </w:pPr>
      <w:bookmarkStart w:id="0" w:name="_GoBack"/>
      <w:bookmarkEnd w:id="0"/>
    </w:p>
    <w:sectPr>
      <w:footnotePr>
        <w:numRestart w:val="eachSect"/>
      </w:footnote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imSun"/>
    <w:panose1 w:val="020B0004020202020204"/>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20B0004020202020204"/>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 w:name="Arabic Typesetting">
    <w:panose1 w:val="03020402040406030203"/>
    <w:charset w:val="00"/>
    <w:family w:val="auto"/>
    <w:pitch w:val="default"/>
    <w:sig w:usb0="80002007" w:usb1="80000000" w:usb2="00000008" w:usb3="00000000" w:csb0="000000D3" w:csb1="2008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EA2732"/>
    <w:multiLevelType w:val="singleLevel"/>
    <w:tmpl w:val="88EA2732"/>
    <w:lvl w:ilvl="0" w:tentative="0">
      <w:start w:val="1"/>
      <w:numFmt w:val="decimal"/>
      <w:suff w:val="space"/>
      <w:lvlText w:val="%1."/>
      <w:lvlJc w:val="left"/>
      <w:pPr>
        <w:ind w:left="57" w:leftChars="0" w:firstLine="0" w:firstLineChars="0"/>
      </w:pPr>
    </w:lvl>
  </w:abstractNum>
  <w:abstractNum w:abstractNumId="1">
    <w:nsid w:val="00A99418"/>
    <w:multiLevelType w:val="multilevel"/>
    <w:tmpl w:val="00A99418"/>
    <w:lvl w:ilvl="0" w:tentative="0">
      <w:start w:val="8"/>
      <w:numFmt w:val="decimal"/>
      <w:lvlText w:val="%1."/>
      <w:lvlJc w:val="left"/>
      <w:pPr>
        <w:tabs>
          <w:tab w:val="left" w:pos="-420"/>
        </w:tabs>
        <w:ind w:left="300" w:hanging="360"/>
      </w:pPr>
    </w:lvl>
    <w:lvl w:ilvl="1" w:tentative="0">
      <w:start w:val="8"/>
      <w:numFmt w:val="decimal"/>
      <w:lvlText w:val="%2."/>
      <w:lvlJc w:val="left"/>
      <w:pPr>
        <w:tabs>
          <w:tab w:val="left" w:pos="-420"/>
        </w:tabs>
        <w:ind w:left="1020" w:hanging="360"/>
      </w:pPr>
    </w:lvl>
    <w:lvl w:ilvl="2" w:tentative="0">
      <w:start w:val="8"/>
      <w:numFmt w:val="decimal"/>
      <w:lvlText w:val="%3."/>
      <w:lvlJc w:val="left"/>
      <w:pPr>
        <w:tabs>
          <w:tab w:val="left" w:pos="-420"/>
        </w:tabs>
        <w:ind w:left="1740" w:hanging="360"/>
      </w:pPr>
    </w:lvl>
    <w:lvl w:ilvl="3" w:tentative="0">
      <w:start w:val="8"/>
      <w:numFmt w:val="decimal"/>
      <w:lvlText w:val="%4."/>
      <w:lvlJc w:val="left"/>
      <w:pPr>
        <w:tabs>
          <w:tab w:val="left" w:pos="-420"/>
        </w:tabs>
        <w:ind w:left="2460" w:hanging="360"/>
      </w:pPr>
    </w:lvl>
    <w:lvl w:ilvl="4" w:tentative="0">
      <w:start w:val="8"/>
      <w:numFmt w:val="decimal"/>
      <w:lvlText w:val="%5."/>
      <w:lvlJc w:val="left"/>
      <w:pPr>
        <w:tabs>
          <w:tab w:val="left" w:pos="-420"/>
        </w:tabs>
        <w:ind w:left="3180" w:hanging="360"/>
      </w:pPr>
    </w:lvl>
    <w:lvl w:ilvl="5" w:tentative="0">
      <w:start w:val="8"/>
      <w:numFmt w:val="decimal"/>
      <w:lvlText w:val="%6."/>
      <w:lvlJc w:val="left"/>
      <w:pPr>
        <w:tabs>
          <w:tab w:val="left" w:pos="-420"/>
        </w:tabs>
        <w:ind w:left="3900" w:hanging="360"/>
      </w:pPr>
    </w:lvl>
    <w:lvl w:ilvl="6" w:tentative="0">
      <w:start w:val="8"/>
      <w:numFmt w:val="decimal"/>
      <w:lvlText w:val="%7."/>
      <w:lvlJc w:val="left"/>
      <w:pPr>
        <w:tabs>
          <w:tab w:val="left" w:pos="-420"/>
        </w:tabs>
        <w:ind w:left="4620" w:hanging="360"/>
      </w:pPr>
    </w:lvl>
    <w:lvl w:ilvl="7" w:tentative="0">
      <w:start w:val="8"/>
      <w:numFmt w:val="decimal"/>
      <w:lvlText w:val="%8."/>
      <w:lvlJc w:val="left"/>
      <w:pPr>
        <w:tabs>
          <w:tab w:val="left" w:pos="-420"/>
        </w:tabs>
        <w:ind w:left="5340" w:hanging="360"/>
      </w:pPr>
    </w:lvl>
    <w:lvl w:ilvl="8" w:tentative="0">
      <w:start w:val="8"/>
      <w:numFmt w:val="decimal"/>
      <w:lvlText w:val="%9."/>
      <w:lvlJc w:val="left"/>
      <w:pPr>
        <w:tabs>
          <w:tab w:val="left" w:pos="-420"/>
        </w:tabs>
        <w:ind w:left="6060" w:hanging="360"/>
      </w:pPr>
    </w:lvl>
  </w:abstractNum>
  <w:abstractNum w:abstractNumId="2">
    <w:nsid w:val="0A994121"/>
    <w:multiLevelType w:val="multilevel"/>
    <w:tmpl w:val="0A994121"/>
    <w:lvl w:ilvl="0" w:tentative="0">
      <w:start w:val="21"/>
      <w:numFmt w:val="decimal"/>
      <w:lvlText w:val="%1."/>
      <w:lvlJc w:val="left"/>
      <w:pPr>
        <w:tabs>
          <w:tab w:val="left" w:pos="-420"/>
        </w:tabs>
        <w:ind w:left="300" w:hanging="360"/>
      </w:pPr>
    </w:lvl>
    <w:lvl w:ilvl="1" w:tentative="0">
      <w:start w:val="21"/>
      <w:numFmt w:val="decimal"/>
      <w:lvlText w:val="%2."/>
      <w:lvlJc w:val="left"/>
      <w:pPr>
        <w:tabs>
          <w:tab w:val="left" w:pos="-420"/>
        </w:tabs>
        <w:ind w:left="1020" w:hanging="360"/>
      </w:pPr>
    </w:lvl>
    <w:lvl w:ilvl="2" w:tentative="0">
      <w:start w:val="21"/>
      <w:numFmt w:val="decimal"/>
      <w:lvlText w:val="%3."/>
      <w:lvlJc w:val="left"/>
      <w:pPr>
        <w:tabs>
          <w:tab w:val="left" w:pos="-420"/>
        </w:tabs>
        <w:ind w:left="1740" w:hanging="360"/>
      </w:pPr>
    </w:lvl>
    <w:lvl w:ilvl="3" w:tentative="0">
      <w:start w:val="21"/>
      <w:numFmt w:val="decimal"/>
      <w:lvlText w:val="%4."/>
      <w:lvlJc w:val="left"/>
      <w:pPr>
        <w:tabs>
          <w:tab w:val="left" w:pos="-420"/>
        </w:tabs>
        <w:ind w:left="2460" w:hanging="360"/>
      </w:pPr>
    </w:lvl>
    <w:lvl w:ilvl="4" w:tentative="0">
      <w:start w:val="21"/>
      <w:numFmt w:val="decimal"/>
      <w:lvlText w:val="%5."/>
      <w:lvlJc w:val="left"/>
      <w:pPr>
        <w:tabs>
          <w:tab w:val="left" w:pos="-420"/>
        </w:tabs>
        <w:ind w:left="3180" w:hanging="360"/>
      </w:pPr>
    </w:lvl>
    <w:lvl w:ilvl="5" w:tentative="0">
      <w:start w:val="21"/>
      <w:numFmt w:val="decimal"/>
      <w:lvlText w:val="%6."/>
      <w:lvlJc w:val="left"/>
      <w:pPr>
        <w:tabs>
          <w:tab w:val="left" w:pos="-420"/>
        </w:tabs>
        <w:ind w:left="3900" w:hanging="360"/>
      </w:pPr>
    </w:lvl>
    <w:lvl w:ilvl="6" w:tentative="0">
      <w:start w:val="21"/>
      <w:numFmt w:val="decimal"/>
      <w:lvlText w:val="%7."/>
      <w:lvlJc w:val="left"/>
      <w:pPr>
        <w:tabs>
          <w:tab w:val="left" w:pos="-420"/>
        </w:tabs>
        <w:ind w:left="4620" w:hanging="360"/>
      </w:pPr>
    </w:lvl>
    <w:lvl w:ilvl="7" w:tentative="0">
      <w:start w:val="21"/>
      <w:numFmt w:val="decimal"/>
      <w:lvlText w:val="%8."/>
      <w:lvlJc w:val="left"/>
      <w:pPr>
        <w:tabs>
          <w:tab w:val="left" w:pos="-420"/>
        </w:tabs>
        <w:ind w:left="5340" w:hanging="360"/>
      </w:pPr>
    </w:lvl>
    <w:lvl w:ilvl="8" w:tentative="0">
      <w:start w:val="21"/>
      <w:numFmt w:val="decimal"/>
      <w:lvlText w:val="%9."/>
      <w:lvlJc w:val="left"/>
      <w:pPr>
        <w:tabs>
          <w:tab w:val="left" w:pos="-420"/>
        </w:tabs>
        <w:ind w:left="6060" w:hanging="360"/>
      </w:pPr>
    </w:lvl>
  </w:abstractNum>
  <w:abstractNum w:abstractNumId="3">
    <w:nsid w:val="3324CE2C"/>
    <w:multiLevelType w:val="singleLevel"/>
    <w:tmpl w:val="3324CE2C"/>
    <w:lvl w:ilvl="0" w:tentative="0">
      <w:start w:val="17"/>
      <w:numFmt w:val="decimal"/>
      <w:suff w:val="space"/>
      <w:lvlText w:val="%1."/>
      <w:lvlJc w:val="left"/>
    </w:lvl>
  </w:abstractNum>
  <w:num w:numId="1">
    <w:abstractNumId w:val="0"/>
  </w:num>
  <w:num w:numId="2">
    <w:abstractNumId w:val="1"/>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3">
    <w:abstractNumId w:val="3"/>
  </w:num>
  <w:num w:numId="4">
    <w:abstractNumId w:val="2"/>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numRestart w:val="eachSect"/>
    <w:footnote w:id="0"/>
    <w:footnote w:id="1"/>
  </w:footnotePr>
  <w:compat>
    <w:splitPgBreakAndParaMark/>
    <w:compatSetting w:name="compatibilityMode" w:uri="http://schemas.microsoft.com/office/word" w:val="12"/>
  </w:compat>
  <w:rsids>
    <w:rsidRoot w:val="00000000"/>
    <w:rsid w:val="26381E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spacing w:after="200"/>
    </w:pPr>
    <w:rPr>
      <w:rFonts w:asciiTheme="minorHAnsi" w:hAnsiTheme="minorHAnsi" w:eastAsiaTheme="minorHAnsi" w:cstheme="minorBidi"/>
      <w:sz w:val="24"/>
      <w:szCs w:val="24"/>
      <w:lang w:val="en-US" w:eastAsia="en-US" w:bidi="ar-SA"/>
    </w:rPr>
  </w:style>
  <w:style w:type="paragraph" w:styleId="2">
    <w:name w:val="heading 1"/>
    <w:basedOn w:val="1"/>
    <w:next w:val="3"/>
    <w:link w:val="31"/>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4">
    <w:name w:val="heading 2"/>
    <w:basedOn w:val="1"/>
    <w:next w:val="3"/>
    <w:link w:val="32"/>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5">
    <w:name w:val="heading 3"/>
    <w:basedOn w:val="1"/>
    <w:next w:val="3"/>
    <w:link w:val="33"/>
    <w:semiHidden/>
    <w:unhideWhenUsed/>
    <w:qFormat/>
    <w:uiPriority w:val="9"/>
    <w:pPr>
      <w:keepNext/>
      <w:keepLines/>
      <w:spacing w:before="160" w:after="80"/>
      <w:outlineLvl w:val="2"/>
    </w:pPr>
    <w:rPr>
      <w:rFonts w:eastAsiaTheme="majorEastAsia" w:cstheme="majorBidi"/>
      <w:color w:val="0F4761" w:themeColor="accent1" w:themeShade="BF"/>
      <w:sz w:val="28"/>
      <w:szCs w:val="28"/>
    </w:rPr>
  </w:style>
  <w:style w:type="paragraph" w:styleId="6">
    <w:name w:val="heading 4"/>
    <w:basedOn w:val="1"/>
    <w:next w:val="3"/>
    <w:link w:val="34"/>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7">
    <w:name w:val="heading 5"/>
    <w:basedOn w:val="1"/>
    <w:next w:val="3"/>
    <w:link w:val="35"/>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8">
    <w:name w:val="heading 6"/>
    <w:basedOn w:val="1"/>
    <w:next w:val="3"/>
    <w:link w:val="36"/>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9">
    <w:name w:val="heading 7"/>
    <w:basedOn w:val="1"/>
    <w:next w:val="3"/>
    <w:link w:val="37"/>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0">
    <w:name w:val="heading 8"/>
    <w:basedOn w:val="1"/>
    <w:next w:val="3"/>
    <w:link w:val="38"/>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1">
    <w:name w:val="heading 9"/>
    <w:basedOn w:val="1"/>
    <w:next w:val="3"/>
    <w:link w:val="39"/>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12">
    <w:name w:val="Default Paragraph Font"/>
    <w:semiHidden/>
    <w:unhideWhenUsed/>
    <w:qFormat/>
    <w:uiPriority w:val="0"/>
  </w:style>
  <w:style w:type="table" w:default="1" w:styleId="22">
    <w:name w:val="Normal Table"/>
    <w:uiPriority w:val="0"/>
    <w:tblPr>
      <w:tblCellMar>
        <w:top w:w="0" w:type="dxa"/>
        <w:left w:w="108" w:type="dxa"/>
        <w:bottom w:w="0" w:type="dxa"/>
        <w:right w:w="108" w:type="dxa"/>
      </w:tblCellMar>
    </w:tblPr>
  </w:style>
  <w:style w:type="paragraph" w:styleId="3">
    <w:name w:val="Body Text"/>
    <w:basedOn w:val="1"/>
    <w:link w:val="14"/>
    <w:qFormat/>
    <w:uiPriority w:val="0"/>
    <w:pPr>
      <w:spacing w:before="180" w:after="180"/>
    </w:pPr>
  </w:style>
  <w:style w:type="character" w:styleId="13">
    <w:name w:val="Hyperlink"/>
    <w:basedOn w:val="14"/>
    <w:qFormat/>
    <w:uiPriority w:val="0"/>
    <w:rPr>
      <w:color w:val="156082" w:themeColor="accent1"/>
    </w:rPr>
  </w:style>
  <w:style w:type="character" w:customStyle="1" w:styleId="14">
    <w:name w:val="Body Text Char"/>
    <w:basedOn w:val="12"/>
    <w:link w:val="3"/>
    <w:qFormat/>
    <w:uiPriority w:val="0"/>
  </w:style>
  <w:style w:type="character" w:styleId="15">
    <w:name w:val="footnote reference"/>
    <w:basedOn w:val="14"/>
    <w:uiPriority w:val="0"/>
    <w:rPr>
      <w:vertAlign w:val="superscript"/>
    </w:rPr>
  </w:style>
  <w:style w:type="paragraph" w:styleId="16">
    <w:name w:val="Subtitle"/>
    <w:basedOn w:val="17"/>
    <w:next w:val="3"/>
    <w:link w:val="26"/>
    <w:qFormat/>
    <w:uiPriority w:val="11"/>
    <w:rPr>
      <w:rFonts w:eastAsiaTheme="majorEastAsia" w:cstheme="majorBidi"/>
      <w:spacing w:val="15"/>
      <w:sz w:val="28"/>
      <w:szCs w:val="28"/>
    </w:rPr>
  </w:style>
  <w:style w:type="paragraph" w:styleId="17">
    <w:name w:val="Title"/>
    <w:basedOn w:val="1"/>
    <w:next w:val="3"/>
    <w:link w:val="25"/>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8">
    <w:name w:val="footnote text"/>
    <w:basedOn w:val="1"/>
    <w:unhideWhenUsed/>
    <w:qFormat/>
    <w:uiPriority w:val="9"/>
  </w:style>
  <w:style w:type="paragraph" w:styleId="19">
    <w:name w:val="Block Text"/>
    <w:basedOn w:val="3"/>
    <w:next w:val="3"/>
    <w:unhideWhenUsed/>
    <w:qFormat/>
    <w:uiPriority w:val="9"/>
    <w:pPr>
      <w:spacing w:before="100" w:after="100"/>
      <w:ind w:left="480" w:right="480" w:firstLine="0"/>
    </w:pPr>
  </w:style>
  <w:style w:type="paragraph" w:styleId="20">
    <w:name w:val="caption"/>
    <w:basedOn w:val="1"/>
    <w:uiPriority w:val="0"/>
    <w:pPr>
      <w:spacing w:before="0" w:after="120"/>
    </w:pPr>
    <w:rPr>
      <w:i/>
    </w:rPr>
  </w:style>
  <w:style w:type="paragraph" w:styleId="21">
    <w:name w:val="Date"/>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customStyle="1" w:styleId="23">
    <w:name w:val="First Paragraph"/>
    <w:basedOn w:val="3"/>
    <w:next w:val="3"/>
    <w:qFormat/>
    <w:uiPriority w:val="0"/>
  </w:style>
  <w:style w:type="paragraph" w:customStyle="1" w:styleId="24">
    <w:name w:val="Compact"/>
    <w:basedOn w:val="3"/>
    <w:qFormat/>
    <w:uiPriority w:val="0"/>
    <w:pPr>
      <w:spacing w:before="36" w:after="36"/>
    </w:pPr>
  </w:style>
  <w:style w:type="character" w:customStyle="1" w:styleId="25">
    <w:name w:val="Title Char"/>
    <w:basedOn w:val="12"/>
    <w:link w:val="17"/>
    <w:qFormat/>
    <w:uiPriority w:val="10"/>
    <w:rPr>
      <w:rFonts w:asciiTheme="majorHAnsi" w:hAnsiTheme="majorHAnsi" w:eastAsiaTheme="majorEastAsia" w:cstheme="majorBidi"/>
      <w:spacing w:val="-10"/>
      <w:kern w:val="28"/>
      <w:sz w:val="56"/>
      <w:szCs w:val="56"/>
    </w:rPr>
  </w:style>
  <w:style w:type="character" w:customStyle="1" w:styleId="26">
    <w:name w:val="Subtitle Char"/>
    <w:basedOn w:val="12"/>
    <w:link w:val="16"/>
    <w:qFormat/>
    <w:uiPriority w:val="11"/>
    <w:rPr>
      <w:rFonts w:eastAsiaTheme="majorEastAsia" w:cstheme="majorBidi"/>
      <w:color w:val="585858" w:themeColor="text1" w:themeTint="A6"/>
      <w:spacing w:val="15"/>
      <w:sz w:val="28"/>
      <w:szCs w:val="28"/>
    </w:rPr>
  </w:style>
  <w:style w:type="paragraph" w:customStyle="1" w:styleId="27">
    <w:name w:val="Author"/>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customStyle="1" w:styleId="28">
    <w:name w:val="Abstract Title"/>
    <w:basedOn w:val="1"/>
    <w:next w:val="29"/>
    <w:qFormat/>
    <w:uiPriority w:val="0"/>
    <w:pPr>
      <w:keepNext/>
      <w:keepLines/>
      <w:spacing w:before="300" w:after="0"/>
      <w:jc w:val="center"/>
    </w:pPr>
    <w:rPr>
      <w:b/>
      <w:sz w:val="20"/>
      <w:szCs w:val="20"/>
    </w:rPr>
  </w:style>
  <w:style w:type="paragraph" w:customStyle="1" w:styleId="29">
    <w:name w:val="Abstract"/>
    <w:basedOn w:val="1"/>
    <w:next w:val="3"/>
    <w:qFormat/>
    <w:uiPriority w:val="0"/>
    <w:pPr>
      <w:keepNext/>
      <w:keepLines/>
      <w:spacing w:before="100" w:after="300"/>
    </w:pPr>
    <w:rPr>
      <w:sz w:val="20"/>
      <w:szCs w:val="20"/>
    </w:rPr>
  </w:style>
  <w:style w:type="paragraph" w:customStyle="1" w:styleId="30">
    <w:name w:val="Bibliography"/>
    <w:basedOn w:val="1"/>
    <w:qFormat/>
    <w:uiPriority w:val="0"/>
  </w:style>
  <w:style w:type="character" w:customStyle="1" w:styleId="31">
    <w:name w:val="Heading 1 Char"/>
    <w:basedOn w:val="12"/>
    <w:link w:val="2"/>
    <w:qFormat/>
    <w:uiPriority w:val="9"/>
    <w:rPr>
      <w:rFonts w:asciiTheme="majorHAnsi" w:hAnsiTheme="majorHAnsi" w:eastAsiaTheme="majorEastAsia" w:cstheme="majorBidi"/>
      <w:color w:val="0F4761" w:themeColor="accent1" w:themeShade="BF"/>
      <w:sz w:val="40"/>
      <w:szCs w:val="40"/>
    </w:rPr>
  </w:style>
  <w:style w:type="character" w:customStyle="1" w:styleId="32">
    <w:name w:val="Heading 2 Char"/>
    <w:basedOn w:val="12"/>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33">
    <w:name w:val="Heading 3 Char"/>
    <w:basedOn w:val="12"/>
    <w:link w:val="5"/>
    <w:semiHidden/>
    <w:qFormat/>
    <w:uiPriority w:val="9"/>
    <w:rPr>
      <w:rFonts w:eastAsiaTheme="majorEastAsia" w:cstheme="majorBidi"/>
      <w:color w:val="0F4761" w:themeColor="accent1" w:themeShade="BF"/>
      <w:sz w:val="28"/>
      <w:szCs w:val="28"/>
    </w:rPr>
  </w:style>
  <w:style w:type="character" w:customStyle="1" w:styleId="34">
    <w:name w:val="Heading 4 Char"/>
    <w:basedOn w:val="12"/>
    <w:link w:val="6"/>
    <w:semiHidden/>
    <w:qFormat/>
    <w:uiPriority w:val="9"/>
    <w:rPr>
      <w:rFonts w:eastAsiaTheme="majorEastAsia" w:cstheme="majorBidi"/>
      <w:i/>
      <w:iCs/>
      <w:color w:val="0F4761" w:themeColor="accent1" w:themeShade="BF"/>
    </w:rPr>
  </w:style>
  <w:style w:type="character" w:customStyle="1" w:styleId="35">
    <w:name w:val="Heading 5 Char"/>
    <w:basedOn w:val="12"/>
    <w:link w:val="7"/>
    <w:semiHidden/>
    <w:qFormat/>
    <w:uiPriority w:val="9"/>
    <w:rPr>
      <w:rFonts w:eastAsiaTheme="majorEastAsia" w:cstheme="majorBidi"/>
      <w:color w:val="0F4761" w:themeColor="accent1" w:themeShade="BF"/>
    </w:rPr>
  </w:style>
  <w:style w:type="character" w:customStyle="1" w:styleId="36">
    <w:name w:val="Heading 6 Char"/>
    <w:basedOn w:val="12"/>
    <w:link w:val="8"/>
    <w:semiHidden/>
    <w:qFormat/>
    <w:uiPriority w:val="9"/>
    <w:rPr>
      <w:rFonts w:eastAsiaTheme="majorEastAsia" w:cstheme="majorBidi"/>
      <w:i/>
      <w:iCs/>
      <w:color w:val="585858" w:themeColor="text1" w:themeTint="A6"/>
    </w:rPr>
  </w:style>
  <w:style w:type="character" w:customStyle="1" w:styleId="37">
    <w:name w:val="Heading 7 Char"/>
    <w:basedOn w:val="12"/>
    <w:link w:val="9"/>
    <w:semiHidden/>
    <w:qFormat/>
    <w:uiPriority w:val="9"/>
    <w:rPr>
      <w:rFonts w:eastAsiaTheme="majorEastAsia" w:cstheme="majorBidi"/>
      <w:color w:val="585858" w:themeColor="text1" w:themeTint="A6"/>
    </w:rPr>
  </w:style>
  <w:style w:type="character" w:customStyle="1" w:styleId="38">
    <w:name w:val="Heading 8 Char"/>
    <w:basedOn w:val="12"/>
    <w:link w:val="10"/>
    <w:semiHidden/>
    <w:uiPriority w:val="9"/>
    <w:rPr>
      <w:rFonts w:eastAsiaTheme="majorEastAsia" w:cstheme="majorBidi"/>
      <w:i/>
      <w:iCs/>
      <w:color w:val="262626" w:themeColor="text1" w:themeTint="D8"/>
    </w:rPr>
  </w:style>
  <w:style w:type="character" w:customStyle="1" w:styleId="39">
    <w:name w:val="Heading 9 Char"/>
    <w:basedOn w:val="12"/>
    <w:link w:val="11"/>
    <w:semiHidden/>
    <w:uiPriority w:val="9"/>
    <w:rPr>
      <w:rFonts w:eastAsiaTheme="majorEastAsia" w:cstheme="majorBidi"/>
      <w:color w:val="262626" w:themeColor="text1" w:themeTint="D8"/>
    </w:rPr>
  </w:style>
  <w:style w:type="paragraph" w:customStyle="1" w:styleId="40">
    <w:name w:val="Footnote Block Text"/>
    <w:basedOn w:val="18"/>
    <w:next w:val="18"/>
    <w:unhideWhenUsed/>
    <w:qFormat/>
    <w:uiPriority w:val="9"/>
    <w:pPr>
      <w:spacing w:before="100" w:after="100"/>
      <w:ind w:left="480" w:right="480" w:firstLine="0"/>
    </w:pPr>
  </w:style>
  <w:style w:type="table" w:customStyle="1" w:styleId="41">
    <w:name w:val="Table"/>
    <w:semiHidden/>
    <w:unhideWhenUsed/>
    <w:qFormat/>
    <w:uiPriority w:val="0"/>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paragraph" w:customStyle="1" w:styleId="42">
    <w:name w:val="Definition Term"/>
    <w:basedOn w:val="1"/>
    <w:next w:val="43"/>
    <w:uiPriority w:val="0"/>
    <w:pPr>
      <w:keepNext/>
      <w:keepLines/>
      <w:spacing w:after="0"/>
    </w:pPr>
    <w:rPr>
      <w:b/>
    </w:rPr>
  </w:style>
  <w:style w:type="paragraph" w:customStyle="1" w:styleId="43">
    <w:name w:val="Definition"/>
    <w:basedOn w:val="1"/>
    <w:qFormat/>
    <w:uiPriority w:val="0"/>
  </w:style>
  <w:style w:type="paragraph" w:customStyle="1" w:styleId="44">
    <w:name w:val="Table Caption"/>
    <w:basedOn w:val="20"/>
    <w:uiPriority w:val="0"/>
    <w:pPr>
      <w:keepNext/>
    </w:pPr>
  </w:style>
  <w:style w:type="paragraph" w:customStyle="1" w:styleId="45">
    <w:name w:val="Image Caption"/>
    <w:basedOn w:val="20"/>
    <w:uiPriority w:val="0"/>
  </w:style>
  <w:style w:type="paragraph" w:customStyle="1" w:styleId="46">
    <w:name w:val="Figure"/>
    <w:basedOn w:val="1"/>
    <w:qFormat/>
    <w:uiPriority w:val="0"/>
  </w:style>
  <w:style w:type="paragraph" w:customStyle="1" w:styleId="47">
    <w:name w:val="Captioned Figure"/>
    <w:basedOn w:val="46"/>
    <w:qFormat/>
    <w:uiPriority w:val="0"/>
    <w:pPr>
      <w:keepNext/>
    </w:pPr>
  </w:style>
  <w:style w:type="character" w:customStyle="1" w:styleId="48">
    <w:name w:val="Verbatim Char"/>
    <w:basedOn w:val="14"/>
    <w:link w:val="49"/>
    <w:qFormat/>
    <w:uiPriority w:val="0"/>
    <w:rPr>
      <w:rFonts w:ascii="Consolas" w:hAnsi="Consolas"/>
      <w:sz w:val="22"/>
    </w:rPr>
  </w:style>
  <w:style w:type="paragraph" w:customStyle="1" w:styleId="49">
    <w:name w:val="Source Code"/>
    <w:basedOn w:val="1"/>
    <w:link w:val="48"/>
    <w:qFormat/>
    <w:uiPriority w:val="0"/>
    <w:pPr>
      <w:wordWrap w:val="0"/>
    </w:pPr>
  </w:style>
  <w:style w:type="character" w:customStyle="1" w:styleId="50">
    <w:name w:val="Section Number"/>
    <w:basedOn w:val="14"/>
    <w:qFormat/>
    <w:uiPriority w:val="0"/>
  </w:style>
  <w:style w:type="paragraph" w:customStyle="1" w:styleId="51">
    <w:name w:val="TOC Heading"/>
    <w:basedOn w:val="2"/>
    <w:next w:val="3"/>
    <w:unhideWhenUsed/>
    <w:qFormat/>
    <w:uiPriority w:val="39"/>
    <w:pPr>
      <w:spacing w:before="240" w:line="259" w:lineRule="auto"/>
      <w:outlineLvl w:val="9"/>
    </w:pPr>
    <w:rPr>
      <w:rFonts w:asciiTheme="majorHAnsi" w:hAnsiTheme="majorHAnsi" w:eastAsiaTheme="majorEastAsia" w:cstheme="majorBidi"/>
      <w:color w:val="0F4761" w:themeColor="accent1" w:themeShade="BF"/>
    </w:rPr>
  </w:style>
  <w:style w:type="character" w:customStyle="1" w:styleId="52">
    <w:name w:val="KeywordTok"/>
    <w:basedOn w:val="48"/>
    <w:qFormat/>
    <w:uiPriority w:val="0"/>
    <w:rPr>
      <w:b/>
      <w:color w:val="007020"/>
    </w:rPr>
  </w:style>
  <w:style w:type="character" w:customStyle="1" w:styleId="53">
    <w:name w:val="DataTypeTok"/>
    <w:basedOn w:val="48"/>
    <w:qFormat/>
    <w:uiPriority w:val="0"/>
    <w:rPr>
      <w:color w:val="902000"/>
    </w:rPr>
  </w:style>
  <w:style w:type="character" w:customStyle="1" w:styleId="54">
    <w:name w:val="DecValTok"/>
    <w:basedOn w:val="48"/>
    <w:qFormat/>
    <w:uiPriority w:val="0"/>
    <w:rPr>
      <w:color w:val="40A070"/>
    </w:rPr>
  </w:style>
  <w:style w:type="character" w:customStyle="1" w:styleId="55">
    <w:name w:val="BaseNTok"/>
    <w:basedOn w:val="48"/>
    <w:qFormat/>
    <w:uiPriority w:val="0"/>
    <w:rPr>
      <w:color w:val="40A070"/>
    </w:rPr>
  </w:style>
  <w:style w:type="character" w:customStyle="1" w:styleId="56">
    <w:name w:val="FloatTok"/>
    <w:basedOn w:val="48"/>
    <w:qFormat/>
    <w:uiPriority w:val="0"/>
    <w:rPr>
      <w:color w:val="40A070"/>
    </w:rPr>
  </w:style>
  <w:style w:type="character" w:customStyle="1" w:styleId="57">
    <w:name w:val="ConstantTok"/>
    <w:basedOn w:val="48"/>
    <w:qFormat/>
    <w:uiPriority w:val="0"/>
    <w:rPr>
      <w:color w:val="880000"/>
    </w:rPr>
  </w:style>
  <w:style w:type="character" w:customStyle="1" w:styleId="58">
    <w:name w:val="CharTok"/>
    <w:basedOn w:val="48"/>
    <w:qFormat/>
    <w:uiPriority w:val="0"/>
    <w:rPr>
      <w:color w:val="4070A0"/>
    </w:rPr>
  </w:style>
  <w:style w:type="character" w:customStyle="1" w:styleId="59">
    <w:name w:val="SpecialCharTok"/>
    <w:basedOn w:val="48"/>
    <w:qFormat/>
    <w:uiPriority w:val="0"/>
    <w:rPr>
      <w:color w:val="4070A0"/>
    </w:rPr>
  </w:style>
  <w:style w:type="character" w:customStyle="1" w:styleId="60">
    <w:name w:val="StringTok"/>
    <w:basedOn w:val="48"/>
    <w:qFormat/>
    <w:uiPriority w:val="0"/>
    <w:rPr>
      <w:color w:val="4070A0"/>
    </w:rPr>
  </w:style>
  <w:style w:type="character" w:customStyle="1" w:styleId="61">
    <w:name w:val="VerbatimStringTok"/>
    <w:basedOn w:val="48"/>
    <w:qFormat/>
    <w:uiPriority w:val="0"/>
    <w:rPr>
      <w:color w:val="4070A0"/>
    </w:rPr>
  </w:style>
  <w:style w:type="character" w:customStyle="1" w:styleId="62">
    <w:name w:val="SpecialStringTok"/>
    <w:basedOn w:val="48"/>
    <w:qFormat/>
    <w:uiPriority w:val="0"/>
    <w:rPr>
      <w:color w:val="BB6688"/>
    </w:rPr>
  </w:style>
  <w:style w:type="character" w:customStyle="1" w:styleId="63">
    <w:name w:val="ImportTok"/>
    <w:basedOn w:val="48"/>
    <w:qFormat/>
    <w:uiPriority w:val="0"/>
    <w:rPr>
      <w:b/>
      <w:color w:val="008000"/>
    </w:rPr>
  </w:style>
  <w:style w:type="character" w:customStyle="1" w:styleId="64">
    <w:name w:val="CommentTok"/>
    <w:basedOn w:val="48"/>
    <w:qFormat/>
    <w:uiPriority w:val="0"/>
    <w:rPr>
      <w:i/>
      <w:color w:val="60A0B0"/>
    </w:rPr>
  </w:style>
  <w:style w:type="character" w:customStyle="1" w:styleId="65">
    <w:name w:val="DocumentationTok"/>
    <w:basedOn w:val="48"/>
    <w:qFormat/>
    <w:uiPriority w:val="0"/>
    <w:rPr>
      <w:i/>
      <w:color w:val="BA2121"/>
    </w:rPr>
  </w:style>
  <w:style w:type="character" w:customStyle="1" w:styleId="66">
    <w:name w:val="AnnotationTok"/>
    <w:basedOn w:val="48"/>
    <w:qFormat/>
    <w:uiPriority w:val="0"/>
    <w:rPr>
      <w:b/>
      <w:i/>
      <w:color w:val="60A0B0"/>
    </w:rPr>
  </w:style>
  <w:style w:type="character" w:customStyle="1" w:styleId="67">
    <w:name w:val="CommentVarTok"/>
    <w:basedOn w:val="48"/>
    <w:qFormat/>
    <w:uiPriority w:val="0"/>
    <w:rPr>
      <w:b/>
      <w:i/>
      <w:color w:val="60A0B0"/>
    </w:rPr>
  </w:style>
  <w:style w:type="character" w:customStyle="1" w:styleId="68">
    <w:name w:val="OtherTok"/>
    <w:basedOn w:val="48"/>
    <w:qFormat/>
    <w:uiPriority w:val="0"/>
    <w:rPr>
      <w:color w:val="007020"/>
    </w:rPr>
  </w:style>
  <w:style w:type="character" w:customStyle="1" w:styleId="69">
    <w:name w:val="FunctionTok"/>
    <w:basedOn w:val="48"/>
    <w:qFormat/>
    <w:uiPriority w:val="0"/>
    <w:rPr>
      <w:color w:val="06287E"/>
    </w:rPr>
  </w:style>
  <w:style w:type="character" w:customStyle="1" w:styleId="70">
    <w:name w:val="VariableTok"/>
    <w:basedOn w:val="48"/>
    <w:qFormat/>
    <w:uiPriority w:val="0"/>
    <w:rPr>
      <w:color w:val="19177C"/>
    </w:rPr>
  </w:style>
  <w:style w:type="character" w:customStyle="1" w:styleId="71">
    <w:name w:val="ControlFlowTok"/>
    <w:basedOn w:val="48"/>
    <w:qFormat/>
    <w:uiPriority w:val="0"/>
    <w:rPr>
      <w:b/>
      <w:color w:val="007020"/>
    </w:rPr>
  </w:style>
  <w:style w:type="character" w:customStyle="1" w:styleId="72">
    <w:name w:val="OperatorTok"/>
    <w:basedOn w:val="48"/>
    <w:qFormat/>
    <w:uiPriority w:val="0"/>
    <w:rPr>
      <w:color w:val="666666"/>
    </w:rPr>
  </w:style>
  <w:style w:type="character" w:customStyle="1" w:styleId="73">
    <w:name w:val="BuiltInTok"/>
    <w:basedOn w:val="48"/>
    <w:uiPriority w:val="0"/>
    <w:rPr>
      <w:color w:val="008000"/>
    </w:rPr>
  </w:style>
  <w:style w:type="character" w:customStyle="1" w:styleId="74">
    <w:name w:val="ExtensionTok"/>
    <w:basedOn w:val="48"/>
    <w:qFormat/>
    <w:uiPriority w:val="0"/>
  </w:style>
  <w:style w:type="character" w:customStyle="1" w:styleId="75">
    <w:name w:val="PreprocessorTok"/>
    <w:basedOn w:val="48"/>
    <w:qFormat/>
    <w:uiPriority w:val="0"/>
    <w:rPr>
      <w:color w:val="BC7A00"/>
    </w:rPr>
  </w:style>
  <w:style w:type="character" w:customStyle="1" w:styleId="76">
    <w:name w:val="AttributeTok"/>
    <w:basedOn w:val="48"/>
    <w:qFormat/>
    <w:uiPriority w:val="0"/>
    <w:rPr>
      <w:color w:val="7D9029"/>
    </w:rPr>
  </w:style>
  <w:style w:type="character" w:customStyle="1" w:styleId="77">
    <w:name w:val="RegionMarkerTok"/>
    <w:basedOn w:val="48"/>
    <w:qFormat/>
    <w:uiPriority w:val="0"/>
  </w:style>
  <w:style w:type="character" w:customStyle="1" w:styleId="78">
    <w:name w:val="InformationTok"/>
    <w:basedOn w:val="48"/>
    <w:qFormat/>
    <w:uiPriority w:val="0"/>
    <w:rPr>
      <w:b/>
      <w:i/>
      <w:color w:val="60A0B0"/>
    </w:rPr>
  </w:style>
  <w:style w:type="character" w:customStyle="1" w:styleId="79">
    <w:name w:val="WarningTok"/>
    <w:basedOn w:val="48"/>
    <w:qFormat/>
    <w:uiPriority w:val="0"/>
    <w:rPr>
      <w:b/>
      <w:i/>
      <w:color w:val="60A0B0"/>
    </w:rPr>
  </w:style>
  <w:style w:type="character" w:customStyle="1" w:styleId="80">
    <w:name w:val="AlertTok"/>
    <w:basedOn w:val="48"/>
    <w:qFormat/>
    <w:uiPriority w:val="0"/>
    <w:rPr>
      <w:b/>
      <w:color w:val="FF0000"/>
    </w:rPr>
  </w:style>
  <w:style w:type="character" w:customStyle="1" w:styleId="81">
    <w:name w:val="ErrorTok"/>
    <w:basedOn w:val="48"/>
    <w:qFormat/>
    <w:uiPriority w:val="0"/>
    <w:rPr>
      <w:b/>
      <w:color w:val="FF0000"/>
    </w:rPr>
  </w:style>
  <w:style w:type="character" w:customStyle="1" w:styleId="82">
    <w:name w:val="NormalTok"/>
    <w:basedOn w:val="4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83</Words>
  <Characters>475</Characters>
  <Lines>12</Lines>
  <Paragraphs>8</Paragraphs>
  <TotalTime>10</TotalTime>
  <ScaleCrop>false</ScaleCrop>
  <LinksUpToDate>false</LinksUpToDate>
  <CharactersWithSpaces>583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2026-02-16T22:56:00Z</dcterms:created>
  <dc:creator>JEMLI SAFA</dc:creator>
  <cp:lastModifiedBy>JEMLI SAFA</cp:lastModifiedBy>
  <dcterms:modified xsi:type="dcterms:W3CDTF">2026-02-16T23:01:23Z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EC08BE97894047BAB29462EF5557C329_12</vt:lpwstr>
  </property>
</Properties>
</file>