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F53527">
      <w:pPr>
        <w:pStyle w:val="13"/>
        <w:numPr>
          <w:ilvl w:val="0"/>
          <w:numId w:val="1"/>
        </w:numPr>
        <w:spacing w:line="360" w:lineRule="auto"/>
        <w:ind w:firstLineChars="0"/>
        <w:rPr>
          <w:rFonts w:ascii="Times New Roman" w:hAnsi="Times New Roman" w:cs="Times New Roman"/>
          <w:b/>
          <w:sz w:val="32"/>
          <w:highlight w:val="none"/>
          <w:u w:val="none"/>
        </w:rPr>
      </w:pPr>
      <w:r>
        <w:rPr>
          <w:rFonts w:hint="eastAsia" w:ascii="Times New Roman" w:hAnsi="Times New Roman" w:cs="Times New Roman"/>
          <w:b/>
          <w:sz w:val="32"/>
          <w:highlight w:val="none"/>
          <w:u w:val="none"/>
        </w:rPr>
        <w:t>Overview</w:t>
      </w:r>
    </w:p>
    <w:p w14:paraId="4F93B47B">
      <w:pPr>
        <w:pStyle w:val="2"/>
        <w:keepNext/>
        <w:keepLines/>
        <w:pageBreakBefore w:val="0"/>
        <w:widowControl w:val="0"/>
        <w:kinsoku/>
        <w:wordWrap/>
        <w:overflowPunct/>
        <w:topLinePunct w:val="0"/>
        <w:autoSpaceDE/>
        <w:autoSpaceDN/>
        <w:bidi w:val="0"/>
        <w:adjustRightInd/>
        <w:snapToGrid/>
        <w:spacing w:before="0" w:after="0" w:line="360" w:lineRule="auto"/>
        <w:ind w:firstLine="420"/>
        <w:textAlignment w:val="auto"/>
        <w:rPr>
          <w:rFonts w:hint="eastAsia" w:ascii="Times New Roman" w:hAnsi="Times New Roman" w:eastAsia="宋体" w:cs="Times New Roman"/>
          <w:b w:val="0"/>
          <w:kern w:val="0"/>
          <w:sz w:val="22"/>
          <w:szCs w:val="22"/>
          <w:highlight w:val="none"/>
          <w:u w:val="none"/>
          <w:lang w:val="en-US" w:eastAsia="zh-CN"/>
        </w:rPr>
      </w:pPr>
      <w:r>
        <w:rPr>
          <w:rFonts w:ascii="Times New Roman" w:hAnsi="Times New Roman" w:eastAsia="宋体" w:cs="Times New Roman"/>
          <w:b w:val="0"/>
          <w:kern w:val="0"/>
          <w:sz w:val="22"/>
          <w:szCs w:val="22"/>
          <w:highlight w:val="none"/>
          <w:u w:val="none"/>
          <w:lang w:val="en-GB" w:eastAsia="en-US" w:bidi="ar-SA"/>
        </w:rPr>
        <w:t>This document details the technical workflow of ground-penetrating radar (GPR) data acquisition, processing, visualization, and reliability verification for the</w:t>
      </w:r>
      <w:r>
        <w:rPr>
          <w:rFonts w:hint="eastAsia" w:ascii="Times New Roman" w:hAnsi="Times New Roman" w:eastAsia="宋体" w:cs="Times New Roman"/>
          <w:b w:val="0"/>
          <w:kern w:val="0"/>
          <w:sz w:val="22"/>
          <w:szCs w:val="22"/>
          <w:highlight w:val="none"/>
          <w:u w:val="none"/>
          <w:lang w:val="en-US" w:eastAsia="zh-CN" w:bidi="ar-SA"/>
        </w:rPr>
        <w:t xml:space="preserve"> rammed-earth remains of ancient city wall in</w:t>
      </w:r>
      <w:r>
        <w:rPr>
          <w:rFonts w:ascii="Times New Roman" w:hAnsi="Times New Roman" w:eastAsia="宋体" w:cs="Times New Roman"/>
          <w:b w:val="0"/>
          <w:kern w:val="0"/>
          <w:sz w:val="22"/>
          <w:szCs w:val="22"/>
          <w:highlight w:val="none"/>
          <w:u w:val="none"/>
          <w:lang w:val="en-GB" w:eastAsia="en-US" w:bidi="ar-SA"/>
        </w:rPr>
        <w:t xml:space="preserve"> Shugang, encompassing standardized operational specifications, software parameter configurations, data format specifications, and validation methodologies</w:t>
      </w:r>
      <w:r>
        <w:rPr>
          <w:rFonts w:hint="eastAsia" w:ascii="Times New Roman" w:hAnsi="Times New Roman" w:eastAsia="宋体" w:cs="Times New Roman"/>
          <w:b w:val="0"/>
          <w:kern w:val="0"/>
          <w:sz w:val="22"/>
          <w:szCs w:val="22"/>
          <w:highlight w:val="none"/>
          <w:u w:val="none"/>
          <w:lang w:val="en-US" w:eastAsia="zh-CN" w:bidi="ar-SA"/>
        </w:rPr>
        <w:t xml:space="preserve">. </w:t>
      </w:r>
    </w:p>
    <w:p w14:paraId="5C104130">
      <w:pPr>
        <w:pStyle w:val="13"/>
        <w:numPr>
          <w:ilvl w:val="0"/>
          <w:numId w:val="1"/>
        </w:numPr>
        <w:spacing w:line="360" w:lineRule="auto"/>
        <w:ind w:firstLineChars="0"/>
        <w:rPr>
          <w:rFonts w:ascii="Times New Roman" w:hAnsi="Times New Roman" w:cs="Times New Roman"/>
          <w:b/>
          <w:sz w:val="32"/>
          <w:highlight w:val="none"/>
          <w:u w:val="none"/>
        </w:rPr>
      </w:pPr>
      <w:r>
        <w:rPr>
          <w:rFonts w:ascii="Times New Roman" w:hAnsi="Times New Roman" w:cs="Times New Roman"/>
          <w:b/>
          <w:sz w:val="32"/>
          <w:highlight w:val="none"/>
          <w:u w:val="none"/>
        </w:rPr>
        <w:t xml:space="preserve">Basic Process of Data Acquisition </w:t>
      </w:r>
    </w:p>
    <w:p w14:paraId="76A1A4D4">
      <w:pPr>
        <w:spacing w:line="360" w:lineRule="auto"/>
        <w:ind w:firstLine="420"/>
        <w:rPr>
          <w:rFonts w:ascii="Times New Roman" w:hAnsi="Times New Roman" w:eastAsia="宋体" w:cs="Times New Roman"/>
          <w:kern w:val="0"/>
          <w:sz w:val="22"/>
          <w:szCs w:val="22"/>
          <w:highlight w:val="none"/>
          <w:u w:val="none"/>
          <w:lang w:val="en-GB" w:eastAsia="en-US"/>
        </w:rPr>
      </w:pPr>
      <w:r>
        <w:rPr>
          <w:rFonts w:ascii="Times New Roman" w:hAnsi="Times New Roman" w:eastAsia="宋体" w:cs="Times New Roman"/>
          <w:kern w:val="0"/>
          <w:sz w:val="22"/>
          <w:szCs w:val="22"/>
          <w:highlight w:val="none"/>
          <w:u w:val="none"/>
          <w:lang w:val="en-GB" w:eastAsia="en-US"/>
        </w:rPr>
        <w:t xml:space="preserve">The ground-penetrating radar (GPR) employed in this study was the TRU™ (Tree Radar Unit) tree radar system manufactured by Tree Radar, Inc. (Silver Spring, MD, USA). During the detection process, disturbances to the heritage site itself </w:t>
      </w:r>
      <w:r>
        <w:rPr>
          <w:rFonts w:hint="eastAsia" w:ascii="Times New Roman" w:hAnsi="Times New Roman" w:eastAsia="宋体" w:cs="Times New Roman"/>
          <w:kern w:val="0"/>
          <w:sz w:val="22"/>
          <w:szCs w:val="22"/>
          <w:highlight w:val="none"/>
          <w:u w:val="none"/>
          <w:lang w:val="en-GB"/>
        </w:rPr>
        <w:t xml:space="preserve">were </w:t>
      </w:r>
      <w:r>
        <w:rPr>
          <w:rFonts w:ascii="Times New Roman" w:hAnsi="Times New Roman" w:eastAsia="宋体" w:cs="Times New Roman"/>
          <w:kern w:val="0"/>
          <w:sz w:val="22"/>
          <w:szCs w:val="22"/>
          <w:highlight w:val="none"/>
          <w:u w:val="none"/>
          <w:lang w:val="en-GB" w:eastAsia="en-US"/>
        </w:rPr>
        <w:t xml:space="preserve">avoided. The profile slice layout </w:t>
      </w:r>
      <w:r>
        <w:rPr>
          <w:rFonts w:hint="eastAsia" w:ascii="Times New Roman" w:hAnsi="Times New Roman" w:eastAsia="宋体" w:cs="Times New Roman"/>
          <w:kern w:val="0"/>
          <w:sz w:val="22"/>
          <w:szCs w:val="22"/>
          <w:highlight w:val="none"/>
          <w:u w:val="none"/>
          <w:lang w:val="en-GB"/>
        </w:rPr>
        <w:t>adopted a</w:t>
      </w:r>
      <w:r>
        <w:rPr>
          <w:rFonts w:ascii="Times New Roman" w:hAnsi="Times New Roman" w:eastAsia="宋体" w:cs="Times New Roman"/>
          <w:kern w:val="0"/>
          <w:sz w:val="22"/>
          <w:szCs w:val="22"/>
          <w:highlight w:val="none"/>
          <w:u w:val="none"/>
          <w:lang w:val="en-GB" w:eastAsia="en-US"/>
        </w:rPr>
        <w:t xml:space="preserve"> non-invasive marking method using a steel tape measure. Before detection, the fallen leaves and humus on the profile slice </w:t>
      </w:r>
      <w:r>
        <w:rPr>
          <w:rFonts w:hint="eastAsia" w:ascii="Times New Roman" w:hAnsi="Times New Roman" w:eastAsia="宋体" w:cs="Times New Roman"/>
          <w:kern w:val="0"/>
          <w:sz w:val="22"/>
          <w:szCs w:val="22"/>
          <w:highlight w:val="none"/>
          <w:u w:val="none"/>
          <w:lang w:val="en-GB"/>
        </w:rPr>
        <w:t>we</w:t>
      </w:r>
      <w:r>
        <w:rPr>
          <w:rFonts w:ascii="Times New Roman" w:hAnsi="Times New Roman" w:eastAsia="宋体" w:cs="Times New Roman"/>
          <w:kern w:val="0"/>
          <w:sz w:val="22"/>
          <w:szCs w:val="22"/>
          <w:highlight w:val="none"/>
          <w:u w:val="none"/>
          <w:lang w:val="en-GB" w:eastAsia="en-US"/>
        </w:rPr>
        <w:t xml:space="preserve">re cleared, and the profile slice </w:t>
      </w:r>
      <w:r>
        <w:rPr>
          <w:rFonts w:hint="eastAsia" w:ascii="Times New Roman" w:hAnsi="Times New Roman" w:eastAsia="宋体" w:cs="Times New Roman"/>
          <w:kern w:val="0"/>
          <w:sz w:val="22"/>
          <w:szCs w:val="22"/>
          <w:highlight w:val="none"/>
          <w:u w:val="none"/>
          <w:lang w:val="en-GB"/>
        </w:rPr>
        <w:t>was</w:t>
      </w:r>
      <w:r>
        <w:rPr>
          <w:rFonts w:ascii="Times New Roman" w:hAnsi="Times New Roman" w:eastAsia="宋体" w:cs="Times New Roman"/>
          <w:kern w:val="0"/>
          <w:sz w:val="22"/>
          <w:szCs w:val="22"/>
          <w:highlight w:val="none"/>
          <w:u w:val="none"/>
          <w:lang w:val="en-GB" w:eastAsia="en-US"/>
        </w:rPr>
        <w:t xml:space="preserve"> laid out. During the detection process, obstacles were avoided. The pull rod was uniformly pulled to move the radar antenna along the pre-drawn boundary profile slice to ensure that the profile slices within each sampling plot could be fully covered</w:t>
      </w:r>
      <w:r>
        <w:rPr>
          <w:rFonts w:hint="eastAsia" w:ascii="Times New Roman" w:hAnsi="Times New Roman" w:eastAsia="宋体" w:cs="Times New Roman"/>
          <w:kern w:val="0"/>
          <w:sz w:val="22"/>
          <w:szCs w:val="22"/>
          <w:highlight w:val="none"/>
          <w:u w:val="none"/>
          <w:lang w:val="en-US" w:eastAsia="zh-CN"/>
        </w:rPr>
        <w:t xml:space="preserve"> (</w:t>
      </w:r>
      <w:r>
        <w:rPr>
          <w:rFonts w:hint="eastAsia" w:ascii="Times New Roman" w:hAnsi="Times New Roman" w:eastAsia="宋体" w:cs="Times New Roman"/>
          <w:kern w:val="0"/>
          <w:sz w:val="22"/>
          <w:szCs w:val="22"/>
          <w:highlight w:val="none"/>
          <w:u w:val="none"/>
          <w:lang w:val="en-US" w:eastAsia="zh-CN"/>
        </w:rPr>
        <w:fldChar w:fldCharType="begin"/>
      </w:r>
      <w:r>
        <w:rPr>
          <w:rFonts w:hint="eastAsia" w:ascii="Times New Roman" w:hAnsi="Times New Roman" w:eastAsia="宋体" w:cs="Times New Roman"/>
          <w:kern w:val="0"/>
          <w:sz w:val="22"/>
          <w:szCs w:val="22"/>
          <w:highlight w:val="none"/>
          <w:u w:val="none"/>
          <w:lang w:val="en-US" w:eastAsia="zh-CN"/>
        </w:rPr>
        <w:instrText xml:space="preserve"> REF _Ref7819 \h </w:instrText>
      </w:r>
      <w:r>
        <w:rPr>
          <w:rFonts w:hint="eastAsia" w:ascii="Times New Roman" w:hAnsi="Times New Roman" w:eastAsia="宋体" w:cs="Times New Roman"/>
          <w:kern w:val="0"/>
          <w:sz w:val="22"/>
          <w:szCs w:val="22"/>
          <w:highlight w:val="none"/>
          <w:u w:val="none"/>
          <w:lang w:val="en-US" w:eastAsia="zh-CN"/>
        </w:rPr>
        <w:fldChar w:fldCharType="separate"/>
      </w:r>
      <w:r>
        <w:rPr>
          <w:rFonts w:ascii="Times New Roman" w:hAnsi="Times New Roman" w:cs="Times New Roman"/>
          <w:b/>
          <w:bCs/>
          <w:sz w:val="22"/>
          <w:szCs w:val="22"/>
          <w:highlight w:val="none"/>
          <w:u w:val="none"/>
        </w:rPr>
        <w:t>Fig. S1</w:t>
      </w:r>
      <w:r>
        <w:rPr>
          <w:rFonts w:hint="eastAsia" w:ascii="Times New Roman" w:hAnsi="Times New Roman" w:eastAsia="宋体" w:cs="Times New Roman"/>
          <w:kern w:val="0"/>
          <w:sz w:val="22"/>
          <w:szCs w:val="22"/>
          <w:highlight w:val="none"/>
          <w:u w:val="none"/>
          <w:lang w:val="en-US" w:eastAsia="zh-CN"/>
        </w:rPr>
        <w:fldChar w:fldCharType="end"/>
      </w:r>
      <w:r>
        <w:rPr>
          <w:rFonts w:hint="eastAsia" w:ascii="Times New Roman" w:hAnsi="Times New Roman" w:eastAsia="宋体" w:cs="Times New Roman"/>
          <w:kern w:val="0"/>
          <w:sz w:val="22"/>
          <w:szCs w:val="22"/>
          <w:highlight w:val="none"/>
          <w:u w:val="none"/>
          <w:lang w:val="en-US" w:eastAsia="zh-CN"/>
        </w:rPr>
        <w:t>)</w:t>
      </w:r>
      <w:r>
        <w:rPr>
          <w:rFonts w:ascii="Times New Roman" w:hAnsi="Times New Roman" w:eastAsia="宋体" w:cs="Times New Roman"/>
          <w:kern w:val="0"/>
          <w:sz w:val="22"/>
          <w:szCs w:val="22"/>
          <w:highlight w:val="none"/>
          <w:u w:val="none"/>
          <w:lang w:val="en-GB" w:eastAsia="en-US"/>
        </w:rPr>
        <w:t>. At the same time,</w:t>
      </w:r>
      <w:r>
        <w:rPr>
          <w:highlight w:val="none"/>
          <w:u w:val="none"/>
        </w:rPr>
        <w:t xml:space="preserve"> </w:t>
      </w:r>
      <w:r>
        <w:rPr>
          <w:rFonts w:ascii="Times New Roman" w:hAnsi="Times New Roman" w:eastAsia="宋体" w:cs="Times New Roman"/>
          <w:kern w:val="0"/>
          <w:sz w:val="22"/>
          <w:szCs w:val="22"/>
          <w:highlight w:val="none"/>
          <w:u w:val="none"/>
          <w:lang w:val="en-GB" w:eastAsia="en-US"/>
        </w:rPr>
        <w:t xml:space="preserve">the antenna was kept in contact with the ground and </w:t>
      </w:r>
      <w:r>
        <w:rPr>
          <w:rFonts w:hint="eastAsia" w:ascii="Times New Roman" w:hAnsi="Times New Roman" w:eastAsia="宋体" w:cs="Times New Roman"/>
          <w:kern w:val="0"/>
          <w:sz w:val="22"/>
          <w:szCs w:val="22"/>
          <w:highlight w:val="none"/>
          <w:u w:val="none"/>
          <w:lang w:val="en-GB" w:eastAsia="zh-CN"/>
        </w:rPr>
        <w:t>followed</w:t>
      </w:r>
      <w:r>
        <w:rPr>
          <w:rFonts w:ascii="Times New Roman" w:hAnsi="Times New Roman" w:eastAsia="宋体" w:cs="Times New Roman"/>
          <w:kern w:val="0"/>
          <w:sz w:val="22"/>
          <w:szCs w:val="22"/>
          <w:highlight w:val="none"/>
          <w:u w:val="none"/>
          <w:lang w:val="en-GB" w:eastAsia="en-US"/>
        </w:rPr>
        <w:t xml:space="preserve"> the speed requirements on the operation screen to reduce signal attenuation and noise interference. </w:t>
      </w:r>
    </w:p>
    <w:p w14:paraId="323D5147">
      <w:pPr>
        <w:spacing w:line="360" w:lineRule="auto"/>
        <w:ind w:firstLine="440" w:firstLineChars="200"/>
        <w:rPr>
          <w:rFonts w:ascii="Times New Roman" w:hAnsi="Times New Roman" w:eastAsia="宋体" w:cs="Times New Roman"/>
          <w:kern w:val="0"/>
          <w:sz w:val="22"/>
          <w:szCs w:val="22"/>
          <w:highlight w:val="none"/>
          <w:u w:val="none"/>
          <w:lang w:val="en-GB" w:eastAsia="en-US"/>
        </w:rPr>
      </w:pPr>
      <w:r>
        <w:rPr>
          <w:rFonts w:ascii="Times New Roman" w:hAnsi="Times New Roman" w:eastAsia="宋体" w:cs="Times New Roman"/>
          <w:kern w:val="0"/>
          <w:sz w:val="22"/>
          <w:szCs w:val="22"/>
          <w:highlight w:val="none"/>
          <w:u w:val="none"/>
          <w:lang w:val="en-GB" w:eastAsia="en-US"/>
        </w:rPr>
        <w:t>The settings of dielectric constant required by GPR before scanning</w:t>
      </w:r>
      <w:r>
        <w:rPr>
          <w:highlight w:val="none"/>
          <w:u w:val="none"/>
        </w:rPr>
        <w:t xml:space="preserve"> </w:t>
      </w:r>
      <w:r>
        <w:rPr>
          <w:rFonts w:ascii="Times New Roman" w:hAnsi="Times New Roman" w:eastAsia="宋体" w:cs="Times New Roman"/>
          <w:kern w:val="0"/>
          <w:sz w:val="22"/>
          <w:szCs w:val="22"/>
          <w:highlight w:val="none"/>
          <w:u w:val="none"/>
          <w:lang w:val="en-GB" w:eastAsia="en-US"/>
        </w:rPr>
        <w:t xml:space="preserve">were configured. After scanning, the data </w:t>
      </w:r>
      <w:r>
        <w:rPr>
          <w:rFonts w:hint="eastAsia" w:ascii="Times New Roman" w:hAnsi="Times New Roman" w:eastAsia="宋体" w:cs="Times New Roman"/>
          <w:kern w:val="0"/>
          <w:sz w:val="22"/>
          <w:szCs w:val="22"/>
          <w:highlight w:val="none"/>
          <w:u w:val="none"/>
          <w:lang w:val="en-GB"/>
        </w:rPr>
        <w:t>was</w:t>
      </w:r>
      <w:r>
        <w:rPr>
          <w:rFonts w:ascii="Times New Roman" w:hAnsi="Times New Roman" w:eastAsia="宋体" w:cs="Times New Roman"/>
          <w:kern w:val="0"/>
          <w:sz w:val="22"/>
          <w:szCs w:val="22"/>
          <w:highlight w:val="none"/>
          <w:u w:val="none"/>
          <w:lang w:val="en-GB" w:eastAsia="en-US"/>
        </w:rPr>
        <w:t xml:space="preserve"> exported in DZT format, and the original detection data </w:t>
      </w:r>
      <w:r>
        <w:rPr>
          <w:rFonts w:hint="eastAsia" w:ascii="Times New Roman" w:hAnsi="Times New Roman" w:eastAsia="宋体" w:cs="Times New Roman"/>
          <w:kern w:val="0"/>
          <w:sz w:val="22"/>
          <w:szCs w:val="22"/>
          <w:highlight w:val="none"/>
          <w:u w:val="none"/>
          <w:lang w:val="en-GB"/>
        </w:rPr>
        <w:t>was</w:t>
      </w:r>
      <w:r>
        <w:rPr>
          <w:rFonts w:ascii="Times New Roman" w:hAnsi="Times New Roman" w:eastAsia="宋体" w:cs="Times New Roman"/>
          <w:kern w:val="0"/>
          <w:sz w:val="22"/>
          <w:szCs w:val="22"/>
          <w:highlight w:val="none"/>
          <w:u w:val="none"/>
          <w:lang w:val="en-GB" w:eastAsia="en-US"/>
        </w:rPr>
        <w:t xml:space="preserve"> processed uniformly later. The original radar data underwent preprocessing steps such as zero-offset correction, background removal, band-pass filtering and gain adjustment to improve the signal-to-noise ratio and highlight the root reflection characteristics. Finally, a semi-automatic recognition algorithm (such as Hough transform and template matching) </w:t>
      </w:r>
      <w:r>
        <w:rPr>
          <w:rFonts w:hint="eastAsia" w:ascii="Times New Roman" w:hAnsi="Times New Roman" w:eastAsia="宋体" w:cs="Times New Roman"/>
          <w:kern w:val="0"/>
          <w:sz w:val="22"/>
          <w:szCs w:val="22"/>
          <w:highlight w:val="none"/>
          <w:u w:val="none"/>
          <w:lang w:val="en-GB"/>
        </w:rPr>
        <w:t>was</w:t>
      </w:r>
      <w:r>
        <w:rPr>
          <w:rFonts w:ascii="Times New Roman" w:hAnsi="Times New Roman" w:eastAsia="宋体" w:cs="Times New Roman"/>
          <w:kern w:val="0"/>
          <w:sz w:val="22"/>
          <w:szCs w:val="22"/>
          <w:highlight w:val="none"/>
          <w:u w:val="none"/>
          <w:lang w:val="en-GB" w:eastAsia="en-US"/>
        </w:rPr>
        <w:t xml:space="preserve"> used to extract the hyperbola features, and the recognition accuracy was improved by combining manual visual verification.</w:t>
      </w:r>
    </w:p>
    <w:p w14:paraId="78E8EE17">
      <w:pPr>
        <w:spacing w:line="360" w:lineRule="auto"/>
        <w:ind w:firstLine="283" w:firstLineChars="118"/>
        <w:rPr>
          <w:sz w:val="24"/>
          <w:highlight w:val="none"/>
          <w:u w:val="none"/>
        </w:rPr>
      </w:pPr>
      <w:r>
        <w:rPr>
          <w:sz w:val="24"/>
          <w:highlight w:val="none"/>
          <w:u w:val="none"/>
        </w:rPr>
        <w:drawing>
          <wp:inline distT="0" distB="0" distL="0" distR="0">
            <wp:extent cx="5016500" cy="2280285"/>
            <wp:effectExtent l="0" t="0" r="0" b="5715"/>
            <wp:docPr id="2098015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15552"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l="1381" t="5840" r="3348" b="11477"/>
                    <a:stretch>
                      <a:fillRect/>
                    </a:stretch>
                  </pic:blipFill>
                  <pic:spPr>
                    <a:xfrm>
                      <a:off x="0" y="0"/>
                      <a:ext cx="5018807" cy="2281311"/>
                    </a:xfrm>
                    <a:prstGeom prst="rect">
                      <a:avLst/>
                    </a:prstGeom>
                    <a:noFill/>
                    <a:ln>
                      <a:noFill/>
                    </a:ln>
                  </pic:spPr>
                </pic:pic>
              </a:graphicData>
            </a:graphic>
          </wp:inline>
        </w:drawing>
      </w:r>
    </w:p>
    <w:p w14:paraId="1B02D082">
      <w:pPr>
        <w:pStyle w:val="3"/>
        <w:spacing w:line="360" w:lineRule="auto"/>
        <w:ind w:firstLine="442" w:firstLineChars="200"/>
        <w:jc w:val="center"/>
        <w:rPr>
          <w:rFonts w:ascii="Times New Roman" w:hAnsi="Times New Roman" w:cs="Times New Roman"/>
          <w:b/>
          <w:bCs/>
          <w:sz w:val="22"/>
          <w:szCs w:val="22"/>
          <w:highlight w:val="none"/>
          <w:u w:val="none"/>
        </w:rPr>
      </w:pPr>
      <w:bookmarkStart w:id="0" w:name="_Ref7819"/>
      <w:r>
        <w:rPr>
          <w:rFonts w:ascii="Times New Roman" w:hAnsi="Times New Roman" w:cs="Times New Roman"/>
          <w:b/>
          <w:bCs/>
          <w:sz w:val="22"/>
          <w:szCs w:val="22"/>
          <w:highlight w:val="none"/>
          <w:u w:val="none"/>
        </w:rPr>
        <w:t>Fig. S</w:t>
      </w:r>
      <w:r>
        <w:rPr>
          <w:rFonts w:ascii="Times New Roman" w:hAnsi="Times New Roman" w:cs="Times New Roman"/>
          <w:b/>
          <w:bCs/>
          <w:sz w:val="22"/>
          <w:szCs w:val="22"/>
          <w:highlight w:val="none"/>
          <w:u w:val="none"/>
        </w:rPr>
        <w:fldChar w:fldCharType="begin"/>
      </w:r>
      <w:r>
        <w:rPr>
          <w:rFonts w:ascii="Times New Roman" w:hAnsi="Times New Roman" w:cs="Times New Roman"/>
          <w:b/>
          <w:bCs/>
          <w:sz w:val="22"/>
          <w:szCs w:val="22"/>
          <w:highlight w:val="none"/>
          <w:u w:val="none"/>
        </w:rPr>
        <w:instrText xml:space="preserve"> SEQ Fig._S \* ARABIC </w:instrText>
      </w:r>
      <w:r>
        <w:rPr>
          <w:rFonts w:ascii="Times New Roman" w:hAnsi="Times New Roman" w:cs="Times New Roman"/>
          <w:b/>
          <w:bCs/>
          <w:sz w:val="22"/>
          <w:szCs w:val="22"/>
          <w:highlight w:val="none"/>
          <w:u w:val="none"/>
        </w:rPr>
        <w:fldChar w:fldCharType="separate"/>
      </w:r>
      <w:r>
        <w:rPr>
          <w:rFonts w:ascii="Times New Roman" w:hAnsi="Times New Roman" w:cs="Times New Roman"/>
          <w:b/>
          <w:bCs/>
          <w:sz w:val="22"/>
          <w:szCs w:val="22"/>
          <w:highlight w:val="none"/>
          <w:u w:val="none"/>
        </w:rPr>
        <w:t>1</w:t>
      </w:r>
      <w:r>
        <w:rPr>
          <w:rFonts w:ascii="Times New Roman" w:hAnsi="Times New Roman" w:cs="Times New Roman"/>
          <w:b/>
          <w:bCs/>
          <w:sz w:val="22"/>
          <w:szCs w:val="22"/>
          <w:highlight w:val="none"/>
          <w:u w:val="none"/>
        </w:rPr>
        <w:fldChar w:fldCharType="end"/>
      </w:r>
      <w:bookmarkEnd w:id="0"/>
      <w:r>
        <w:rPr>
          <w:rFonts w:hint="eastAsia" w:ascii="Times New Roman" w:hAnsi="Times New Roman" w:cs="Times New Roman"/>
          <w:b/>
          <w:bCs/>
          <w:sz w:val="22"/>
          <w:szCs w:val="22"/>
          <w:highlight w:val="none"/>
          <w:u w:val="none"/>
          <w:lang w:val="en-US" w:eastAsia="zh-CN"/>
        </w:rPr>
        <w:t xml:space="preserve"> </w:t>
      </w:r>
      <w:r>
        <w:rPr>
          <w:rFonts w:ascii="Times New Roman" w:hAnsi="Times New Roman" w:cs="Times New Roman"/>
          <w:b/>
          <w:bCs/>
          <w:sz w:val="22"/>
          <w:szCs w:val="22"/>
          <w:highlight w:val="none"/>
          <w:u w:val="none"/>
        </w:rPr>
        <w:t>Field sampling photos</w:t>
      </w:r>
    </w:p>
    <w:p w14:paraId="44202806">
      <w:pPr>
        <w:spacing w:line="360" w:lineRule="auto"/>
        <w:ind w:firstLine="442" w:firstLineChars="200"/>
        <w:jc w:val="center"/>
        <w:rPr>
          <w:rFonts w:ascii="Times New Roman" w:hAnsi="Times New Roman" w:cs="Times New Roman"/>
          <w:b/>
          <w:bCs/>
          <w:sz w:val="22"/>
          <w:szCs w:val="22"/>
          <w:highlight w:val="none"/>
          <w:u w:val="none"/>
        </w:rPr>
      </w:pPr>
    </w:p>
    <w:p w14:paraId="5605D149">
      <w:pPr>
        <w:pStyle w:val="13"/>
        <w:numPr>
          <w:ilvl w:val="0"/>
          <w:numId w:val="1"/>
        </w:numPr>
        <w:spacing w:line="360" w:lineRule="auto"/>
        <w:ind w:firstLineChars="0"/>
        <w:rPr>
          <w:rFonts w:ascii="Times New Roman" w:hAnsi="Times New Roman" w:cs="Times New Roman"/>
          <w:b/>
          <w:sz w:val="32"/>
          <w:highlight w:val="none"/>
          <w:u w:val="none"/>
        </w:rPr>
      </w:pPr>
      <w:r>
        <w:rPr>
          <w:rFonts w:ascii="Times New Roman" w:hAnsi="Times New Roman" w:cs="Times New Roman"/>
          <w:b/>
          <w:sz w:val="32"/>
          <w:highlight w:val="none"/>
          <w:u w:val="none"/>
        </w:rPr>
        <w:t>Dielectric constant calibration</w:t>
      </w:r>
    </w:p>
    <w:p w14:paraId="383AB0FE">
      <w:pPr>
        <w:spacing w:line="360" w:lineRule="auto"/>
        <w:ind w:firstLine="420"/>
        <w:rPr>
          <w:rFonts w:ascii="Times New Roman" w:hAnsi="Times New Roman" w:cs="Times New Roman"/>
          <w:sz w:val="22"/>
          <w:szCs w:val="22"/>
          <w:highlight w:val="none"/>
          <w:u w:val="none"/>
        </w:rPr>
      </w:pPr>
      <w:r>
        <w:rPr>
          <w:rFonts w:ascii="Times New Roman" w:hAnsi="Times New Roman" w:cs="Times New Roman"/>
          <w:sz w:val="22"/>
          <w:szCs w:val="22"/>
          <w:highlight w:val="none"/>
          <w:u w:val="none"/>
        </w:rPr>
        <w:t>To determine the dielectric constant suitable for ground penetrating radar (GPR) depth inversion in this site area, three known points with natural profiles were selected in the site area for dielectric constant calibration. One of the points is located on the north side of the rammed earth boundary of the ancient city wall</w:t>
      </w:r>
      <w:r>
        <w:rPr>
          <w:rFonts w:hint="eastAsia" w:ascii="Times New Roman" w:hAnsi="Times New Roman" w:cs="Times New Roman"/>
          <w:sz w:val="22"/>
          <w:szCs w:val="22"/>
          <w:highlight w:val="none"/>
          <w:u w:val="none"/>
          <w:lang w:val="en-US" w:eastAsia="zh-CN"/>
        </w:rPr>
        <w:t xml:space="preserve"> (</w:t>
      </w:r>
      <w:r>
        <w:rPr>
          <w:rFonts w:hint="eastAsia" w:ascii="Times New Roman" w:hAnsi="Times New Roman" w:cs="Times New Roman"/>
          <w:sz w:val="22"/>
          <w:szCs w:val="22"/>
          <w:highlight w:val="none"/>
          <w:u w:val="none"/>
          <w:lang w:val="en-US" w:eastAsia="zh-CN"/>
        </w:rPr>
        <w:fldChar w:fldCharType="begin"/>
      </w:r>
      <w:r>
        <w:rPr>
          <w:rFonts w:hint="eastAsia" w:ascii="Times New Roman" w:hAnsi="Times New Roman" w:cs="Times New Roman"/>
          <w:sz w:val="22"/>
          <w:szCs w:val="22"/>
          <w:highlight w:val="none"/>
          <w:u w:val="none"/>
          <w:lang w:val="en-US" w:eastAsia="zh-CN"/>
        </w:rPr>
        <w:instrText xml:space="preserve"> REF _Ref8632 \h </w:instrText>
      </w:r>
      <w:r>
        <w:rPr>
          <w:rFonts w:hint="eastAsia" w:ascii="Times New Roman" w:hAnsi="Times New Roman" w:cs="Times New Roman"/>
          <w:sz w:val="22"/>
          <w:szCs w:val="22"/>
          <w:highlight w:val="none"/>
          <w:u w:val="none"/>
          <w:lang w:val="en-US" w:eastAsia="zh-CN"/>
        </w:rPr>
        <w:fldChar w:fldCharType="separate"/>
      </w:r>
      <w:r>
        <w:rPr>
          <w:rFonts w:ascii="Times New Roman" w:hAnsi="Times New Roman" w:cs="Times New Roman"/>
          <w:b/>
          <w:bCs/>
          <w:sz w:val="22"/>
          <w:szCs w:val="22"/>
          <w:highlight w:val="none"/>
          <w:u w:val="none"/>
        </w:rPr>
        <w:t>Fig. S2</w:t>
      </w:r>
      <w:r>
        <w:rPr>
          <w:rFonts w:hint="eastAsia" w:ascii="Times New Roman" w:hAnsi="Times New Roman" w:cs="Times New Roman"/>
          <w:sz w:val="22"/>
          <w:szCs w:val="22"/>
          <w:highlight w:val="none"/>
          <w:u w:val="none"/>
          <w:lang w:val="en-US" w:eastAsia="zh-CN"/>
        </w:rPr>
        <w:fldChar w:fldCharType="end"/>
      </w:r>
      <w:r>
        <w:rPr>
          <w:rFonts w:hint="eastAsia" w:ascii="Times New Roman" w:hAnsi="Times New Roman" w:cs="Times New Roman"/>
          <w:sz w:val="22"/>
          <w:szCs w:val="22"/>
          <w:highlight w:val="none"/>
          <w:u w:val="none"/>
          <w:lang w:val="en-US" w:eastAsia="zh-CN"/>
        </w:rPr>
        <w:t>)</w:t>
      </w:r>
      <w:r>
        <w:rPr>
          <w:rFonts w:ascii="Times New Roman" w:hAnsi="Times New Roman" w:cs="Times New Roman"/>
          <w:sz w:val="22"/>
          <w:szCs w:val="22"/>
          <w:highlight w:val="none"/>
          <w:u w:val="none"/>
        </w:rPr>
        <w:t>. Relying on the visual characteristics of the natural profile, it provide</w:t>
      </w:r>
      <w:r>
        <w:rPr>
          <w:rFonts w:hint="eastAsia" w:ascii="Times New Roman" w:hAnsi="Times New Roman" w:cs="Times New Roman"/>
          <w:sz w:val="22"/>
          <w:szCs w:val="22"/>
          <w:highlight w:val="none"/>
          <w:u w:val="none"/>
        </w:rPr>
        <w:t>d</w:t>
      </w:r>
      <w:r>
        <w:rPr>
          <w:rFonts w:ascii="Times New Roman" w:hAnsi="Times New Roman" w:cs="Times New Roman"/>
          <w:sz w:val="22"/>
          <w:szCs w:val="22"/>
          <w:highlight w:val="none"/>
          <w:u w:val="none"/>
        </w:rPr>
        <w:t xml:space="preserve"> a real and reliable depth reference. Without excavation, a quantitative correspondence between the two-way travel time of the radar and the actual depth </w:t>
      </w:r>
      <w:r>
        <w:rPr>
          <w:rFonts w:hint="eastAsia" w:ascii="Times New Roman" w:hAnsi="Times New Roman" w:cs="Times New Roman"/>
          <w:sz w:val="22"/>
          <w:szCs w:val="22"/>
          <w:highlight w:val="none"/>
          <w:u w:val="none"/>
        </w:rPr>
        <w:t>was</w:t>
      </w:r>
      <w:r>
        <w:rPr>
          <w:rFonts w:ascii="Times New Roman" w:hAnsi="Times New Roman" w:cs="Times New Roman"/>
          <w:sz w:val="22"/>
          <w:szCs w:val="22"/>
          <w:highlight w:val="none"/>
          <w:u w:val="none"/>
        </w:rPr>
        <w:t xml:space="preserve"> established, achieving non-destructive dielectric constant calibration.</w:t>
      </w:r>
    </w:p>
    <w:p w14:paraId="3EA4C116">
      <w:pPr>
        <w:spacing w:line="360" w:lineRule="auto"/>
        <w:ind w:firstLine="420"/>
        <w:rPr>
          <w:rFonts w:ascii="Times New Roman" w:hAnsi="Times New Roman" w:cs="Times New Roman"/>
          <w:sz w:val="22"/>
          <w:szCs w:val="22"/>
          <w:highlight w:val="none"/>
          <w:u w:val="none"/>
        </w:rPr>
      </w:pPr>
      <w:r>
        <w:rPr>
          <w:rFonts w:ascii="Times New Roman" w:hAnsi="Times New Roman" w:cs="Times New Roman"/>
          <w:sz w:val="22"/>
          <w:szCs w:val="22"/>
          <w:highlight w:val="none"/>
          <w:u w:val="none"/>
        </w:rPr>
        <w:t xml:space="preserve">At the site, </w:t>
      </w:r>
      <w:r>
        <w:rPr>
          <w:rFonts w:hint="eastAsia" w:ascii="Times New Roman" w:hAnsi="Times New Roman" w:cs="Times New Roman"/>
          <w:sz w:val="22"/>
          <w:szCs w:val="22"/>
          <w:highlight w:val="none"/>
          <w:u w:val="none"/>
          <w:lang w:eastAsia="zh-CN"/>
        </w:rPr>
        <w:t>900 MHz</w:t>
      </w:r>
      <w:r>
        <w:rPr>
          <w:rFonts w:ascii="Times New Roman" w:hAnsi="Times New Roman" w:cs="Times New Roman"/>
          <w:sz w:val="22"/>
          <w:szCs w:val="22"/>
          <w:highlight w:val="none"/>
          <w:u w:val="none"/>
        </w:rPr>
        <w:t xml:space="preserve"> antennas </w:t>
      </w:r>
      <w:r>
        <w:rPr>
          <w:rFonts w:hint="eastAsia" w:ascii="Times New Roman" w:hAnsi="Times New Roman" w:cs="Times New Roman"/>
          <w:sz w:val="22"/>
          <w:szCs w:val="22"/>
          <w:highlight w:val="none"/>
          <w:u w:val="none"/>
        </w:rPr>
        <w:t>were</w:t>
      </w:r>
      <w:r>
        <w:rPr>
          <w:rFonts w:ascii="Times New Roman" w:hAnsi="Times New Roman" w:cs="Times New Roman"/>
          <w:sz w:val="22"/>
          <w:szCs w:val="22"/>
          <w:highlight w:val="none"/>
          <w:u w:val="none"/>
        </w:rPr>
        <w:t xml:space="preserve"> used, and the parameter settings and detection processes </w:t>
      </w:r>
      <w:r>
        <w:rPr>
          <w:rFonts w:hint="eastAsia" w:ascii="Times New Roman" w:hAnsi="Times New Roman" w:cs="Times New Roman"/>
          <w:sz w:val="22"/>
          <w:szCs w:val="22"/>
          <w:highlight w:val="none"/>
          <w:u w:val="none"/>
        </w:rPr>
        <w:t>were</w:t>
      </w:r>
      <w:r>
        <w:rPr>
          <w:rFonts w:ascii="Times New Roman" w:hAnsi="Times New Roman" w:cs="Times New Roman"/>
          <w:sz w:val="22"/>
          <w:szCs w:val="22"/>
          <w:highlight w:val="none"/>
          <w:u w:val="none"/>
        </w:rPr>
        <w:t xml:space="preserve"> the same as those of the subsequent detection sampling </w:t>
      </w:r>
      <w:r>
        <w:rPr>
          <w:rFonts w:hint="eastAsia" w:ascii="Times New Roman" w:hAnsi="Times New Roman" w:cs="Times New Roman"/>
          <w:sz w:val="22"/>
          <w:szCs w:val="22"/>
          <w:highlight w:val="none"/>
          <w:u w:val="none"/>
        </w:rPr>
        <w:t>plot</w:t>
      </w:r>
      <w:r>
        <w:rPr>
          <w:rFonts w:ascii="Times New Roman" w:hAnsi="Times New Roman" w:cs="Times New Roman"/>
          <w:sz w:val="22"/>
          <w:szCs w:val="22"/>
          <w:highlight w:val="none"/>
          <w:u w:val="none"/>
        </w:rPr>
        <w:t xml:space="preserve">. Profile slices </w:t>
      </w:r>
      <w:r>
        <w:rPr>
          <w:rFonts w:hint="eastAsia" w:ascii="Times New Roman" w:hAnsi="Times New Roman" w:cs="Times New Roman"/>
          <w:sz w:val="22"/>
          <w:szCs w:val="22"/>
          <w:highlight w:val="none"/>
          <w:u w:val="none"/>
        </w:rPr>
        <w:t>were</w:t>
      </w:r>
      <w:r>
        <w:rPr>
          <w:rFonts w:ascii="Times New Roman" w:hAnsi="Times New Roman" w:cs="Times New Roman"/>
          <w:sz w:val="22"/>
          <w:szCs w:val="22"/>
          <w:highlight w:val="none"/>
          <w:u w:val="none"/>
        </w:rPr>
        <w:t xml:space="preserve"> arranged along the natural profile. Radar data </w:t>
      </w:r>
      <w:r>
        <w:rPr>
          <w:rFonts w:hint="eastAsia" w:ascii="Times New Roman" w:hAnsi="Times New Roman" w:cs="Times New Roman"/>
          <w:sz w:val="22"/>
          <w:szCs w:val="22"/>
          <w:highlight w:val="none"/>
          <w:u w:val="none"/>
        </w:rPr>
        <w:t>was</w:t>
      </w:r>
      <w:r>
        <w:rPr>
          <w:rFonts w:ascii="Times New Roman" w:hAnsi="Times New Roman" w:cs="Times New Roman"/>
          <w:sz w:val="22"/>
          <w:szCs w:val="22"/>
          <w:highlight w:val="none"/>
          <w:u w:val="none"/>
        </w:rPr>
        <w:t xml:space="preserve"> obtained through GPR scanning and compared with the measured profile depth to establish the corresponding relationship between the travel time of the reflection interface and the measured depth. The results show</w:t>
      </w:r>
      <w:r>
        <w:rPr>
          <w:rFonts w:hint="eastAsia" w:ascii="Times New Roman" w:hAnsi="Times New Roman" w:cs="Times New Roman"/>
          <w:sz w:val="22"/>
          <w:szCs w:val="22"/>
          <w:highlight w:val="none"/>
          <w:u w:val="none"/>
        </w:rPr>
        <w:t>ed</w:t>
      </w:r>
      <w:r>
        <w:rPr>
          <w:rFonts w:ascii="Times New Roman" w:hAnsi="Times New Roman" w:cs="Times New Roman"/>
          <w:sz w:val="22"/>
          <w:szCs w:val="22"/>
          <w:highlight w:val="none"/>
          <w:u w:val="none"/>
        </w:rPr>
        <w:t xml:space="preserve"> that: eight clear reflection interfaces appear</w:t>
      </w:r>
      <w:r>
        <w:rPr>
          <w:rFonts w:hint="eastAsia" w:ascii="Times New Roman" w:hAnsi="Times New Roman" w:cs="Times New Roman"/>
          <w:sz w:val="22"/>
          <w:szCs w:val="22"/>
          <w:highlight w:val="none"/>
          <w:u w:val="none"/>
        </w:rPr>
        <w:t>ed</w:t>
      </w:r>
      <w:r>
        <w:rPr>
          <w:rFonts w:ascii="Times New Roman" w:hAnsi="Times New Roman" w:cs="Times New Roman"/>
          <w:sz w:val="22"/>
          <w:szCs w:val="22"/>
          <w:highlight w:val="none"/>
          <w:u w:val="none"/>
        </w:rPr>
        <w:t xml:space="preserve"> at the depth of </w:t>
      </w:r>
      <w:r>
        <w:rPr>
          <w:rFonts w:hint="eastAsia" w:ascii="Times New Roman" w:hAnsi="Times New Roman" w:cs="Times New Roman"/>
          <w:sz w:val="22"/>
          <w:szCs w:val="22"/>
          <w:highlight w:val="none"/>
          <w:u w:val="none"/>
          <w:lang w:eastAsia="zh-CN"/>
        </w:rPr>
        <w:t xml:space="preserve">0.30 </w:t>
      </w:r>
      <w:r>
        <w:rPr>
          <w:rFonts w:ascii="Times New Roman" w:hAnsi="Times New Roman" w:cs="Times New Roman"/>
          <w:sz w:val="22"/>
          <w:szCs w:val="22"/>
          <w:highlight w:val="none"/>
          <w:u w:val="none"/>
        </w:rPr>
        <w:t>m in the radar profile. The image features, recognizability, and the relationships with the position, depth, and size of the tree roots exposed in the field ha</w:t>
      </w:r>
      <w:r>
        <w:rPr>
          <w:rFonts w:hint="eastAsia" w:ascii="Times New Roman" w:hAnsi="Times New Roman" w:cs="Times New Roman"/>
          <w:sz w:val="22"/>
          <w:szCs w:val="22"/>
          <w:highlight w:val="none"/>
          <w:u w:val="none"/>
        </w:rPr>
        <w:t>d</w:t>
      </w:r>
      <w:r>
        <w:rPr>
          <w:rFonts w:ascii="Times New Roman" w:hAnsi="Times New Roman" w:cs="Times New Roman"/>
          <w:sz w:val="22"/>
          <w:szCs w:val="22"/>
          <w:highlight w:val="none"/>
          <w:u w:val="none"/>
        </w:rPr>
        <w:t xml:space="preserve"> clear correspondences, providing reliable depth reference data for the calibration of the dielectric constant.</w:t>
      </w:r>
    </w:p>
    <w:p w14:paraId="248DDC38">
      <w:pPr>
        <w:spacing w:line="360" w:lineRule="auto"/>
        <w:ind w:firstLine="420"/>
        <w:rPr>
          <w:rFonts w:ascii="Times New Roman" w:hAnsi="Times New Roman" w:cs="Times New Roman"/>
          <w:sz w:val="22"/>
          <w:szCs w:val="22"/>
          <w:highlight w:val="none"/>
          <w:u w:val="none"/>
        </w:rPr>
      </w:pPr>
      <w:r>
        <w:rPr>
          <w:rFonts w:ascii="Times New Roman" w:hAnsi="Times New Roman" w:cs="Times New Roman"/>
          <w:sz w:val="22"/>
          <w:szCs w:val="22"/>
          <w:highlight w:val="none"/>
          <w:u w:val="none"/>
        </w:rPr>
        <w:t xml:space="preserve">Given that the </w:t>
      </w:r>
      <w:r>
        <w:rPr>
          <w:rFonts w:hint="eastAsia" w:ascii="Times New Roman" w:hAnsi="Times New Roman" w:cs="Times New Roman"/>
          <w:sz w:val="22"/>
          <w:szCs w:val="22"/>
          <w:highlight w:val="none"/>
          <w:u w:val="none"/>
          <w:lang w:eastAsia="zh-CN"/>
        </w:rPr>
        <w:t>humidity</w:t>
      </w:r>
      <w:r>
        <w:rPr>
          <w:rFonts w:ascii="Times New Roman" w:hAnsi="Times New Roman" w:cs="Times New Roman"/>
          <w:sz w:val="22"/>
          <w:szCs w:val="22"/>
          <w:highlight w:val="none"/>
          <w:u w:val="none"/>
        </w:rPr>
        <w:t xml:space="preserve"> content of the rammed</w:t>
      </w:r>
      <w:r>
        <w:rPr>
          <w:rFonts w:hint="eastAsia" w:ascii="Times New Roman" w:hAnsi="Times New Roman" w:cs="Times New Roman"/>
          <w:sz w:val="22"/>
          <w:szCs w:val="22"/>
          <w:highlight w:val="none"/>
          <w:u w:val="none"/>
          <w:lang w:val="en-US" w:eastAsia="zh-CN"/>
        </w:rPr>
        <w:t>-</w:t>
      </w:r>
      <w:r>
        <w:rPr>
          <w:rFonts w:ascii="Times New Roman" w:hAnsi="Times New Roman" w:cs="Times New Roman"/>
          <w:sz w:val="22"/>
          <w:szCs w:val="22"/>
          <w:highlight w:val="none"/>
          <w:u w:val="none"/>
        </w:rPr>
        <w:t>earth</w:t>
      </w:r>
      <w:r>
        <w:rPr>
          <w:rFonts w:hint="eastAsia" w:ascii="Times New Roman" w:hAnsi="Times New Roman" w:cs="Times New Roman"/>
          <w:sz w:val="22"/>
          <w:szCs w:val="22"/>
          <w:highlight w:val="none"/>
          <w:u w:val="none"/>
          <w:lang w:val="en-US" w:eastAsia="zh-CN"/>
        </w:rPr>
        <w:t xml:space="preserve"> remains of ancient wall</w:t>
      </w:r>
      <w:r>
        <w:rPr>
          <w:rFonts w:ascii="Times New Roman" w:hAnsi="Times New Roman" w:cs="Times New Roman"/>
          <w:sz w:val="22"/>
          <w:szCs w:val="22"/>
          <w:highlight w:val="none"/>
          <w:u w:val="none"/>
        </w:rPr>
        <w:t xml:space="preserve"> in Shugang is generally between 8% and 12%, an empirical dielectric constant of 14 was initially adopted, but there were deviations during inversion. By calibrating through comparison with the measured depth, the specific dielectric constant model for this site area was determined to be 16, and the inversion depth accuracy of the same reflection interface was significantly improved after correction. The single-point calibration result established the </w:t>
      </w:r>
      <w:r>
        <w:rPr>
          <w:rFonts w:hint="eastAsia" w:ascii="Times New Roman" w:hAnsi="Times New Roman" w:cs="Times New Roman"/>
          <w:sz w:val="22"/>
          <w:szCs w:val="22"/>
          <w:highlight w:val="none"/>
          <w:u w:val="none"/>
          <w:lang w:eastAsia="zh-CN"/>
        </w:rPr>
        <w:t>"</w:t>
      </w:r>
      <w:r>
        <w:rPr>
          <w:rFonts w:ascii="Times New Roman" w:hAnsi="Times New Roman" w:cs="Times New Roman"/>
          <w:sz w:val="22"/>
          <w:szCs w:val="22"/>
          <w:highlight w:val="none"/>
          <w:u w:val="none"/>
        </w:rPr>
        <w:t>radar travel time-depth</w:t>
      </w:r>
      <w:r>
        <w:rPr>
          <w:rFonts w:hint="eastAsia" w:ascii="Times New Roman" w:hAnsi="Times New Roman" w:cs="Times New Roman"/>
          <w:sz w:val="22"/>
          <w:szCs w:val="22"/>
          <w:highlight w:val="none"/>
          <w:u w:val="none"/>
          <w:lang w:eastAsia="zh-CN"/>
        </w:rPr>
        <w:t>"</w:t>
      </w:r>
      <w:r>
        <w:rPr>
          <w:rFonts w:ascii="Times New Roman" w:hAnsi="Times New Roman" w:cs="Times New Roman"/>
          <w:sz w:val="22"/>
          <w:szCs w:val="22"/>
          <w:highlight w:val="none"/>
          <w:u w:val="none"/>
        </w:rPr>
        <w:t xml:space="preserve"> conversion parameters applicable to the rammed</w:t>
      </w:r>
      <w:r>
        <w:rPr>
          <w:rFonts w:hint="eastAsia" w:ascii="Times New Roman" w:hAnsi="Times New Roman" w:cs="Times New Roman"/>
          <w:sz w:val="22"/>
          <w:szCs w:val="22"/>
          <w:highlight w:val="none"/>
          <w:u w:val="none"/>
          <w:lang w:val="en-US" w:eastAsia="zh-CN"/>
        </w:rPr>
        <w:t>-</w:t>
      </w:r>
      <w:r>
        <w:rPr>
          <w:rFonts w:ascii="Times New Roman" w:hAnsi="Times New Roman" w:cs="Times New Roman"/>
          <w:sz w:val="22"/>
          <w:szCs w:val="22"/>
          <w:highlight w:val="none"/>
          <w:u w:val="none"/>
        </w:rPr>
        <w:t xml:space="preserve">earth </w:t>
      </w:r>
      <w:r>
        <w:rPr>
          <w:rFonts w:hint="eastAsia" w:ascii="Times New Roman" w:hAnsi="Times New Roman" w:cs="Times New Roman"/>
          <w:sz w:val="22"/>
          <w:szCs w:val="22"/>
          <w:highlight w:val="none"/>
          <w:u w:val="none"/>
          <w:lang w:val="en-US" w:eastAsia="zh-CN"/>
        </w:rPr>
        <w:t>remains</w:t>
      </w:r>
      <w:r>
        <w:rPr>
          <w:rFonts w:ascii="Times New Roman" w:hAnsi="Times New Roman" w:cs="Times New Roman"/>
          <w:sz w:val="22"/>
          <w:szCs w:val="22"/>
          <w:highlight w:val="none"/>
          <w:u w:val="none"/>
        </w:rPr>
        <w:t xml:space="preserve"> in Shugang, and clarified the reliability of taking the dielectric constant value of 16 in this site area; even though the initial parameters were conservative, the accurate interpretation of the spatial position of the target body was achieved through this calibration model. This result provid</w:t>
      </w:r>
      <w:r>
        <w:rPr>
          <w:rFonts w:hint="eastAsia" w:ascii="Times New Roman" w:hAnsi="Times New Roman" w:cs="Times New Roman"/>
          <w:sz w:val="22"/>
          <w:szCs w:val="22"/>
          <w:highlight w:val="none"/>
          <w:u w:val="none"/>
        </w:rPr>
        <w:t>ed</w:t>
      </w:r>
      <w:r>
        <w:rPr>
          <w:rFonts w:ascii="Times New Roman" w:hAnsi="Times New Roman" w:cs="Times New Roman"/>
          <w:sz w:val="22"/>
          <w:szCs w:val="22"/>
          <w:highlight w:val="none"/>
          <w:u w:val="none"/>
        </w:rPr>
        <w:t xml:space="preserve"> a reliable parameter model for the data interpretation and depth inversion of the subsequent unprobed areas, ensuring the accuracy of obtaining the depth information of relic elements such as root distributions.</w:t>
      </w:r>
    </w:p>
    <w:p w14:paraId="51904767">
      <w:pPr>
        <w:spacing w:line="360" w:lineRule="auto"/>
        <w:ind w:firstLine="420"/>
        <w:rPr>
          <w:rFonts w:ascii="Times New Roman" w:hAnsi="Times New Roman" w:eastAsia="宋体"/>
          <w:sz w:val="24"/>
          <w:szCs w:val="28"/>
          <w:highlight w:val="none"/>
          <w:u w:val="none"/>
        </w:rPr>
      </w:pPr>
      <w:r>
        <w:rPr>
          <w:rFonts w:ascii="Times New Roman" w:hAnsi="Times New Roman" w:eastAsia="宋体"/>
          <w:sz w:val="24"/>
          <w:szCs w:val="28"/>
          <w:highlight w:val="none"/>
          <w:u w:val="none"/>
        </w:rPr>
        <w:drawing>
          <wp:inline distT="0" distB="0" distL="114300" distR="114300">
            <wp:extent cx="4773295" cy="3787140"/>
            <wp:effectExtent l="0" t="0" r="1905" b="10160"/>
            <wp:docPr id="2082015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5056"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773295" cy="3787140"/>
                    </a:xfrm>
                    <a:prstGeom prst="rect">
                      <a:avLst/>
                    </a:prstGeom>
                  </pic:spPr>
                </pic:pic>
              </a:graphicData>
            </a:graphic>
          </wp:inline>
        </w:drawing>
      </w:r>
    </w:p>
    <w:p w14:paraId="27100F2A">
      <w:pPr>
        <w:pStyle w:val="3"/>
        <w:spacing w:line="360" w:lineRule="auto"/>
        <w:jc w:val="center"/>
        <w:rPr>
          <w:rFonts w:ascii="Times New Roman" w:hAnsi="Times New Roman" w:eastAsia="宋体" w:cs="Times New Roman"/>
          <w:sz w:val="22"/>
          <w:szCs w:val="22"/>
          <w:highlight w:val="none"/>
          <w:u w:val="none"/>
        </w:rPr>
      </w:pPr>
      <w:bookmarkStart w:id="1" w:name="_Ref8632"/>
      <w:r>
        <w:rPr>
          <w:rFonts w:ascii="Times New Roman" w:hAnsi="Times New Roman" w:cs="Times New Roman"/>
          <w:b/>
          <w:bCs/>
          <w:sz w:val="22"/>
          <w:szCs w:val="22"/>
          <w:highlight w:val="none"/>
          <w:u w:val="none"/>
        </w:rPr>
        <w:t>Fig. S</w:t>
      </w:r>
      <w:r>
        <w:rPr>
          <w:rFonts w:ascii="Times New Roman" w:hAnsi="Times New Roman" w:cs="Times New Roman"/>
          <w:b/>
          <w:bCs/>
          <w:sz w:val="22"/>
          <w:szCs w:val="22"/>
          <w:highlight w:val="none"/>
          <w:u w:val="none"/>
        </w:rPr>
        <w:fldChar w:fldCharType="begin"/>
      </w:r>
      <w:r>
        <w:rPr>
          <w:rFonts w:ascii="Times New Roman" w:hAnsi="Times New Roman" w:cs="Times New Roman"/>
          <w:b/>
          <w:bCs/>
          <w:sz w:val="22"/>
          <w:szCs w:val="22"/>
          <w:highlight w:val="none"/>
          <w:u w:val="none"/>
        </w:rPr>
        <w:instrText xml:space="preserve"> SEQ Fig._S \* ARABIC </w:instrText>
      </w:r>
      <w:r>
        <w:rPr>
          <w:rFonts w:ascii="Times New Roman" w:hAnsi="Times New Roman" w:cs="Times New Roman"/>
          <w:b/>
          <w:bCs/>
          <w:sz w:val="22"/>
          <w:szCs w:val="22"/>
          <w:highlight w:val="none"/>
          <w:u w:val="none"/>
        </w:rPr>
        <w:fldChar w:fldCharType="separate"/>
      </w:r>
      <w:r>
        <w:rPr>
          <w:rFonts w:ascii="Times New Roman" w:hAnsi="Times New Roman" w:cs="Times New Roman"/>
          <w:b/>
          <w:bCs/>
          <w:sz w:val="22"/>
          <w:szCs w:val="22"/>
          <w:highlight w:val="none"/>
          <w:u w:val="none"/>
        </w:rPr>
        <w:t>2</w:t>
      </w:r>
      <w:r>
        <w:rPr>
          <w:rFonts w:ascii="Times New Roman" w:hAnsi="Times New Roman" w:cs="Times New Roman"/>
          <w:b/>
          <w:bCs/>
          <w:sz w:val="22"/>
          <w:szCs w:val="22"/>
          <w:highlight w:val="none"/>
          <w:u w:val="none"/>
        </w:rPr>
        <w:fldChar w:fldCharType="end"/>
      </w:r>
      <w:bookmarkEnd w:id="1"/>
      <w:r>
        <w:rPr>
          <w:rFonts w:hint="eastAsia" w:ascii="Times New Roman" w:hAnsi="Times New Roman" w:cs="Times New Roman"/>
          <w:b/>
          <w:bCs/>
          <w:sz w:val="22"/>
          <w:szCs w:val="22"/>
          <w:highlight w:val="none"/>
          <w:u w:val="none"/>
        </w:rPr>
        <w:t xml:space="preserve"> </w:t>
      </w:r>
      <w:r>
        <w:rPr>
          <w:rFonts w:ascii="Times New Roman" w:hAnsi="Times New Roman" w:cs="Times New Roman"/>
          <w:b/>
          <w:bCs/>
          <w:sz w:val="22"/>
          <w:szCs w:val="22"/>
          <w:highlight w:val="none"/>
          <w:u w:val="none"/>
        </w:rPr>
        <w:t>Soil site profile for calibrating soil dielectric constant</w:t>
      </w:r>
    </w:p>
    <w:p w14:paraId="2E228272">
      <w:pPr>
        <w:spacing w:line="360" w:lineRule="auto"/>
        <w:ind w:firstLine="480" w:firstLineChars="200"/>
        <w:rPr>
          <w:sz w:val="24"/>
          <w:highlight w:val="none"/>
          <w:u w:val="none"/>
        </w:rPr>
      </w:pPr>
    </w:p>
    <w:p w14:paraId="7CF30E20">
      <w:pPr>
        <w:pStyle w:val="13"/>
        <w:numPr>
          <w:ilvl w:val="0"/>
          <w:numId w:val="1"/>
        </w:numPr>
        <w:spacing w:line="360" w:lineRule="auto"/>
        <w:ind w:firstLineChars="0"/>
        <w:rPr>
          <w:rFonts w:ascii="Times New Roman" w:hAnsi="Times New Roman" w:cs="Times New Roman"/>
          <w:b/>
          <w:sz w:val="32"/>
          <w:highlight w:val="none"/>
          <w:u w:val="none"/>
        </w:rPr>
      </w:pPr>
      <w:r>
        <w:rPr>
          <w:rFonts w:ascii="Times New Roman" w:hAnsi="Times New Roman" w:cs="Times New Roman"/>
          <w:b/>
          <w:sz w:val="32"/>
          <w:highlight w:val="none"/>
          <w:u w:val="none"/>
        </w:rPr>
        <w:t>Data processing flow</w:t>
      </w:r>
    </w:p>
    <w:p w14:paraId="72765385">
      <w:pPr>
        <w:spacing w:line="360" w:lineRule="auto"/>
        <w:ind w:firstLine="440" w:firstLineChars="200"/>
        <w:rPr>
          <w:rFonts w:ascii="Times New Roman" w:hAnsi="Times New Roman" w:cs="Times New Roman"/>
          <w:sz w:val="22"/>
          <w:szCs w:val="22"/>
          <w:highlight w:val="none"/>
          <w:u w:val="none"/>
        </w:rPr>
      </w:pPr>
      <w:r>
        <w:rPr>
          <w:rFonts w:ascii="Times New Roman" w:hAnsi="Times New Roman" w:cs="Times New Roman"/>
          <w:sz w:val="22"/>
          <w:szCs w:val="22"/>
          <w:highlight w:val="none"/>
          <w:u w:val="none"/>
        </w:rPr>
        <w:t xml:space="preserve">The DZT data scanned by the radar was preprocessed: preliminary filtering was performed with the Root113b-k software, the gain set waveform was modified, a ground reference line was set for measuring the buried depth, and the detection threshold was set. The detection range was preset with the analyze gate (analyzeicon), and finally soil "clutter" was removed through signal filtering to improve the signal-to-noise ratio, enhance the intuitiveness of root detection, and two filters, Hor Dewow and HorMoving average, were enabled for auxiliary determination in the echo dynamic mode. Subsequently, object detection and determination were conducted: after grouping the sampling </w:t>
      </w:r>
      <w:r>
        <w:rPr>
          <w:rFonts w:hint="eastAsia" w:ascii="Times New Roman" w:hAnsi="Times New Roman" w:cs="Times New Roman"/>
          <w:sz w:val="22"/>
          <w:szCs w:val="22"/>
          <w:highlight w:val="none"/>
          <w:u w:val="none"/>
        </w:rPr>
        <w:t>plots</w:t>
      </w:r>
      <w:r>
        <w:rPr>
          <w:rFonts w:ascii="Times New Roman" w:hAnsi="Times New Roman" w:cs="Times New Roman"/>
          <w:sz w:val="22"/>
          <w:szCs w:val="22"/>
          <w:highlight w:val="none"/>
          <w:u w:val="none"/>
        </w:rPr>
        <w:t xml:space="preserve"> by Root-PRM, they were imported into the B-scan software for automatic recognition, and hyperbola features were extracted in combination with manual correction; key parameters such as recognition rate, depth error, length error, and signal-to-noise ratio were statistically analyzed. </w:t>
      </w:r>
    </w:p>
    <w:p w14:paraId="40D6A2A6">
      <w:pPr>
        <w:spacing w:line="360" w:lineRule="auto"/>
        <w:ind w:firstLine="440" w:firstLineChars="200"/>
        <w:rPr>
          <w:rFonts w:ascii="Times New Roman" w:hAnsi="Times New Roman" w:cs="Times New Roman"/>
          <w:sz w:val="22"/>
          <w:szCs w:val="22"/>
          <w:highlight w:val="none"/>
          <w:u w:val="none"/>
        </w:rPr>
      </w:pPr>
      <w:r>
        <w:rPr>
          <w:rFonts w:ascii="Times New Roman" w:hAnsi="Times New Roman" w:cs="Times New Roman"/>
          <w:sz w:val="22"/>
          <w:szCs w:val="22"/>
          <w:highlight w:val="none"/>
          <w:u w:val="none"/>
        </w:rPr>
        <w:t xml:space="preserve">After extracting the root points, the visualization of the root point distribution </w:t>
      </w:r>
      <w:r>
        <w:rPr>
          <w:rFonts w:hint="eastAsia" w:ascii="Times New Roman" w:hAnsi="Times New Roman" w:cs="Times New Roman"/>
          <w:sz w:val="22"/>
          <w:szCs w:val="22"/>
          <w:highlight w:val="none"/>
          <w:u w:val="none"/>
        </w:rPr>
        <w:t xml:space="preserve">was </w:t>
      </w:r>
      <w:r>
        <w:rPr>
          <w:rFonts w:ascii="Times New Roman" w:hAnsi="Times New Roman" w:cs="Times New Roman"/>
          <w:sz w:val="22"/>
          <w:szCs w:val="22"/>
          <w:highlight w:val="none"/>
          <w:u w:val="none"/>
        </w:rPr>
        <w:t>completed using the TBA v</w:t>
      </w:r>
      <w:r>
        <w:rPr>
          <w:rFonts w:hint="eastAsia" w:ascii="Times New Roman" w:hAnsi="Times New Roman" w:cs="Times New Roman"/>
          <w:sz w:val="22"/>
          <w:szCs w:val="22"/>
          <w:highlight w:val="none"/>
          <w:u w:val="none"/>
        </w:rPr>
        <w:t xml:space="preserve"> </w:t>
      </w:r>
      <w:r>
        <w:rPr>
          <w:rFonts w:ascii="Times New Roman" w:hAnsi="Times New Roman" w:cs="Times New Roman"/>
          <w:sz w:val="22"/>
          <w:szCs w:val="22"/>
          <w:highlight w:val="none"/>
          <w:u w:val="none"/>
        </w:rPr>
        <w:t xml:space="preserve">3.8.2 program: B-Scan analysis was performed on the GPR profile slice slice at the sampling </w:t>
      </w:r>
      <w:r>
        <w:rPr>
          <w:rFonts w:hint="eastAsia" w:ascii="Times New Roman" w:hAnsi="Times New Roman" w:cs="Times New Roman"/>
          <w:sz w:val="22"/>
          <w:szCs w:val="22"/>
          <w:highlight w:val="none"/>
          <w:u w:val="none"/>
        </w:rPr>
        <w:t>plot</w:t>
      </w:r>
      <w:r>
        <w:rPr>
          <w:rFonts w:ascii="Times New Roman" w:hAnsi="Times New Roman" w:cs="Times New Roman"/>
          <w:sz w:val="22"/>
          <w:szCs w:val="22"/>
          <w:highlight w:val="none"/>
          <w:u w:val="none"/>
        </w:rPr>
        <w:t xml:space="preserve"> and the calibrated result of the root reflection was saved as an INI file; Subsequently, a survey area layout file (PRM) was generated in Site Layout and spatial coordinates were assigned to each profile slice. Finally, a continuous underground profile was generated through the Virtual Trench module, the distribution and density of the detection points along the profile were visually displayed, the depth axis was calibrated according to the dielectric constant, color was applied by depth zone, and the image was exported at 300 dpi for result display (</w:t>
      </w:r>
      <w:r>
        <w:rPr>
          <w:rFonts w:hint="default" w:ascii="Times New Roman" w:hAnsi="Times New Roman" w:cs="Times New Roman"/>
          <w:sz w:val="22"/>
          <w:szCs w:val="22"/>
          <w:highlight w:val="none"/>
          <w:u w:val="none"/>
          <w:lang w:val="en-US"/>
        </w:rPr>
        <w:fldChar w:fldCharType="begin"/>
      </w:r>
      <w:r>
        <w:rPr>
          <w:rFonts w:hint="default" w:ascii="Times New Roman" w:hAnsi="Times New Roman" w:cs="Times New Roman"/>
          <w:sz w:val="22"/>
          <w:szCs w:val="22"/>
          <w:highlight w:val="none"/>
          <w:u w:val="none"/>
          <w:lang w:val="en-US"/>
        </w:rPr>
        <w:instrText xml:space="preserve"> REF _Ref10379 \h </w:instrText>
      </w:r>
      <w:r>
        <w:rPr>
          <w:rFonts w:hint="default" w:ascii="Times New Roman" w:hAnsi="Times New Roman" w:cs="Times New Roman"/>
          <w:sz w:val="22"/>
          <w:szCs w:val="22"/>
          <w:highlight w:val="none"/>
          <w:u w:val="none"/>
          <w:lang w:val="en-US"/>
        </w:rPr>
        <w:fldChar w:fldCharType="separate"/>
      </w:r>
      <w:r>
        <w:rPr>
          <w:rFonts w:ascii="Times New Roman" w:hAnsi="Times New Roman" w:cs="Times New Roman"/>
          <w:b/>
          <w:bCs/>
          <w:sz w:val="22"/>
          <w:szCs w:val="22"/>
          <w:highlight w:val="none"/>
          <w:u w:val="none"/>
        </w:rPr>
        <w:t>Fig. S3</w:t>
      </w:r>
      <w:r>
        <w:rPr>
          <w:rFonts w:hint="default" w:ascii="Times New Roman" w:hAnsi="Times New Roman" w:cs="Times New Roman"/>
          <w:sz w:val="22"/>
          <w:szCs w:val="22"/>
          <w:highlight w:val="none"/>
          <w:u w:val="none"/>
          <w:lang w:val="en-US"/>
        </w:rPr>
        <w:fldChar w:fldCharType="end"/>
      </w:r>
      <w:r>
        <w:rPr>
          <w:rFonts w:ascii="Times New Roman" w:hAnsi="Times New Roman" w:cs="Times New Roman"/>
          <w:sz w:val="22"/>
          <w:szCs w:val="22"/>
          <w:highlight w:val="none"/>
          <w:u w:val="none"/>
        </w:rPr>
        <w:t>).</w:t>
      </w:r>
    </w:p>
    <w:p w14:paraId="316F120C">
      <w:pPr>
        <w:spacing w:line="360" w:lineRule="auto"/>
        <w:ind w:firstLine="420"/>
        <w:rPr>
          <w:rFonts w:ascii="Times New Roman" w:hAnsi="Times New Roman" w:cs="Times New Roman"/>
          <w:sz w:val="22"/>
          <w:szCs w:val="22"/>
          <w:highlight w:val="none"/>
          <w:u w:val="none"/>
        </w:rPr>
      </w:pPr>
      <w:r>
        <w:rPr>
          <w:rFonts w:ascii="Times New Roman" w:hAnsi="Times New Roman" w:cs="Times New Roman"/>
          <w:sz w:val="22"/>
          <w:szCs w:val="22"/>
          <w:highlight w:val="none"/>
          <w:u w:val="none"/>
        </w:rPr>
        <w:drawing>
          <wp:inline distT="0" distB="0" distL="114300" distR="114300">
            <wp:extent cx="5217160" cy="2521585"/>
            <wp:effectExtent l="0" t="0" r="0" b="0"/>
            <wp:docPr id="7927908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90847"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l="1184" r="676" b="12068"/>
                    <a:stretch>
                      <a:fillRect/>
                    </a:stretch>
                  </pic:blipFill>
                  <pic:spPr>
                    <a:xfrm>
                      <a:off x="0" y="0"/>
                      <a:ext cx="5217160" cy="2521585"/>
                    </a:xfrm>
                    <a:prstGeom prst="rect">
                      <a:avLst/>
                    </a:prstGeom>
                    <a:noFill/>
                    <a:ln>
                      <a:noFill/>
                    </a:ln>
                  </pic:spPr>
                </pic:pic>
              </a:graphicData>
            </a:graphic>
          </wp:inline>
        </w:drawing>
      </w:r>
    </w:p>
    <w:p w14:paraId="2614EC14">
      <w:pPr>
        <w:pStyle w:val="3"/>
        <w:spacing w:line="360" w:lineRule="auto"/>
        <w:jc w:val="center"/>
        <w:rPr>
          <w:rFonts w:ascii="Times New Roman" w:hAnsi="Times New Roman" w:eastAsia="宋体" w:cs="Times New Roman"/>
          <w:sz w:val="22"/>
          <w:szCs w:val="22"/>
          <w:highlight w:val="none"/>
          <w:u w:val="none"/>
        </w:rPr>
      </w:pPr>
      <w:bookmarkStart w:id="2" w:name="_Ref10379"/>
      <w:r>
        <w:rPr>
          <w:rFonts w:ascii="Times New Roman" w:hAnsi="Times New Roman" w:cs="Times New Roman"/>
          <w:b/>
          <w:bCs/>
          <w:sz w:val="22"/>
          <w:szCs w:val="22"/>
          <w:highlight w:val="none"/>
          <w:u w:val="none"/>
        </w:rPr>
        <w:t>Fig. S</w:t>
      </w:r>
      <w:r>
        <w:rPr>
          <w:rFonts w:ascii="Times New Roman" w:hAnsi="Times New Roman" w:cs="Times New Roman"/>
          <w:b/>
          <w:bCs/>
          <w:sz w:val="22"/>
          <w:szCs w:val="22"/>
          <w:highlight w:val="none"/>
          <w:u w:val="none"/>
        </w:rPr>
        <w:fldChar w:fldCharType="begin"/>
      </w:r>
      <w:r>
        <w:rPr>
          <w:rFonts w:ascii="Times New Roman" w:hAnsi="Times New Roman" w:cs="Times New Roman"/>
          <w:b/>
          <w:bCs/>
          <w:sz w:val="22"/>
          <w:szCs w:val="22"/>
          <w:highlight w:val="none"/>
          <w:u w:val="none"/>
        </w:rPr>
        <w:instrText xml:space="preserve"> SEQ Fig._S \* ARABIC </w:instrText>
      </w:r>
      <w:r>
        <w:rPr>
          <w:rFonts w:ascii="Times New Roman" w:hAnsi="Times New Roman" w:cs="Times New Roman"/>
          <w:b/>
          <w:bCs/>
          <w:sz w:val="22"/>
          <w:szCs w:val="22"/>
          <w:highlight w:val="none"/>
          <w:u w:val="none"/>
        </w:rPr>
        <w:fldChar w:fldCharType="separate"/>
      </w:r>
      <w:r>
        <w:rPr>
          <w:rFonts w:ascii="Times New Roman" w:hAnsi="Times New Roman" w:cs="Times New Roman"/>
          <w:b/>
          <w:bCs/>
          <w:sz w:val="22"/>
          <w:szCs w:val="22"/>
          <w:highlight w:val="none"/>
          <w:u w:val="none"/>
        </w:rPr>
        <w:t>3</w:t>
      </w:r>
      <w:r>
        <w:rPr>
          <w:rFonts w:ascii="Times New Roman" w:hAnsi="Times New Roman" w:cs="Times New Roman"/>
          <w:b/>
          <w:bCs/>
          <w:sz w:val="22"/>
          <w:szCs w:val="22"/>
          <w:highlight w:val="none"/>
          <w:u w:val="none"/>
        </w:rPr>
        <w:fldChar w:fldCharType="end"/>
      </w:r>
      <w:bookmarkEnd w:id="2"/>
      <w:r>
        <w:rPr>
          <w:rFonts w:hint="eastAsia" w:ascii="Times New Roman" w:hAnsi="Times New Roman" w:cs="Times New Roman"/>
          <w:b/>
          <w:bCs/>
          <w:sz w:val="22"/>
          <w:szCs w:val="22"/>
          <w:highlight w:val="none"/>
          <w:u w:val="none"/>
        </w:rPr>
        <w:t xml:space="preserve"> </w:t>
      </w:r>
      <w:r>
        <w:rPr>
          <w:rFonts w:hint="eastAsia" w:ascii="Times New Roman" w:hAnsi="Times New Roman" w:eastAsia="黑体" w:cs="Times New Roman"/>
          <w:b/>
          <w:bCs/>
          <w:kern w:val="2"/>
          <w:sz w:val="22"/>
          <w:szCs w:val="22"/>
          <w:highlight w:val="none"/>
          <w:u w:val="none"/>
          <w:lang w:val="en-US" w:eastAsia="zh-CN" w:bidi="ar-SA"/>
        </w:rPr>
        <w:t>GPR</w:t>
      </w:r>
      <w:r>
        <w:rPr>
          <w:rFonts w:ascii="Times New Roman" w:hAnsi="Times New Roman" w:eastAsia="黑体" w:cs="Times New Roman"/>
          <w:b/>
          <w:bCs/>
          <w:kern w:val="2"/>
          <w:sz w:val="22"/>
          <w:szCs w:val="22"/>
          <w:highlight w:val="none"/>
          <w:u w:val="none"/>
          <w:lang w:val="en-US" w:eastAsia="zh-CN" w:bidi="ar-SA"/>
        </w:rPr>
        <w:t xml:space="preserve"> </w:t>
      </w:r>
      <w:r>
        <w:rPr>
          <w:rFonts w:hint="eastAsia" w:ascii="Times New Roman" w:hAnsi="Times New Roman" w:eastAsia="黑体" w:cs="Times New Roman"/>
          <w:b/>
          <w:bCs/>
          <w:kern w:val="2"/>
          <w:sz w:val="22"/>
          <w:szCs w:val="22"/>
          <w:highlight w:val="none"/>
          <w:u w:val="none"/>
          <w:lang w:val="en-US" w:eastAsia="zh-CN" w:bidi="ar-SA"/>
        </w:rPr>
        <w:t>d</w:t>
      </w:r>
      <w:r>
        <w:rPr>
          <w:rFonts w:ascii="Times New Roman" w:hAnsi="Times New Roman" w:eastAsia="黑体" w:cs="Times New Roman"/>
          <w:b/>
          <w:bCs/>
          <w:kern w:val="2"/>
          <w:sz w:val="22"/>
          <w:szCs w:val="22"/>
          <w:highlight w:val="none"/>
          <w:u w:val="none"/>
          <w:lang w:val="en-US" w:eastAsia="zh-CN" w:bidi="ar-SA"/>
        </w:rPr>
        <w:t xml:space="preserve">etection </w:t>
      </w:r>
      <w:r>
        <w:rPr>
          <w:rFonts w:hint="eastAsia" w:ascii="Times New Roman" w:hAnsi="Times New Roman" w:eastAsia="黑体" w:cs="Times New Roman"/>
          <w:b/>
          <w:bCs/>
          <w:kern w:val="2"/>
          <w:sz w:val="22"/>
          <w:szCs w:val="22"/>
          <w:highlight w:val="none"/>
          <w:u w:val="none"/>
          <w:lang w:val="en-US" w:eastAsia="zh-CN" w:bidi="ar-SA"/>
        </w:rPr>
        <w:t>vi</w:t>
      </w:r>
      <w:bookmarkStart w:id="3" w:name="_GoBack"/>
      <w:bookmarkEnd w:id="3"/>
      <w:r>
        <w:rPr>
          <w:rFonts w:hint="eastAsia" w:ascii="Times New Roman" w:hAnsi="Times New Roman" w:eastAsia="黑体" w:cs="Times New Roman"/>
          <w:b/>
          <w:bCs/>
          <w:kern w:val="2"/>
          <w:sz w:val="22"/>
          <w:szCs w:val="22"/>
          <w:highlight w:val="none"/>
          <w:u w:val="none"/>
          <w:lang w:val="en-US" w:eastAsia="zh-CN" w:bidi="ar-SA"/>
        </w:rPr>
        <w:t>sualization</w:t>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645639"/>
    <w:multiLevelType w:val="singleLevel"/>
    <w:tmpl w:val="AA645639"/>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6E1"/>
    <w:rsid w:val="00021F6D"/>
    <w:rsid w:val="00024E49"/>
    <w:rsid w:val="0002713F"/>
    <w:rsid w:val="000757EE"/>
    <w:rsid w:val="000875C1"/>
    <w:rsid w:val="000D3DD1"/>
    <w:rsid w:val="001F7CF4"/>
    <w:rsid w:val="002C4E76"/>
    <w:rsid w:val="00380AB4"/>
    <w:rsid w:val="00405280"/>
    <w:rsid w:val="00481217"/>
    <w:rsid w:val="004A6AEC"/>
    <w:rsid w:val="004D6A62"/>
    <w:rsid w:val="005016CB"/>
    <w:rsid w:val="00520E76"/>
    <w:rsid w:val="005E33F2"/>
    <w:rsid w:val="006130A2"/>
    <w:rsid w:val="0063322E"/>
    <w:rsid w:val="007B3C76"/>
    <w:rsid w:val="008466C1"/>
    <w:rsid w:val="008A3271"/>
    <w:rsid w:val="008C22D3"/>
    <w:rsid w:val="008E6C34"/>
    <w:rsid w:val="00945CFE"/>
    <w:rsid w:val="00957A0E"/>
    <w:rsid w:val="009A01F1"/>
    <w:rsid w:val="00A03B83"/>
    <w:rsid w:val="00B542F3"/>
    <w:rsid w:val="00C35631"/>
    <w:rsid w:val="00C756E1"/>
    <w:rsid w:val="00D07569"/>
    <w:rsid w:val="00D825E0"/>
    <w:rsid w:val="01CA4340"/>
    <w:rsid w:val="04415724"/>
    <w:rsid w:val="04D952F3"/>
    <w:rsid w:val="0BF52FA0"/>
    <w:rsid w:val="11BC5A11"/>
    <w:rsid w:val="1B235058"/>
    <w:rsid w:val="1DF640A6"/>
    <w:rsid w:val="1F9D659A"/>
    <w:rsid w:val="215F7D83"/>
    <w:rsid w:val="2273425D"/>
    <w:rsid w:val="2E1975A2"/>
    <w:rsid w:val="37971BCD"/>
    <w:rsid w:val="40722652"/>
    <w:rsid w:val="45230F44"/>
    <w:rsid w:val="4579486D"/>
    <w:rsid w:val="476B105D"/>
    <w:rsid w:val="487F0BF6"/>
    <w:rsid w:val="52663923"/>
    <w:rsid w:val="5AF01470"/>
    <w:rsid w:val="610473D4"/>
    <w:rsid w:val="7F700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semiHidden/>
    <w:unhideWhenUsed/>
    <w:qFormat/>
    <w:uiPriority w:val="0"/>
    <w:rPr>
      <w:rFonts w:ascii="Arial" w:hAnsi="Arial" w:eastAsia="黑体"/>
      <w:sz w:val="20"/>
    </w:rPr>
  </w:style>
  <w:style w:type="paragraph" w:styleId="4">
    <w:name w:val="annotation text"/>
    <w:basedOn w:val="1"/>
    <w:qFormat/>
    <w:uiPriority w:val="0"/>
    <w:pPr>
      <w:jc w:val="left"/>
    </w:p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tabs>
        <w:tab w:val="center" w:pos="4153"/>
        <w:tab w:val="right" w:pos="8306"/>
      </w:tabs>
      <w:snapToGrid w:val="0"/>
      <w:jc w:val="center"/>
    </w:pPr>
    <w:rPr>
      <w:sz w:val="18"/>
      <w:szCs w:val="18"/>
    </w:rPr>
  </w:style>
  <w:style w:type="character" w:styleId="9">
    <w:name w:val="line number"/>
    <w:basedOn w:val="8"/>
    <w:qFormat/>
    <w:uiPriority w:val="0"/>
  </w:style>
  <w:style w:type="character" w:styleId="10">
    <w:name w:val="annotation reference"/>
    <w:basedOn w:val="8"/>
    <w:qFormat/>
    <w:uiPriority w:val="0"/>
    <w:rPr>
      <w:sz w:val="21"/>
      <w:szCs w:val="21"/>
    </w:rPr>
  </w:style>
  <w:style w:type="character" w:customStyle="1" w:styleId="11">
    <w:name w:val="页眉 字符"/>
    <w:basedOn w:val="8"/>
    <w:link w:val="6"/>
    <w:qFormat/>
    <w:uiPriority w:val="0"/>
    <w:rPr>
      <w:rFonts w:asciiTheme="minorHAnsi" w:hAnsiTheme="minorHAnsi" w:eastAsiaTheme="minorEastAsia" w:cstheme="minorBidi"/>
      <w:kern w:val="2"/>
      <w:sz w:val="18"/>
      <w:szCs w:val="18"/>
    </w:rPr>
  </w:style>
  <w:style w:type="character" w:customStyle="1" w:styleId="12">
    <w:name w:val="页脚 字符"/>
    <w:basedOn w:val="8"/>
    <w:link w:val="5"/>
    <w:qFormat/>
    <w:uiPriority w:val="0"/>
    <w:rPr>
      <w:rFonts w:asciiTheme="minorHAnsi" w:hAnsiTheme="minorHAnsi" w:eastAsiaTheme="minorEastAsia" w:cstheme="minorBidi"/>
      <w:kern w:val="2"/>
      <w:sz w:val="18"/>
      <w:szCs w:val="18"/>
    </w:rPr>
  </w:style>
  <w:style w:type="paragraph" w:styleId="1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7a3f04612bbc417b8a62c675012b1288</errorID>
      <errorWord>follow</errorWord>
      <group>L1_English</group>
      <groupName>英文问题</groupName>
      <ability>L2_EnglishGrammar</ability>
      <abilityName>英文语法检查</abilityName>
      <candidateList>
        <item>followed</item>
      </candidateList>
      <explain>此处疑似动词时态使用不当，建议将follow修改为followed</explain>
      <paraID>76A1A4D4</paraID>
      <start>770</start>
      <end>778</end>
      <status>modified</status>
      <modifiedWord>followed</modifiedWord>
      <trackRevisions>false</trackRevisions>
    </reviewItem>
    <reviewItem>
      <errorID>b31136c2c3c54c8795bfa4034da19344</errorID>
      <errorWord>900MHz</errorWord>
      <group>L1_English</group>
      <groupName>英文问题</groupName>
      <ability>L2_EnglishGrammar</ability>
      <abilityName>英文语法检查</abilityName>
      <candidateList>
        <item>900 MHz</item>
      </candidateList>
      <explain>疑似单词空格书写不规范，建议将900MHz修改为900 MHz</explain>
      <paraID>3EA4C116</paraID>
      <start>13</start>
      <end>20</end>
      <status>modified</status>
      <modifiedWord>900 MHz</modifiedWord>
      <trackRevisions>false</trackRevisions>
    </reviewItem>
    <reviewItem>
      <errorID>b0e4c56681fc4914aa90dbb3f59084d0</errorID>
      <errorWord>0.30</errorWord>
      <group>L1_Punc</group>
      <groupName>标点问题</groupName>
      <ability>L2_Punc</ability>
      <abilityName>标点符号检查</abilityName>
      <candidateList>
        <item>0.30 </item>
      </candidateList>
      <explain>此处疑似有空格缺失，建议将0.30修改为0.30 </explain>
      <paraID>3EA4C116</paraID>
      <start>508</start>
      <end>513</end>
      <status>modified</status>
      <modifiedWord>0.30 </modifiedWord>
      <trackRevisions>false</trackRevisions>
    </reviewItem>
    <reviewItem>
      <errorID>f9f3bfe256e14be6b841dcea03664a6a</errorID>
      <errorWord>humid</errorWord>
      <group>L1_English</group>
      <groupName>英文问题</groupName>
      <ability>L2_EnglishGrammar</ability>
      <abilityName>英文语法检查</abilityName>
      <candidateList>
        <item>humidity</item>
      </candidateList>
      <explain>疑似单词形态使用不当，建议将humid修改为humidity</explain>
      <paraID>51904767</paraID>
      <start>15</start>
      <end>23</end>
      <status>modified</status>
      <modifiedWord>humidity</modifiedWord>
      <trackRevisions>false</trackRevisions>
    </reviewItem>
    <reviewItem>
      <errorID>eabbbfa5d9814c48a344a25a2c01d768</errorID>
      <errorWord>wall</errorWord>
      <group>L1_English</group>
      <groupName>英文问题</groupName>
      <ability>L2_EnglishGrammar</ability>
      <abilityName>英文语法检查</abilityName>
      <candidateList>
        <item>walls</item>
      </candidateList>
      <explain>疑似名词单复数使用错误，建议将wall修改为walls</explain>
      <paraID>51904767</paraID>
      <start>71</start>
      <end>75</end>
      <status>unmodified</status>
      <modifiedWord/>
      <trackRevisions>false</trackRevisions>
    </reviewItem>
    <reviewItem>
      <errorID>d784aaa029dd4d9d81a1828b0b5a9053</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51904767</paraID>
      <start>531</start>
      <end>532</end>
      <status>modified</status>
      <modifiedWord>"</modifiedWord>
      <trackRevisions>false</trackRevisions>
    </reviewItem>
    <reviewItem>
      <errorID>887375ab510641b0911fad5300a09e3b</errorID>
      <errorWord>”</errorWord>
      <group>L1_Format</group>
      <groupName>格式问题</groupName>
      <ability>L2_HalfPunc</ability>
      <abilityName>全半角检查</abilityName>
      <candidateList>
        <item>"</item>
      </candidateList>
      <explain>此处疑似使用的全角符号，建议将其修改为半角符号，规范书写格式</explain>
      <paraID>51904767</paraID>
      <start>555</start>
      <end>556</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f02695c-edf4-4ffe-81b6-827a5b3464ec}">
  <ds:schemaRefs/>
</ds:datastoreItem>
</file>

<file path=docProps/app.xml><?xml version="1.0" encoding="utf-8"?>
<Properties xmlns="http://schemas.openxmlformats.org/officeDocument/2006/extended-properties" xmlns:vt="http://schemas.openxmlformats.org/officeDocument/2006/docPropsVTypes">
  <Template>Normal</Template>
  <Pages>4</Pages>
  <Words>944</Words>
  <Characters>5494</Characters>
  <Lines>46</Lines>
  <Paragraphs>13</Paragraphs>
  <TotalTime>0</TotalTime>
  <ScaleCrop>false</ScaleCrop>
  <LinksUpToDate>false</LinksUpToDate>
  <CharactersWithSpaces>6427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2026-01-01T02:50:00Z</dcterms:created>
  <dc:creator>Administrator</dc:creator>
  <cp:lastModifiedBy>陈鲁(2024316013)</cp:lastModifiedBy>
  <cp:lastPrinted>2026-01-29T09:02:00Z</cp:lastPrinted>
  <dcterms:modified xsi:type="dcterms:W3CDTF">2026-02-16T04:04:00Z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eyJoZGlkIjoiY2Y3ZTc4OTExNjQwODU4MDU2YzEwMGRlYWEyZTNmZDMiLCJ1c2VySWQiOiIxNzUyNjkxMDg3In0=</vt:lpwstr>
  </property>
  <property fmtid="{D5CDD505-2E9C-101B-9397-08002B2CF9AE}" pid="4" name="ICV">
    <vt:lpwstr>80DABDD9C0554C519166608D27026B26_13</vt:lpwstr>
  </property>
</Properties>
</file>