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9FB07" w14:textId="77777777" w:rsidR="00C2338B" w:rsidRPr="00CE597B" w:rsidRDefault="00C2338B" w:rsidP="00C2338B">
      <w:pPr>
        <w:autoSpaceDE w:val="0"/>
        <w:autoSpaceDN w:val="0"/>
        <w:adjustRightInd w:val="0"/>
        <w:rPr>
          <w:rFonts w:ascii="Times New Roman" w:eastAsia="ACaslonPro-Regular" w:hAnsi="Times New Roman" w:cs="Times New Roman"/>
          <w:b/>
          <w:color w:val="000000" w:themeColor="text1"/>
          <w:kern w:val="0"/>
          <w:szCs w:val="24"/>
        </w:rPr>
      </w:pPr>
      <w:bookmarkStart w:id="0" w:name="_Hlk124771903"/>
      <w:r w:rsidRPr="00CE597B">
        <w:rPr>
          <w:rFonts w:ascii="Times New Roman" w:hAnsi="Times New Roman" w:cs="Times New Roman"/>
          <w:b/>
          <w:color w:val="000000" w:themeColor="text1"/>
          <w:szCs w:val="24"/>
        </w:rPr>
        <w:t>Table 3.</w:t>
      </w:r>
      <w:r w:rsidRPr="00CE597B">
        <w:rPr>
          <w:rFonts w:ascii="Times New Roman" w:eastAsia="TimesNewRomanPSMT" w:hAnsi="Times New Roman" w:cs="Times New Roman"/>
          <w:b/>
          <w:color w:val="000000" w:themeColor="text1"/>
          <w:kern w:val="0"/>
          <w:szCs w:val="20"/>
        </w:rPr>
        <w:t xml:space="preserve"> </w:t>
      </w:r>
      <w:r w:rsidRPr="00CE597B">
        <w:rPr>
          <w:rFonts w:ascii="Times New Roman" w:hAnsi="Times New Roman" w:cs="Times New Roman"/>
          <w:b/>
          <w:color w:val="000000" w:themeColor="text1"/>
          <w:kern w:val="0"/>
          <w:szCs w:val="24"/>
        </w:rPr>
        <w:t xml:space="preserve">Association of Comorbidities and Concurrent </w:t>
      </w:r>
      <w:r w:rsidRPr="00CE597B">
        <w:rPr>
          <w:rFonts w:ascii="Times New Roman" w:eastAsia="ACaslonPro-Regular" w:hAnsi="Times New Roman" w:cs="Times New Roman"/>
          <w:b/>
          <w:color w:val="000000" w:themeColor="text1"/>
          <w:kern w:val="0"/>
          <w:szCs w:val="24"/>
        </w:rPr>
        <w:t xml:space="preserve">Medications with </w:t>
      </w:r>
      <w:r w:rsidRPr="00CE597B">
        <w:rPr>
          <w:rFonts w:ascii="Times New Roman" w:hAnsi="Times New Roman" w:cs="Times New Roman"/>
          <w:b/>
          <w:color w:val="000000" w:themeColor="text1"/>
          <w:kern w:val="0"/>
          <w:szCs w:val="24"/>
        </w:rPr>
        <w:t>HCC Risk</w:t>
      </w:r>
    </w:p>
    <w:tbl>
      <w:tblPr>
        <w:tblW w:w="1119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0"/>
        <w:gridCol w:w="1021"/>
        <w:gridCol w:w="1196"/>
        <w:gridCol w:w="1021"/>
        <w:gridCol w:w="1126"/>
        <w:gridCol w:w="4364"/>
      </w:tblGrid>
      <w:tr w:rsidR="00C2338B" w:rsidRPr="00CE597B" w14:paraId="5DA4F1F3" w14:textId="77777777" w:rsidTr="00922621">
        <w:trPr>
          <w:trHeight w:val="260"/>
          <w:jc w:val="center"/>
        </w:trPr>
        <w:tc>
          <w:tcPr>
            <w:tcW w:w="2470" w:type="dxa"/>
            <w:vMerge w:val="restart"/>
            <w:tcBorders>
              <w:top w:val="single" w:sz="4" w:space="0" w:color="auto"/>
            </w:tcBorders>
          </w:tcPr>
          <w:p w14:paraId="58F01F92" w14:textId="77777777" w:rsidR="00C2338B" w:rsidRPr="00CE597B" w:rsidRDefault="00C2338B" w:rsidP="00922621">
            <w:pPr>
              <w:snapToGri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728" w:type="dxa"/>
            <w:gridSpan w:val="5"/>
            <w:vAlign w:val="center"/>
          </w:tcPr>
          <w:p w14:paraId="0EF810B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HCV</w:t>
            </w:r>
          </w:p>
        </w:tc>
      </w:tr>
      <w:tr w:rsidR="00C2338B" w:rsidRPr="00CE597B" w14:paraId="7F8F09FC" w14:textId="77777777" w:rsidTr="00922621">
        <w:trPr>
          <w:trHeight w:val="260"/>
          <w:jc w:val="center"/>
        </w:trPr>
        <w:tc>
          <w:tcPr>
            <w:tcW w:w="2470" w:type="dxa"/>
            <w:vMerge/>
          </w:tcPr>
          <w:p w14:paraId="1BE2D218" w14:textId="77777777" w:rsidR="00C2338B" w:rsidRPr="00CE597B" w:rsidRDefault="00C2338B" w:rsidP="00922621">
            <w:pPr>
              <w:snapToGri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217" w:type="dxa"/>
            <w:gridSpan w:val="2"/>
            <w:vAlign w:val="center"/>
          </w:tcPr>
          <w:p w14:paraId="67A29BE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Univariate model</w:t>
            </w:r>
          </w:p>
        </w:tc>
        <w:tc>
          <w:tcPr>
            <w:tcW w:w="2147" w:type="dxa"/>
            <w:gridSpan w:val="2"/>
            <w:vAlign w:val="center"/>
          </w:tcPr>
          <w:p w14:paraId="6443440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Multivariate model 1</w:t>
            </w: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4364" w:type="dxa"/>
            <w:vMerge w:val="restart"/>
            <w:vAlign w:val="center"/>
          </w:tcPr>
          <w:p w14:paraId="0394D3D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Forest plot</w:t>
            </w:r>
          </w:p>
        </w:tc>
      </w:tr>
      <w:tr w:rsidR="00C2338B" w:rsidRPr="00CE597B" w14:paraId="10D1AB20" w14:textId="77777777" w:rsidTr="00922621">
        <w:trPr>
          <w:trHeight w:val="260"/>
          <w:jc w:val="center"/>
        </w:trPr>
        <w:tc>
          <w:tcPr>
            <w:tcW w:w="2470" w:type="dxa"/>
            <w:vMerge/>
            <w:tcBorders>
              <w:bottom w:val="single" w:sz="4" w:space="0" w:color="auto"/>
            </w:tcBorders>
          </w:tcPr>
          <w:p w14:paraId="2D7EFB90" w14:textId="77777777" w:rsidR="00C2338B" w:rsidRPr="00CE597B" w:rsidRDefault="00C2338B" w:rsidP="00922621">
            <w:pPr>
              <w:snapToGri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vAlign w:val="center"/>
          </w:tcPr>
          <w:p w14:paraId="7B85964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Crude HR</w:t>
            </w:r>
          </w:p>
        </w:tc>
        <w:tc>
          <w:tcPr>
            <w:tcW w:w="1196" w:type="dxa"/>
            <w:vAlign w:val="center"/>
          </w:tcPr>
          <w:p w14:paraId="4EE23EB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021" w:type="dxa"/>
            <w:vAlign w:val="center"/>
          </w:tcPr>
          <w:p w14:paraId="588DADB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Adjusted HR</w:t>
            </w:r>
          </w:p>
        </w:tc>
        <w:tc>
          <w:tcPr>
            <w:tcW w:w="1126" w:type="dxa"/>
            <w:vAlign w:val="center"/>
          </w:tcPr>
          <w:p w14:paraId="4E4DB27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4364" w:type="dxa"/>
            <w:vMerge/>
          </w:tcPr>
          <w:p w14:paraId="15C3BA6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5E5AC0F1" w14:textId="77777777" w:rsidTr="00922621">
        <w:tblPrEx>
          <w:tblCellMar>
            <w:left w:w="28" w:type="dxa"/>
            <w:right w:w="28" w:type="dxa"/>
          </w:tblCellMar>
        </w:tblPrEx>
        <w:trPr>
          <w:trHeight w:val="260"/>
          <w:jc w:val="center"/>
        </w:trPr>
        <w:tc>
          <w:tcPr>
            <w:tcW w:w="2470" w:type="dxa"/>
            <w:tcBorders>
              <w:top w:val="single" w:sz="4" w:space="0" w:color="auto"/>
              <w:bottom w:val="nil"/>
            </w:tcBorders>
            <w:vAlign w:val="center"/>
          </w:tcPr>
          <w:p w14:paraId="569EB195" w14:textId="77777777" w:rsidR="00C2338B" w:rsidRPr="00CE597B" w:rsidRDefault="00C2338B" w:rsidP="00922621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shd w:val="pct15" w:color="auto" w:fill="FFFFFF"/>
              </w:rPr>
              <w:t>HCQ Use</w:t>
            </w: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210F7B7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bottom w:val="nil"/>
            </w:tcBorders>
            <w:vAlign w:val="center"/>
          </w:tcPr>
          <w:p w14:paraId="6A016CD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bottom w:val="nil"/>
            </w:tcBorders>
            <w:vAlign w:val="center"/>
          </w:tcPr>
          <w:p w14:paraId="53BA16D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bottom w:val="nil"/>
            </w:tcBorders>
            <w:vAlign w:val="center"/>
          </w:tcPr>
          <w:p w14:paraId="250A93D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 w:val="restart"/>
          </w:tcPr>
          <w:p w14:paraId="21D75EC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noProof/>
                <w:color w:val="000000" w:themeColor="text1"/>
                <w:sz w:val="16"/>
                <w:szCs w:val="16"/>
              </w:rPr>
              <w:drawing>
                <wp:inline distT="0" distB="0" distL="0" distR="0" wp14:anchorId="2FEAACA1" wp14:editId="58ED6684">
                  <wp:extent cx="2633980" cy="7485503"/>
                  <wp:effectExtent l="0" t="0" r="13970" b="1270"/>
                  <wp:docPr id="1" name="圖表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5025C0-AECC-4E2D-A425-E35C7B83BDA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</w:tr>
      <w:tr w:rsidR="00C2338B" w:rsidRPr="00CE597B" w14:paraId="67101AA2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AA8CB8B" w14:textId="77777777" w:rsidR="00C2338B" w:rsidRPr="00CE597B" w:rsidRDefault="00C2338B" w:rsidP="00922621">
            <w:pPr>
              <w:wordWrap w:val="0"/>
              <w:adjustRightInd w:val="0"/>
              <w:snapToGrid w:val="0"/>
              <w:ind w:rightChars="71" w:right="170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Nonuser (&lt;28 cDDDs)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895863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Ref.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3B4AA2F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95B371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Ref.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B5D919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4FA77A6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E923CAD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6FDAA8CB" w14:textId="77777777" w:rsidR="00C2338B" w:rsidRPr="00CE597B" w:rsidRDefault="00C2338B" w:rsidP="00922621">
            <w:pPr>
              <w:wordWrap w:val="0"/>
              <w:adjustRightInd w:val="0"/>
              <w:snapToGrid w:val="0"/>
              <w:ind w:rightChars="71" w:right="170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User (≥28 cDDDs)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28A5BD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0F16CA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0.46–0.76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8E2ACB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0.68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3B09DFF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0.51–0.92</w:t>
            </w:r>
          </w:p>
        </w:tc>
        <w:tc>
          <w:tcPr>
            <w:tcW w:w="4364" w:type="dxa"/>
            <w:vMerge/>
          </w:tcPr>
          <w:p w14:paraId="04E133F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1242020D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B2EA56B" w14:textId="77777777" w:rsidR="00C2338B" w:rsidRPr="00CE597B" w:rsidRDefault="00C2338B" w:rsidP="00922621">
            <w:pPr>
              <w:adjustRightInd w:val="0"/>
              <w:snapToGrid w:val="0"/>
              <w:jc w:val="both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  <w:shd w:val="pct15" w:color="auto" w:fill="FFFFFF"/>
              </w:rPr>
              <w:t>Gender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78CDB4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61C511B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045EBB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57132A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12B0588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F9A2656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955649F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C01EE9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Ref.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612A237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89F709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Ref.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07AE001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3946E3B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05122E11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7BDA90E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20B42A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1.31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5508957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1.15–1.49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55C160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1.55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8C521A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1.36–1.78</w:t>
            </w:r>
          </w:p>
        </w:tc>
        <w:tc>
          <w:tcPr>
            <w:tcW w:w="4364" w:type="dxa"/>
            <w:vMerge/>
          </w:tcPr>
          <w:p w14:paraId="3DA8856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50AB8DAD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257DE266" w14:textId="77777777" w:rsidR="00C2338B" w:rsidRPr="00CE597B" w:rsidRDefault="00C2338B" w:rsidP="00922621">
            <w:pPr>
              <w:adjustRightInd w:val="0"/>
              <w:snapToGrid w:val="0"/>
              <w:jc w:val="both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  <w:shd w:val="pct15" w:color="auto" w:fill="FFFFFF"/>
              </w:rPr>
              <w:t>AGE Group (Years)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9631A9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9FF6A1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695FBB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2E7D73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4337D9C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743B2F98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6066F785" w14:textId="77777777" w:rsidR="00C2338B" w:rsidRPr="00CE597B" w:rsidRDefault="00C2338B" w:rsidP="00922621">
            <w:pPr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18–40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93282B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51CD27F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0.03–0.31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68393F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0CF2A2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0.03–0.26</w:t>
            </w:r>
          </w:p>
        </w:tc>
        <w:tc>
          <w:tcPr>
            <w:tcW w:w="4364" w:type="dxa"/>
            <w:vMerge/>
          </w:tcPr>
          <w:p w14:paraId="66916E2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37AD570D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1D9DD63A" w14:textId="77777777" w:rsidR="00C2338B" w:rsidRPr="00CE597B" w:rsidRDefault="00C2338B" w:rsidP="00922621">
            <w:pPr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41–50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B303A3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4367DA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0.31–0.59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97FBE4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0.41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04B2486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0.30–0.56</w:t>
            </w:r>
          </w:p>
        </w:tc>
        <w:tc>
          <w:tcPr>
            <w:tcW w:w="4364" w:type="dxa"/>
            <w:vMerge/>
          </w:tcPr>
          <w:p w14:paraId="4690AF9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3A4E86BA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FF158BB" w14:textId="77777777" w:rsidR="00C2338B" w:rsidRPr="00CE597B" w:rsidRDefault="00C2338B" w:rsidP="00922621">
            <w:pPr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51–60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8E5AA9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Ref.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5DCE469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D76B94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Ref.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5EAE383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5CAED5D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01A37454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71935D71" w14:textId="77777777" w:rsidR="00C2338B" w:rsidRPr="00CE597B" w:rsidRDefault="00C2338B" w:rsidP="00922621">
            <w:pPr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61–70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D74AA0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1.89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3FAB3FE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1.62–2.20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7C07D8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1.81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1E9D803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1.55–2.12</w:t>
            </w:r>
          </w:p>
        </w:tc>
        <w:tc>
          <w:tcPr>
            <w:tcW w:w="4364" w:type="dxa"/>
            <w:vMerge/>
          </w:tcPr>
          <w:p w14:paraId="1B4D5AD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2B486970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76B27C26" w14:textId="77777777" w:rsidR="00C2338B" w:rsidRPr="00CE597B" w:rsidRDefault="00C2338B" w:rsidP="00922621">
            <w:pPr>
              <w:snapToGrid w:val="0"/>
              <w:jc w:val="right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&gt;70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851C28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2.53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339FA84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2.14–2.98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F0693D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2.26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0A626AD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1.90–2.69</w:t>
            </w:r>
          </w:p>
        </w:tc>
        <w:tc>
          <w:tcPr>
            <w:tcW w:w="4364" w:type="dxa"/>
            <w:vMerge/>
          </w:tcPr>
          <w:p w14:paraId="7CAA45E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2796897D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1401C249" w14:textId="77777777" w:rsidR="00C2338B" w:rsidRPr="00CE597B" w:rsidRDefault="00C2338B" w:rsidP="00922621">
            <w:pPr>
              <w:adjustRightInd w:val="0"/>
              <w:snapToGrid w:val="0"/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  <w:shd w:val="pct15" w:color="auto" w:fill="FFFFFF"/>
              </w:rPr>
              <w:t>Comorbidity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28720C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3500EC8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F7EAB0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3974A11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4A54859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1E79B71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52555C1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Liver Cirrhosis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457A2A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6.10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108D7B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5.33–6.99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B4732A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4.79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057042D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4.16–5.52</w:t>
            </w:r>
          </w:p>
        </w:tc>
        <w:tc>
          <w:tcPr>
            <w:tcW w:w="4364" w:type="dxa"/>
            <w:vMerge/>
          </w:tcPr>
          <w:p w14:paraId="3EBFDF5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CC81ABB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D43168B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Nonalcoholic liver disease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1C499D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0.33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E4E30D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0.13–0.89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8B52F6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9E8673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1.10</w:t>
            </w:r>
          </w:p>
        </w:tc>
        <w:tc>
          <w:tcPr>
            <w:tcW w:w="4364" w:type="dxa"/>
            <w:vMerge/>
          </w:tcPr>
          <w:p w14:paraId="73CBCEC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C86315F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3B65691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Alcoholic liver disease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523E26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1.51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CB1483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2.52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82BFB5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2A55E32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0.54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1.54</w:t>
            </w:r>
          </w:p>
        </w:tc>
        <w:tc>
          <w:tcPr>
            <w:tcW w:w="4364" w:type="dxa"/>
            <w:vMerge/>
          </w:tcPr>
          <w:p w14:paraId="3BF8A2B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14BA065C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320F7E1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Hypertension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2D261E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1.42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C03D69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1.26–1.61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A4BD3E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1.21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5A0DA44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1.06–1.39</w:t>
            </w:r>
          </w:p>
        </w:tc>
        <w:tc>
          <w:tcPr>
            <w:tcW w:w="4364" w:type="dxa"/>
            <w:vMerge/>
          </w:tcPr>
          <w:p w14:paraId="586423B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10EA2A59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3F92AEB8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Chronic kidney disease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945A4A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1.07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7FC9A1E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0.80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5543C6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3B9F465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0.63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1.16</w:t>
            </w:r>
          </w:p>
        </w:tc>
        <w:tc>
          <w:tcPr>
            <w:tcW w:w="4364" w:type="dxa"/>
            <w:vMerge/>
          </w:tcPr>
          <w:p w14:paraId="685B481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0F97D3B7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2675973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Hyperlipidemia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1DF3E5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0.57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7C672D8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0.46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0.71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D498A8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2955113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0.64~1.01</w:t>
            </w:r>
          </w:p>
        </w:tc>
        <w:tc>
          <w:tcPr>
            <w:tcW w:w="4364" w:type="dxa"/>
            <w:vMerge/>
          </w:tcPr>
          <w:p w14:paraId="3F8294E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5FF6D25F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4EA1CCE0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Diabetes mellitus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03D8C7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1.71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442519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1.49–1.97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F41466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1.63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636C5D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1.40–1.89</w:t>
            </w:r>
          </w:p>
        </w:tc>
        <w:tc>
          <w:tcPr>
            <w:tcW w:w="4364" w:type="dxa"/>
            <w:vMerge/>
          </w:tcPr>
          <w:p w14:paraId="3E51B76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767C09B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1AF1776E" w14:textId="77777777" w:rsidR="00C2338B" w:rsidRPr="00CE597B" w:rsidRDefault="00C2338B" w:rsidP="00922621">
            <w:pPr>
              <w:adjustRightInd w:val="0"/>
              <w:snapToGrid w:val="0"/>
              <w:jc w:val="both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  <w:shd w:val="pct15" w:color="auto" w:fill="FFFFFF"/>
              </w:rPr>
              <w:t>Medication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C7F868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3590BD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A28EBD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5EEB4BD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03C8BF8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C5B5E67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7254E71A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Anti-histamine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E32C6C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0.51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3CFFD31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0.42–0.63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D53338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0.74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3BEC0DF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0.59–0.93</w:t>
            </w:r>
          </w:p>
        </w:tc>
        <w:tc>
          <w:tcPr>
            <w:tcW w:w="4364" w:type="dxa"/>
            <w:vMerge/>
          </w:tcPr>
          <w:p w14:paraId="69E0B3B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200C5B6A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84176FA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Non-aspirin NSAIDs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27E1B7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0.40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AF0FC2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0.32–0.50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A07108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0.60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1C12F8F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0.48–0.76</w:t>
            </w:r>
          </w:p>
        </w:tc>
        <w:tc>
          <w:tcPr>
            <w:tcW w:w="4364" w:type="dxa"/>
            <w:vMerge/>
          </w:tcPr>
          <w:p w14:paraId="1EE7073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7EDD9AE9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151BBF36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Aspirin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4833BF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0.90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99FE87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0.79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6A5FB7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0.82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8ADD79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0.72–0.94</w:t>
            </w:r>
          </w:p>
        </w:tc>
        <w:tc>
          <w:tcPr>
            <w:tcW w:w="4364" w:type="dxa"/>
            <w:vMerge/>
          </w:tcPr>
          <w:p w14:paraId="50343B8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A8DC078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168CE52B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Statins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640544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0.37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5CEED1D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0.31–0.44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0F5AE2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C25ED3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0.32–0.46</w:t>
            </w:r>
          </w:p>
        </w:tc>
        <w:tc>
          <w:tcPr>
            <w:tcW w:w="4364" w:type="dxa"/>
            <w:vMerge/>
          </w:tcPr>
          <w:p w14:paraId="560A774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AD21F60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B1D9CD9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Systemic glucocorticoids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A17283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56DC73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0.52–0.68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F7FE2D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0.66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82E40D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0.57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0.75</w:t>
            </w:r>
          </w:p>
        </w:tc>
        <w:tc>
          <w:tcPr>
            <w:tcW w:w="4364" w:type="dxa"/>
            <w:vMerge/>
          </w:tcPr>
          <w:p w14:paraId="317AB08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71E5FDB9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7A0A8FE5" w14:textId="77777777" w:rsidR="00C2338B" w:rsidRPr="00CE597B" w:rsidRDefault="00C2338B" w:rsidP="00922621">
            <w:pPr>
              <w:adjustRightInd w:val="0"/>
              <w:snapToGrid w:val="0"/>
              <w:ind w:leftChars="100" w:left="240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DMARDs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23F453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504F4717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C671DB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6AEBD69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749421E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39CD0A4B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1F439BD1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Azathioprine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FBD734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0.52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21FC0FC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1.04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DF747D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0.78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28C2CE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1.61</w:t>
            </w:r>
          </w:p>
        </w:tc>
        <w:tc>
          <w:tcPr>
            <w:tcW w:w="4364" w:type="dxa"/>
            <w:vMerge/>
          </w:tcPr>
          <w:p w14:paraId="06A3179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011E4B54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A10C48E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Cyclophosphamide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0511EE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31A666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6D7F80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653FB1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1ED58A1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A648B03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23C7BE2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Cyclosporine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569409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0.56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1DF4AF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1.26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E4AAA4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1.03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5172945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2.45</w:t>
            </w:r>
          </w:p>
        </w:tc>
        <w:tc>
          <w:tcPr>
            <w:tcW w:w="4364" w:type="dxa"/>
            <w:vMerge/>
          </w:tcPr>
          <w:p w14:paraId="33B1E32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33E6AFFD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E35DA3E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Leflunamide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302426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8BB61D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1.41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7A5FDF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0.97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160D3D7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0.28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3.33</w:t>
            </w:r>
          </w:p>
        </w:tc>
        <w:tc>
          <w:tcPr>
            <w:tcW w:w="4364" w:type="dxa"/>
            <w:vMerge/>
          </w:tcPr>
          <w:p w14:paraId="14FC737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B9C9071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33FA5E3E" w14:textId="77777777" w:rsidR="00C2338B" w:rsidRPr="00CE597B" w:rsidRDefault="00C2338B" w:rsidP="00922621">
            <w:pPr>
              <w:adjustRightInd w:val="0"/>
              <w:snapToGrid w:val="0"/>
              <w:ind w:leftChars="100" w:left="240" w:firstLineChars="100" w:firstLine="16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Methotrexate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6FE487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42FC6B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0.31–0.90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37E641A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1770825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0.46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1.60</w:t>
            </w:r>
          </w:p>
        </w:tc>
        <w:tc>
          <w:tcPr>
            <w:tcW w:w="4364" w:type="dxa"/>
            <w:vMerge/>
          </w:tcPr>
          <w:p w14:paraId="5245676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75267393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05E1777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Mycophenolate mofetil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44B716F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3EF88FF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0.19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1.85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0B7E43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09BA60D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</w:t>
            </w:r>
          </w:p>
        </w:tc>
        <w:tc>
          <w:tcPr>
            <w:tcW w:w="4364" w:type="dxa"/>
            <w:vMerge/>
          </w:tcPr>
          <w:p w14:paraId="4E2178D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1EAB870E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F2CBE92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Sulfasalazine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297BDB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0.63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22568ED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0.42–0.95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DB2BB2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CC19F7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0.68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4364" w:type="dxa"/>
            <w:vMerge/>
          </w:tcPr>
          <w:p w14:paraId="2B0FF80B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55275D42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3568DB62" w14:textId="77777777" w:rsidR="00C2338B" w:rsidRPr="00CE597B" w:rsidRDefault="00C2338B" w:rsidP="00922621">
            <w:pPr>
              <w:adjustRightInd w:val="0"/>
              <w:snapToGrid w:val="0"/>
              <w:ind w:leftChars="100" w:left="240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bDMARDs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2B51A6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48C2355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5D85EBC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5B2231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4DF8998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581FF4EE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62319F2A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TNF-α antagonist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4B4079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2993227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C9CF79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CD2E13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41183116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541C9B7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5D04236E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Rituxumab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2D00C0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2.20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26B2771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0.31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15.61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3D4CFE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5.05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639989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0.65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39.38</w:t>
            </w:r>
          </w:p>
        </w:tc>
        <w:tc>
          <w:tcPr>
            <w:tcW w:w="4364" w:type="dxa"/>
            <w:vMerge/>
          </w:tcPr>
          <w:p w14:paraId="1A9F1DAA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5820426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27E44BD9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Tofacitinib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C3E798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03CA1F7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C26F59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7DA9AE3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718DBC6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4B58200A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47E61752" w14:textId="77777777" w:rsidR="00C2338B" w:rsidRPr="00CE597B" w:rsidRDefault="00C2338B" w:rsidP="00922621">
            <w:pPr>
              <w:adjustRightInd w:val="0"/>
              <w:snapToGrid w:val="0"/>
              <w:ind w:leftChars="100" w:left="240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Antiviral agents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11985B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2B2CCBE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709621E5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A9F4002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</w:tcPr>
          <w:p w14:paraId="5A67634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0F0E1E84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0ED1EE89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Interferon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26B8BB8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17FE5DD8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0.83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1462E55D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3105D59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6.50</w:t>
            </w:r>
          </w:p>
        </w:tc>
        <w:tc>
          <w:tcPr>
            <w:tcW w:w="4364" w:type="dxa"/>
            <w:vMerge/>
          </w:tcPr>
          <w:p w14:paraId="47E09DA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559421F2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nil"/>
            </w:tcBorders>
            <w:vAlign w:val="center"/>
          </w:tcPr>
          <w:p w14:paraId="2BB55C8F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  <w:t>Ribavirin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67ACB30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</w:t>
            </w:r>
          </w:p>
        </w:tc>
        <w:tc>
          <w:tcPr>
            <w:tcW w:w="1196" w:type="dxa"/>
            <w:tcBorders>
              <w:top w:val="nil"/>
              <w:bottom w:val="nil"/>
            </w:tcBorders>
            <w:vAlign w:val="center"/>
          </w:tcPr>
          <w:p w14:paraId="675D5F59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0.83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1.19</w:t>
            </w:r>
          </w:p>
        </w:tc>
        <w:tc>
          <w:tcPr>
            <w:tcW w:w="1021" w:type="dxa"/>
            <w:tcBorders>
              <w:top w:val="nil"/>
              <w:bottom w:val="nil"/>
            </w:tcBorders>
            <w:vAlign w:val="center"/>
          </w:tcPr>
          <w:p w14:paraId="041FB59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1.19</w:t>
            </w:r>
          </w:p>
        </w:tc>
        <w:tc>
          <w:tcPr>
            <w:tcW w:w="1126" w:type="dxa"/>
            <w:tcBorders>
              <w:top w:val="nil"/>
              <w:bottom w:val="nil"/>
            </w:tcBorders>
            <w:vAlign w:val="center"/>
          </w:tcPr>
          <w:p w14:paraId="4F856C84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0.18</w:t>
            </w:r>
            <w:r w:rsidRPr="00CE597B">
              <w:rPr>
                <w:rFonts w:ascii="Times New Roman" w:eastAsia="DFKai-SB" w:hAnsi="Times New Roman" w:cs="Times New Roman"/>
                <w:b/>
                <w:color w:val="000000" w:themeColor="text1"/>
                <w:sz w:val="16"/>
                <w:szCs w:val="16"/>
              </w:rPr>
              <w:t>–</w:t>
            </w:r>
            <w:r w:rsidRPr="00CE597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7.76</w:t>
            </w:r>
          </w:p>
        </w:tc>
        <w:tc>
          <w:tcPr>
            <w:tcW w:w="4364" w:type="dxa"/>
            <w:vMerge/>
          </w:tcPr>
          <w:p w14:paraId="4CA0F2E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2338B" w:rsidRPr="00CE597B" w14:paraId="648DFC5B" w14:textId="77777777" w:rsidTr="00922621">
        <w:trPr>
          <w:trHeight w:val="260"/>
          <w:jc w:val="center"/>
        </w:trPr>
        <w:tc>
          <w:tcPr>
            <w:tcW w:w="2470" w:type="dxa"/>
            <w:tcBorders>
              <w:top w:val="nil"/>
              <w:bottom w:val="single" w:sz="4" w:space="0" w:color="auto"/>
            </w:tcBorders>
            <w:vAlign w:val="center"/>
          </w:tcPr>
          <w:p w14:paraId="2EE7356E" w14:textId="77777777" w:rsidR="00C2338B" w:rsidRPr="00CE597B" w:rsidRDefault="00C2338B" w:rsidP="00922621">
            <w:pPr>
              <w:adjustRightInd w:val="0"/>
              <w:snapToGrid w:val="0"/>
              <w:jc w:val="right"/>
              <w:rPr>
                <w:rFonts w:ascii="Times New Roman" w:eastAsia="Microsoft JhengHei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single" w:sz="4" w:space="0" w:color="auto"/>
            </w:tcBorders>
            <w:vAlign w:val="center"/>
          </w:tcPr>
          <w:p w14:paraId="76F981BE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bottom w:val="single" w:sz="4" w:space="0" w:color="auto"/>
            </w:tcBorders>
            <w:vAlign w:val="center"/>
          </w:tcPr>
          <w:p w14:paraId="5CF34C7C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bottom w:val="single" w:sz="4" w:space="0" w:color="auto"/>
            </w:tcBorders>
            <w:vAlign w:val="center"/>
          </w:tcPr>
          <w:p w14:paraId="7CCA11A0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bottom w:val="single" w:sz="4" w:space="0" w:color="auto"/>
            </w:tcBorders>
            <w:vAlign w:val="center"/>
          </w:tcPr>
          <w:p w14:paraId="6F132C7F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64" w:type="dxa"/>
            <w:vMerge/>
            <w:tcBorders>
              <w:bottom w:val="single" w:sz="4" w:space="0" w:color="auto"/>
            </w:tcBorders>
          </w:tcPr>
          <w:p w14:paraId="4D9EEA43" w14:textId="77777777" w:rsidR="00C2338B" w:rsidRPr="00CE597B" w:rsidRDefault="00C2338B" w:rsidP="00922621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</w:tbl>
    <w:p w14:paraId="28B6C37E" w14:textId="36171E1A" w:rsidR="00EB4A2D" w:rsidRDefault="00C2338B">
      <w:r w:rsidRPr="00CE597B">
        <w:rPr>
          <w:rFonts w:ascii="Times New Roman" w:hAnsi="Times New Roman" w:cs="Times New Roman"/>
          <w:color w:val="000000" w:themeColor="text1"/>
          <w:kern w:val="0"/>
          <w:sz w:val="16"/>
          <w:szCs w:val="16"/>
        </w:rPr>
        <w:t>*p &lt; 0.05, **p &lt; 0.001, ***p &lt; 0.0001, # # The multivariate model was adjusted for sex, age, comorbidity (liver cirrhosis, nonalcoholic liver disease, alcoholic liver disease, hypertension, chronic kidney disease, hyperlipidemia, and diabetes mellitus), medication (antihistamine, non-aspirin NSAIDs, aspirin, statin, systemic glucocorticoids, DMARDs, bDMARDs, and antiviral agents)</w:t>
      </w:r>
      <w:bookmarkEnd w:id="0"/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CaslonPro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NewRomanPSMT">
    <w:altName w:val="Yu Gothic U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FKai-SB">
    <w:altName w:val="Microsoft JhengHei"/>
    <w:charset w:val="88"/>
    <w:family w:val="auto"/>
    <w:pitch w:val="variable"/>
    <w:sig w:usb0="00000001" w:usb1="08080000" w:usb2="00000010" w:usb3="00000000" w:csb0="00100001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8B"/>
    <w:rsid w:val="002C7D54"/>
    <w:rsid w:val="0033371E"/>
    <w:rsid w:val="005C0D39"/>
    <w:rsid w:val="0070406C"/>
    <w:rsid w:val="00724754"/>
    <w:rsid w:val="00BA0A3F"/>
    <w:rsid w:val="00C2338B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969F9"/>
  <w15:chartTrackingRefBased/>
  <w15:docId w15:val="{ABBDFD0D-2DBB-487E-8C11-34B868110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38B"/>
    <w:pPr>
      <w:widowControl w:val="0"/>
      <w:spacing w:after="0" w:line="240" w:lineRule="auto"/>
    </w:pPr>
    <w:rPr>
      <w:rFonts w:eastAsiaTheme="minorEastAsia"/>
      <w:szCs w:val="22"/>
      <w:lang w:val="en-US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38B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38B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38B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38B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38B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38B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38B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38B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38B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3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3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3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3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3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3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3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3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3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38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33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38B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33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38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33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38B"/>
    <w:pPr>
      <w:widowControl/>
      <w:spacing w:after="160" w:line="278" w:lineRule="auto"/>
      <w:ind w:left="720"/>
      <w:contextualSpacing/>
    </w:pPr>
    <w:rPr>
      <w:rFonts w:eastAsiaTheme="minorHAns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33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38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3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3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D:/01.%20&#20581;&#20445;&#36039;&#26009;&#24235;&#20998;&#26512;/01.%20&#36914;&#34892;&#20013;/12.%20HCQ&#30332;&#29983;HCC/&#32113;&#35336;&#34389;/&#26862;&#26519;&#22294;/&#27963;&#38913;&#31807;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556959430215871"/>
          <c:y val="9.3188321768567523E-3"/>
          <c:w val="0.80940629769398398"/>
          <c:h val="0.95385431334147364"/>
        </c:manualLayout>
      </c:layout>
      <c:scatterChart>
        <c:scatterStyle val="lineMarker"/>
        <c:varyColors val="0"/>
        <c:ser>
          <c:idx val="0"/>
          <c:order val="0"/>
          <c:tx>
            <c:strRef>
              <c:f>'HCV YN'!$E$1</c:f>
              <c:strCache>
                <c:ptCount val="1"/>
                <c:pt idx="0">
                  <c:v>編號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0"/>
            <c:plus>
              <c:numRef>
                <c:f>'HCV YN'!$F$2:$F$46</c:f>
                <c:numCache>
                  <c:formatCode>General</c:formatCode>
                  <c:ptCount val="45"/>
                  <c:pt idx="2">
                    <c:v>0.23499999999999999</c:v>
                  </c:pt>
                  <c:pt idx="5">
                    <c:v>0.22299999999999986</c:v>
                  </c:pt>
                  <c:pt idx="7">
                    <c:v>0.17799999999999999</c:v>
                  </c:pt>
                  <c:pt idx="8">
                    <c:v>0.15100000000000002</c:v>
                  </c:pt>
                  <c:pt idx="10">
                    <c:v>0.30900000000000016</c:v>
                  </c:pt>
                  <c:pt idx="11">
                    <c:v>0.43199999999999994</c:v>
                  </c:pt>
                  <c:pt idx="13">
                    <c:v>0.72500000000000053</c:v>
                  </c:pt>
                  <c:pt idx="14">
                    <c:v>0.68799999999999994</c:v>
                  </c:pt>
                  <c:pt idx="15">
                    <c:v>0.62299999999999989</c:v>
                  </c:pt>
                  <c:pt idx="16">
                    <c:v>0.17399999999999993</c:v>
                  </c:pt>
                  <c:pt idx="17">
                    <c:v>0.30199999999999994</c:v>
                  </c:pt>
                  <c:pt idx="18">
                    <c:v>0.20399999999999985</c:v>
                  </c:pt>
                  <c:pt idx="19">
                    <c:v>0.25900000000000012</c:v>
                  </c:pt>
                  <c:pt idx="21">
                    <c:v>0.18800000000000006</c:v>
                  </c:pt>
                  <c:pt idx="22">
                    <c:v>0.15400000000000003</c:v>
                  </c:pt>
                  <c:pt idx="23">
                    <c:v>0.11899999999999999</c:v>
                  </c:pt>
                  <c:pt idx="24">
                    <c:v>7.9000000000000015E-2</c:v>
                  </c:pt>
                  <c:pt idx="25">
                    <c:v>9.6999999999999975E-2</c:v>
                  </c:pt>
                  <c:pt idx="27">
                    <c:v>0.82799999999999996</c:v>
                  </c:pt>
                  <c:pt idx="28">
                    <c:v>0</c:v>
                  </c:pt>
                  <c:pt idx="29">
                    <c:v>1.4150000000000003</c:v>
                  </c:pt>
                  <c:pt idx="30">
                    <c:v>2.3610000000000002</c:v>
                  </c:pt>
                  <c:pt idx="31">
                    <c:v>0.74099999999999999</c:v>
                  </c:pt>
                  <c:pt idx="32">
                    <c:v>0.72799999999999998</c:v>
                  </c:pt>
                  <c:pt idx="33">
                    <c:v>0.69299999999999984</c:v>
                  </c:pt>
                  <c:pt idx="36">
                    <c:v>34.335000000000001</c:v>
                  </c:pt>
                  <c:pt idx="39">
                    <c:v>5.5019999999999998</c:v>
                  </c:pt>
                  <c:pt idx="40">
                    <c:v>6.5640000000000001</c:v>
                  </c:pt>
                </c:numCache>
              </c:numRef>
            </c:plus>
            <c:minus>
              <c:numRef>
                <c:f>'HCV YN'!$G$2:$G$46</c:f>
                <c:numCache>
                  <c:formatCode>General</c:formatCode>
                  <c:ptCount val="45"/>
                  <c:pt idx="2">
                    <c:v>0.17500000000000004</c:v>
                  </c:pt>
                  <c:pt idx="5">
                    <c:v>0.19399999999999995</c:v>
                  </c:pt>
                  <c:pt idx="7">
                    <c:v>5.6000000000000008E-2</c:v>
                  </c:pt>
                  <c:pt idx="8">
                    <c:v>0.11000000000000004</c:v>
                  </c:pt>
                  <c:pt idx="10">
                    <c:v>0.26400000000000001</c:v>
                  </c:pt>
                  <c:pt idx="11">
                    <c:v>0.3620000000000001</c:v>
                  </c:pt>
                  <c:pt idx="13">
                    <c:v>0.63099999999999934</c:v>
                  </c:pt>
                  <c:pt idx="14">
                    <c:v>0.25700000000000001</c:v>
                  </c:pt>
                  <c:pt idx="15">
                    <c:v>0.37</c:v>
                  </c:pt>
                  <c:pt idx="16">
                    <c:v>0.15300000000000002</c:v>
                  </c:pt>
                  <c:pt idx="17">
                    <c:v>0.22299999999999998</c:v>
                  </c:pt>
                  <c:pt idx="18">
                    <c:v>0.16300000000000003</c:v>
                  </c:pt>
                  <c:pt idx="19">
                    <c:v>0.22399999999999998</c:v>
                  </c:pt>
                  <c:pt idx="21">
                    <c:v>0.14900000000000002</c:v>
                  </c:pt>
                  <c:pt idx="22">
                    <c:v>0.123</c:v>
                  </c:pt>
                  <c:pt idx="23">
                    <c:v>0.10399999999999998</c:v>
                  </c:pt>
                  <c:pt idx="24">
                    <c:v>6.4000000000000001E-2</c:v>
                  </c:pt>
                  <c:pt idx="25">
                    <c:v>8.5000000000000075E-2</c:v>
                  </c:pt>
                  <c:pt idx="27">
                    <c:v>0.40100000000000002</c:v>
                  </c:pt>
                  <c:pt idx="28">
                    <c:v>0</c:v>
                  </c:pt>
                  <c:pt idx="29">
                    <c:v>0.59699999999999998</c:v>
                  </c:pt>
                  <c:pt idx="30">
                    <c:v>0.68700000000000006</c:v>
                  </c:pt>
                  <c:pt idx="31">
                    <c:v>0.39699999999999996</c:v>
                  </c:pt>
                  <c:pt idx="32">
                    <c:v>0.22900000000000004</c:v>
                  </c:pt>
                  <c:pt idx="33">
                    <c:v>0.42700000000000005</c:v>
                  </c:pt>
                  <c:pt idx="36">
                    <c:v>4.399</c:v>
                  </c:pt>
                  <c:pt idx="39">
                    <c:v>0.84399999999999997</c:v>
                  </c:pt>
                  <c:pt idx="40">
                    <c:v>1.008</c:v>
                  </c:pt>
                </c:numCache>
              </c:numRef>
            </c:minus>
            <c:spPr>
              <a:noFill/>
              <a:ln w="9525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'HCV YN'!$B$2:$B$46</c:f>
              <c:numCache>
                <c:formatCode>General</c:formatCode>
                <c:ptCount val="45"/>
                <c:pt idx="2">
                  <c:v>0.68300000000000005</c:v>
                </c:pt>
                <c:pt idx="5">
                  <c:v>1.552</c:v>
                </c:pt>
                <c:pt idx="7">
                  <c:v>8.3000000000000004E-2</c:v>
                </c:pt>
                <c:pt idx="8">
                  <c:v>0.40600000000000003</c:v>
                </c:pt>
                <c:pt idx="10">
                  <c:v>1.8140000000000001</c:v>
                </c:pt>
                <c:pt idx="11">
                  <c:v>2.258</c:v>
                </c:pt>
                <c:pt idx="13">
                  <c:v>4.7939999999999996</c:v>
                </c:pt>
                <c:pt idx="14">
                  <c:v>0.41099999999999998</c:v>
                </c:pt>
                <c:pt idx="15">
                  <c:v>0.91400000000000003</c:v>
                </c:pt>
                <c:pt idx="16">
                  <c:v>1.2130000000000001</c:v>
                </c:pt>
                <c:pt idx="17">
                  <c:v>0.85599999999999998</c:v>
                </c:pt>
                <c:pt idx="18">
                  <c:v>0.80500000000000005</c:v>
                </c:pt>
                <c:pt idx="19">
                  <c:v>1.6259999999999999</c:v>
                </c:pt>
                <c:pt idx="21">
                  <c:v>0.74199999999999999</c:v>
                </c:pt>
                <c:pt idx="22">
                  <c:v>0.6</c:v>
                </c:pt>
                <c:pt idx="23">
                  <c:v>0.82099999999999995</c:v>
                </c:pt>
                <c:pt idx="24">
                  <c:v>0.38</c:v>
                </c:pt>
                <c:pt idx="25">
                  <c:v>0.65600000000000003</c:v>
                </c:pt>
                <c:pt idx="27">
                  <c:v>0.77900000000000003</c:v>
                </c:pt>
                <c:pt idx="29">
                  <c:v>1.0309999999999999</c:v>
                </c:pt>
                <c:pt idx="30">
                  <c:v>0.96899999999999997</c:v>
                </c:pt>
                <c:pt idx="31">
                  <c:v>0.85599999999999998</c:v>
                </c:pt>
                <c:pt idx="32">
                  <c:v>0.33400000000000002</c:v>
                </c:pt>
                <c:pt idx="33">
                  <c:v>1.1080000000000001</c:v>
                </c:pt>
                <c:pt idx="36">
                  <c:v>5.0460000000000003</c:v>
                </c:pt>
                <c:pt idx="39">
                  <c:v>0.997</c:v>
                </c:pt>
                <c:pt idx="40">
                  <c:v>1.1910000000000001</c:v>
                </c:pt>
              </c:numCache>
            </c:numRef>
          </c:xVal>
          <c:yVal>
            <c:numRef>
              <c:f>'HCV YN'!$E$2:$E$42</c:f>
              <c:numCache>
                <c:formatCode>General</c:formatCode>
                <c:ptCount val="41"/>
                <c:pt idx="0">
                  <c:v>41</c:v>
                </c:pt>
                <c:pt idx="1">
                  <c:v>40</c:v>
                </c:pt>
                <c:pt idx="2">
                  <c:v>39</c:v>
                </c:pt>
                <c:pt idx="3">
                  <c:v>38</c:v>
                </c:pt>
                <c:pt idx="4">
                  <c:v>37</c:v>
                </c:pt>
                <c:pt idx="5">
                  <c:v>36</c:v>
                </c:pt>
                <c:pt idx="6">
                  <c:v>35</c:v>
                </c:pt>
                <c:pt idx="7">
                  <c:v>34</c:v>
                </c:pt>
                <c:pt idx="8">
                  <c:v>33</c:v>
                </c:pt>
                <c:pt idx="9">
                  <c:v>32</c:v>
                </c:pt>
                <c:pt idx="10">
                  <c:v>31</c:v>
                </c:pt>
                <c:pt idx="11">
                  <c:v>30</c:v>
                </c:pt>
                <c:pt idx="12">
                  <c:v>29</c:v>
                </c:pt>
                <c:pt idx="13">
                  <c:v>28</c:v>
                </c:pt>
                <c:pt idx="14">
                  <c:v>27</c:v>
                </c:pt>
                <c:pt idx="15">
                  <c:v>26</c:v>
                </c:pt>
                <c:pt idx="16">
                  <c:v>25</c:v>
                </c:pt>
                <c:pt idx="17">
                  <c:v>24</c:v>
                </c:pt>
                <c:pt idx="18">
                  <c:v>23</c:v>
                </c:pt>
                <c:pt idx="19">
                  <c:v>22</c:v>
                </c:pt>
                <c:pt idx="20">
                  <c:v>21</c:v>
                </c:pt>
                <c:pt idx="21">
                  <c:v>20</c:v>
                </c:pt>
                <c:pt idx="22">
                  <c:v>19</c:v>
                </c:pt>
                <c:pt idx="23">
                  <c:v>18</c:v>
                </c:pt>
                <c:pt idx="24">
                  <c:v>17</c:v>
                </c:pt>
                <c:pt idx="25">
                  <c:v>16</c:v>
                </c:pt>
                <c:pt idx="26">
                  <c:v>15</c:v>
                </c:pt>
                <c:pt idx="27">
                  <c:v>14</c:v>
                </c:pt>
                <c:pt idx="28">
                  <c:v>13</c:v>
                </c:pt>
                <c:pt idx="29">
                  <c:v>12</c:v>
                </c:pt>
                <c:pt idx="30">
                  <c:v>11</c:v>
                </c:pt>
                <c:pt idx="31">
                  <c:v>10</c:v>
                </c:pt>
                <c:pt idx="32">
                  <c:v>9</c:v>
                </c:pt>
                <c:pt idx="33">
                  <c:v>8</c:v>
                </c:pt>
                <c:pt idx="34">
                  <c:v>7</c:v>
                </c:pt>
                <c:pt idx="35">
                  <c:v>6</c:v>
                </c:pt>
                <c:pt idx="36">
                  <c:v>5</c:v>
                </c:pt>
                <c:pt idx="37">
                  <c:v>4</c:v>
                </c:pt>
                <c:pt idx="38">
                  <c:v>3</c:v>
                </c:pt>
                <c:pt idx="39">
                  <c:v>2</c:v>
                </c:pt>
                <c:pt idx="4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AAB-411E-811E-B81E370307A9}"/>
            </c:ext>
          </c:extLst>
        </c:ser>
        <c:ser>
          <c:idx val="1"/>
          <c:order val="1"/>
          <c:tx>
            <c:strRef>
              <c:f>'HCV YN'!$H$1</c:f>
              <c:strCache>
                <c:ptCount val="1"/>
                <c:pt idx="0">
                  <c:v>標準線</c:v>
                </c:pt>
              </c:strCache>
            </c:strRef>
          </c:tx>
          <c:spPr>
            <a:ln w="158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'HCV YN'!$H$2:$H$47</c:f>
              <c:numCache>
                <c:formatCode>General</c:formatCode>
                <c:ptCount val="4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</c:numCache>
            </c:numRef>
          </c:xVal>
          <c:yVal>
            <c:numRef>
              <c:f>'HCV YN'!$E$2:$E$43</c:f>
              <c:numCache>
                <c:formatCode>General</c:formatCode>
                <c:ptCount val="42"/>
                <c:pt idx="0">
                  <c:v>41</c:v>
                </c:pt>
                <c:pt idx="1">
                  <c:v>40</c:v>
                </c:pt>
                <c:pt idx="2">
                  <c:v>39</c:v>
                </c:pt>
                <c:pt idx="3">
                  <c:v>38</c:v>
                </c:pt>
                <c:pt idx="4">
                  <c:v>37</c:v>
                </c:pt>
                <c:pt idx="5">
                  <c:v>36</c:v>
                </c:pt>
                <c:pt idx="6">
                  <c:v>35</c:v>
                </c:pt>
                <c:pt idx="7">
                  <c:v>34</c:v>
                </c:pt>
                <c:pt idx="8">
                  <c:v>33</c:v>
                </c:pt>
                <c:pt idx="9">
                  <c:v>32</c:v>
                </c:pt>
                <c:pt idx="10">
                  <c:v>31</c:v>
                </c:pt>
                <c:pt idx="11">
                  <c:v>30</c:v>
                </c:pt>
                <c:pt idx="12">
                  <c:v>29</c:v>
                </c:pt>
                <c:pt idx="13">
                  <c:v>28</c:v>
                </c:pt>
                <c:pt idx="14">
                  <c:v>27</c:v>
                </c:pt>
                <c:pt idx="15">
                  <c:v>26</c:v>
                </c:pt>
                <c:pt idx="16">
                  <c:v>25</c:v>
                </c:pt>
                <c:pt idx="17">
                  <c:v>24</c:v>
                </c:pt>
                <c:pt idx="18">
                  <c:v>23</c:v>
                </c:pt>
                <c:pt idx="19">
                  <c:v>22</c:v>
                </c:pt>
                <c:pt idx="20">
                  <c:v>21</c:v>
                </c:pt>
                <c:pt idx="21">
                  <c:v>20</c:v>
                </c:pt>
                <c:pt idx="22">
                  <c:v>19</c:v>
                </c:pt>
                <c:pt idx="23">
                  <c:v>18</c:v>
                </c:pt>
                <c:pt idx="24">
                  <c:v>17</c:v>
                </c:pt>
                <c:pt idx="25">
                  <c:v>16</c:v>
                </c:pt>
                <c:pt idx="26">
                  <c:v>15</c:v>
                </c:pt>
                <c:pt idx="27">
                  <c:v>14</c:v>
                </c:pt>
                <c:pt idx="28">
                  <c:v>13</c:v>
                </c:pt>
                <c:pt idx="29">
                  <c:v>12</c:v>
                </c:pt>
                <c:pt idx="30">
                  <c:v>11</c:v>
                </c:pt>
                <c:pt idx="31">
                  <c:v>10</c:v>
                </c:pt>
                <c:pt idx="32">
                  <c:v>9</c:v>
                </c:pt>
                <c:pt idx="33">
                  <c:v>8</c:v>
                </c:pt>
                <c:pt idx="34">
                  <c:v>7</c:v>
                </c:pt>
                <c:pt idx="35">
                  <c:v>6</c:v>
                </c:pt>
                <c:pt idx="36">
                  <c:v>5</c:v>
                </c:pt>
                <c:pt idx="37">
                  <c:v>4</c:v>
                </c:pt>
                <c:pt idx="38">
                  <c:v>3</c:v>
                </c:pt>
                <c:pt idx="39">
                  <c:v>2</c:v>
                </c:pt>
                <c:pt idx="40">
                  <c:v>1</c:v>
                </c:pt>
                <c:pt idx="41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AAB-411E-811E-B81E370307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46460768"/>
        <c:axId val="1636536144"/>
      </c:scatterChart>
      <c:valAx>
        <c:axId val="1646460768"/>
        <c:scaling>
          <c:orientation val="minMax"/>
          <c:max val="1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636536144"/>
        <c:crosses val="autoZero"/>
        <c:crossBetween val="midCat"/>
        <c:majorUnit val="1"/>
      </c:valAx>
      <c:valAx>
        <c:axId val="1636536144"/>
        <c:scaling>
          <c:orientation val="minMax"/>
          <c:max val="41"/>
          <c:min val="0"/>
        </c:scaling>
        <c:delete val="1"/>
        <c:axPos val="l"/>
        <c:numFmt formatCode="General" sourceLinked="1"/>
        <c:majorTickMark val="none"/>
        <c:minorTickMark val="none"/>
        <c:tickLblPos val="nextTo"/>
        <c:crossAx val="16464607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>
              <a:lumMod val="95000"/>
              <a:lumOff val="5000"/>
            </a:schemeClr>
          </a:solidFill>
        </a:defRPr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1845</Characters>
  <Application>Microsoft Office Word</Application>
  <DocSecurity>0</DocSecurity>
  <Lines>59</Lines>
  <Paragraphs>32</Paragraphs>
  <ScaleCrop>false</ScaleCrop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2026-03-11T07:19:00Z</dcterms:created>
  <dcterms:modified xsi:type="dcterms:W3CDTF">2026-03-11T07:19:00Z</dcterms:modified>
</cp:coreProperties>
</file>