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A08D52" w14:textId="02110445" w:rsidR="00C335B6" w:rsidRDefault="00C335B6" w:rsidP="00B463EB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File</w:t>
      </w:r>
      <w:r w:rsidR="009E336F">
        <w:rPr>
          <w:rFonts w:ascii="Times New Roman" w:hAnsi="Times New Roman" w:cs="Times New Roman"/>
          <w:b/>
          <w:bCs/>
          <w:sz w:val="24"/>
          <w:szCs w:val="24"/>
        </w:rPr>
        <w:br/>
        <w:t>Intervention framework</w:t>
      </w:r>
    </w:p>
    <w:p w14:paraId="339C99E0" w14:textId="77777777" w:rsidR="00A43A91" w:rsidRPr="00175BC2" w:rsidRDefault="00A43A91" w:rsidP="00A43A91">
      <w:pPr>
        <w:spacing w:line="480" w:lineRule="auto"/>
        <w:contextualSpacing/>
        <w:rPr>
          <w:rFonts w:ascii="Times New Roman" w:hAnsi="Times New Roman" w:cs="Times New Roman"/>
          <w:bCs/>
          <w:i/>
        </w:rPr>
      </w:pPr>
      <w:r w:rsidRPr="00175BC2">
        <w:rPr>
          <w:rFonts w:ascii="Times New Roman" w:hAnsi="Times New Roman" w:cs="Times New Roman"/>
          <w:bCs/>
          <w:i/>
        </w:rPr>
        <w:t>Box 1: Development of the intervention model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4812"/>
      </w:tblGrid>
      <w:tr w:rsidR="00A43A91" w:rsidRPr="00175BC2" w14:paraId="671BAEE7" w14:textId="77777777" w:rsidTr="001C3F5D">
        <w:tc>
          <w:tcPr>
            <w:tcW w:w="5000" w:type="pct"/>
          </w:tcPr>
          <w:p w14:paraId="19C7F1AE" w14:textId="77777777" w:rsidR="00A43A91" w:rsidRPr="00A43A91" w:rsidRDefault="00A43A91" w:rsidP="001D7312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43A9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ECD Practices as Theoretical Influence</w:t>
            </w:r>
          </w:p>
          <w:p w14:paraId="268F68BE" w14:textId="11A06E05" w:rsidR="00A43A91" w:rsidRPr="00A43A91" w:rsidRDefault="00A43A91" w:rsidP="001C3F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A91">
              <w:rPr>
                <w:rFonts w:ascii="Times New Roman" w:hAnsi="Times New Roman" w:cs="Times New Roman"/>
                <w:sz w:val="24"/>
                <w:szCs w:val="24"/>
              </w:rPr>
              <w:t xml:space="preserve">The thesis on which behind Early Childhood Development (ECD) practices rest informed the development of play-based intervention model in a hospital setting. </w:t>
            </w:r>
            <w:proofErr w:type="gramStart"/>
            <w:r w:rsidRPr="00A43A91">
              <w:rPr>
                <w:rFonts w:ascii="Times New Roman" w:hAnsi="Times New Roman" w:cs="Times New Roman"/>
                <w:sz w:val="24"/>
                <w:szCs w:val="24"/>
              </w:rPr>
              <w:t>Similar to</w:t>
            </w:r>
            <w:proofErr w:type="gramEnd"/>
            <w:r w:rsidRPr="00A43A91">
              <w:rPr>
                <w:rFonts w:ascii="Times New Roman" w:hAnsi="Times New Roman" w:cs="Times New Roman"/>
                <w:sz w:val="24"/>
                <w:szCs w:val="24"/>
              </w:rPr>
              <w:t xml:space="preserve"> Child Care Licensing Program (CCLP) requirements, ECD interventions employ play-based nurturing interactions derived from developmental psychology principles, family systems, and public health</w:t>
            </w:r>
            <w:r w:rsidRPr="00A43A9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A43A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43A91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14:paraId="66B21444" w14:textId="77777777" w:rsidR="00A43A91" w:rsidRPr="00A43A91" w:rsidRDefault="00A43A91" w:rsidP="001D7312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43A9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Literature Review Findings</w:t>
            </w:r>
          </w:p>
          <w:p w14:paraId="58C06D56" w14:textId="598336C9" w:rsidR="00A43A91" w:rsidRPr="00A43A91" w:rsidRDefault="00A43A91" w:rsidP="001D731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A43A9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To develop an evidence-based package, a literature review was conducted to explore potential psychosocial interventions effective in reducing the negative emotions and behaviour. The findings revealed the following main problems experie</w:t>
            </w:r>
            <w:r w:rsidR="00764EA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nced during hospitalization</w:t>
            </w:r>
            <w:r w:rsidR="00764EA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val="en-GB"/>
              </w:rPr>
              <w:t>1</w:t>
            </w:r>
            <w:r w:rsidRPr="00A43A9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:</w:t>
            </w:r>
          </w:p>
          <w:p w14:paraId="692F6703" w14:textId="77777777" w:rsidR="00A43A91" w:rsidRPr="00A43A91" w:rsidRDefault="00A43A91" w:rsidP="001D7312">
            <w:pPr>
              <w:pStyle w:val="ListParagraph"/>
              <w:numPr>
                <w:ilvl w:val="0"/>
                <w:numId w:val="1"/>
              </w:numPr>
              <w:spacing w:after="160"/>
              <w:jc w:val="both"/>
              <w:rPr>
                <w:rFonts w:ascii="Times New Roman" w:hAnsi="Times New Roman" w:cs="Times New Roman"/>
              </w:rPr>
            </w:pPr>
            <w:r w:rsidRPr="00A43A91">
              <w:rPr>
                <w:rFonts w:ascii="Times New Roman" w:hAnsi="Times New Roman" w:cs="Times New Roman"/>
                <w:color w:val="000000" w:themeColor="text1"/>
                <w:lang w:val="en-GB"/>
              </w:rPr>
              <w:t>lack of identity</w:t>
            </w:r>
          </w:p>
          <w:p w14:paraId="5A8FD812" w14:textId="77777777" w:rsidR="00A43A91" w:rsidRPr="00A43A91" w:rsidRDefault="00A43A91" w:rsidP="001D7312">
            <w:pPr>
              <w:pStyle w:val="ListParagraph"/>
              <w:numPr>
                <w:ilvl w:val="0"/>
                <w:numId w:val="1"/>
              </w:numPr>
              <w:spacing w:after="160"/>
              <w:jc w:val="both"/>
              <w:rPr>
                <w:rFonts w:ascii="Times New Roman" w:hAnsi="Times New Roman" w:cs="Times New Roman"/>
              </w:rPr>
            </w:pPr>
            <w:r w:rsidRPr="00A43A91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difficulty in communication, and </w:t>
            </w:r>
          </w:p>
          <w:p w14:paraId="5B611FA7" w14:textId="77777777" w:rsidR="00A43A91" w:rsidRPr="00A43A91" w:rsidRDefault="00A43A91" w:rsidP="001D7312">
            <w:pPr>
              <w:pStyle w:val="ListParagraph"/>
              <w:numPr>
                <w:ilvl w:val="0"/>
                <w:numId w:val="1"/>
              </w:numPr>
              <w:spacing w:after="160"/>
              <w:jc w:val="both"/>
              <w:rPr>
                <w:rFonts w:ascii="Times New Roman" w:hAnsi="Times New Roman" w:cs="Times New Roman"/>
              </w:rPr>
            </w:pPr>
            <w:r w:rsidRPr="00A43A91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parental stress that impacts children’s stress </w:t>
            </w:r>
          </w:p>
          <w:p w14:paraId="38081FD6" w14:textId="5C16EB1D" w:rsidR="00A43A91" w:rsidRPr="00764EAB" w:rsidRDefault="00A43A91" w:rsidP="001D7312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43A9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Studies showed that techniques like socio-dramatic play, symbolic play, and playing with objects helped children in regulating and reducing their stress via pl</w:t>
            </w:r>
            <w:r w:rsidR="00764EA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ay-based nurturing interactions</w:t>
            </w:r>
            <w:r w:rsidR="00764EA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val="en-GB"/>
              </w:rPr>
              <w:t>2</w:t>
            </w:r>
          </w:p>
          <w:p w14:paraId="2ABA2A3D" w14:textId="4DF92CCE" w:rsidR="00A43A91" w:rsidRPr="00A43A91" w:rsidRDefault="00A43A91" w:rsidP="001D731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43A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final package was developed for young children between birth to 6 years, borrowing principles from Nurturing Care Framework and Play Therapy</w:t>
            </w:r>
            <w:r w:rsidR="001C3F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42F3234D" w14:textId="77777777" w:rsidR="00A43A91" w:rsidRPr="00A43A91" w:rsidRDefault="00A43A91" w:rsidP="001D731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43A9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Nurturing Care Framework</w:t>
            </w:r>
          </w:p>
          <w:p w14:paraId="049E2335" w14:textId="683017A6" w:rsidR="00A43A91" w:rsidRPr="00A43A91" w:rsidRDefault="00A43A91" w:rsidP="001D731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43A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nurturing care framework (NCF)</w:t>
            </w:r>
            <w:r w:rsidR="00764EA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3</w:t>
            </w:r>
            <w:r w:rsidRPr="00A43A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calls for a stable environment for children for learning and development through responsive care and emotional support</w:t>
            </w:r>
            <w:sdt>
              <w:sdtPr>
                <w:rPr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id w:val="-1178116914"/>
                <w:citation/>
              </w:sdtPr>
              <w:sdtEndPr/>
              <w:sdtContent>
                <w:r w:rsidRPr="00A43A91"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  <w:fldChar w:fldCharType="begin"/>
                </w:r>
                <w:r w:rsidRPr="00A43A91"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  <w:instrText xml:space="preserve"> CITATION UNnd \l 1033 </w:instrText>
                </w:r>
                <w:r w:rsidRPr="00A43A91"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  <w:fldChar w:fldCharType="separate"/>
                </w:r>
                <w:r w:rsidRPr="00A43A91"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  <w:t xml:space="preserve"> (UN, n.d.)</w:t>
                </w:r>
                <w:r w:rsidRPr="00A43A91"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  <w:fldChar w:fldCharType="end"/>
                </w:r>
              </w:sdtContent>
            </w:sdt>
            <w:r w:rsidRPr="00A43A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Nurturing care has inter-related components than can be applied to hospital setting, including:</w:t>
            </w:r>
          </w:p>
          <w:p w14:paraId="41B960C0" w14:textId="77777777" w:rsidR="00A43A91" w:rsidRPr="00A43A91" w:rsidRDefault="00A43A91" w:rsidP="001D7312">
            <w:pPr>
              <w:pStyle w:val="ListParagraph"/>
              <w:numPr>
                <w:ilvl w:val="0"/>
                <w:numId w:val="1"/>
              </w:numPr>
              <w:spacing w:after="160"/>
              <w:jc w:val="both"/>
              <w:rPr>
                <w:rFonts w:ascii="Times New Roman" w:hAnsi="Times New Roman" w:cs="Times New Roman"/>
              </w:rPr>
            </w:pPr>
            <w:r w:rsidRPr="00A43A91">
              <w:rPr>
                <w:rFonts w:ascii="Times New Roman" w:hAnsi="Times New Roman" w:cs="Times New Roman"/>
                <w:color w:val="000000" w:themeColor="text1"/>
              </w:rPr>
              <w:t>caregiving (e.g. health and psychosocial needs)</w:t>
            </w:r>
          </w:p>
          <w:p w14:paraId="7FC17DF0" w14:textId="77777777" w:rsidR="00A43A91" w:rsidRPr="00A43A91" w:rsidRDefault="00A43A91" w:rsidP="001D7312">
            <w:pPr>
              <w:pStyle w:val="ListParagraph"/>
              <w:numPr>
                <w:ilvl w:val="0"/>
                <w:numId w:val="1"/>
              </w:numPr>
              <w:spacing w:after="160"/>
              <w:jc w:val="both"/>
              <w:rPr>
                <w:rFonts w:ascii="Times New Roman" w:hAnsi="Times New Roman" w:cs="Times New Roman"/>
              </w:rPr>
            </w:pPr>
            <w:r w:rsidRPr="00A43A91">
              <w:rPr>
                <w:rFonts w:ascii="Times New Roman" w:hAnsi="Times New Roman" w:cs="Times New Roman"/>
                <w:color w:val="000000" w:themeColor="text1"/>
              </w:rPr>
              <w:t xml:space="preserve">responsiveness (e.g. parental sensitivity and sensitivity and responsiveness from nurses) </w:t>
            </w:r>
          </w:p>
          <w:p w14:paraId="3D09585F" w14:textId="77777777" w:rsidR="00A43A91" w:rsidRPr="00A43A91" w:rsidRDefault="00A43A91" w:rsidP="001D7312">
            <w:pPr>
              <w:pStyle w:val="ListParagraph"/>
              <w:numPr>
                <w:ilvl w:val="0"/>
                <w:numId w:val="1"/>
              </w:numPr>
              <w:spacing w:after="160"/>
              <w:jc w:val="both"/>
              <w:rPr>
                <w:rFonts w:ascii="Times New Roman" w:hAnsi="Times New Roman" w:cs="Times New Roman"/>
              </w:rPr>
            </w:pPr>
            <w:r w:rsidRPr="00A43A91">
              <w:rPr>
                <w:rFonts w:ascii="Times New Roman" w:hAnsi="Times New Roman" w:cs="Times New Roman"/>
                <w:color w:val="000000" w:themeColor="text1"/>
              </w:rPr>
              <w:t xml:space="preserve">nutrition (improve appetite of sick children)  </w:t>
            </w:r>
          </w:p>
          <w:p w14:paraId="2A901BD7" w14:textId="58985CE1" w:rsidR="00A43A91" w:rsidRPr="00A43A91" w:rsidRDefault="00A43A91" w:rsidP="001D7312">
            <w:pPr>
              <w:pStyle w:val="ListParagraph"/>
              <w:numPr>
                <w:ilvl w:val="0"/>
                <w:numId w:val="1"/>
              </w:numPr>
              <w:spacing w:after="160"/>
              <w:jc w:val="both"/>
              <w:rPr>
                <w:rFonts w:ascii="Times New Roman" w:hAnsi="Times New Roman" w:cs="Times New Roman"/>
              </w:rPr>
            </w:pPr>
            <w:r w:rsidRPr="00A43A91">
              <w:rPr>
                <w:rFonts w:ascii="Times New Roman" w:hAnsi="Times New Roman" w:cs="Times New Roman"/>
                <w:color w:val="000000" w:themeColor="text1"/>
              </w:rPr>
              <w:t>stimulation (e.g. sing</w:t>
            </w:r>
            <w:r w:rsidR="00764EAB">
              <w:rPr>
                <w:rFonts w:ascii="Times New Roman" w:hAnsi="Times New Roman" w:cs="Times New Roman"/>
                <w:color w:val="000000" w:themeColor="text1"/>
              </w:rPr>
              <w:t>ing, talking, playing, laughing</w:t>
            </w:r>
            <w:r w:rsidRPr="00A43A91">
              <w:rPr>
                <w:rFonts w:ascii="Times New Roman" w:hAnsi="Times New Roman" w:cs="Times New Roman"/>
                <w:color w:val="000000" w:themeColor="text1"/>
              </w:rPr>
              <w:t xml:space="preserve">, and </w:t>
            </w:r>
          </w:p>
          <w:p w14:paraId="7588CD16" w14:textId="77777777" w:rsidR="00A43A91" w:rsidRPr="00A43A91" w:rsidRDefault="00A43A91" w:rsidP="001D7312">
            <w:pPr>
              <w:pStyle w:val="ListParagraph"/>
              <w:numPr>
                <w:ilvl w:val="0"/>
                <w:numId w:val="1"/>
              </w:numPr>
              <w:spacing w:after="160"/>
              <w:jc w:val="both"/>
              <w:rPr>
                <w:rFonts w:ascii="Times New Roman" w:hAnsi="Times New Roman" w:cs="Times New Roman"/>
              </w:rPr>
            </w:pPr>
            <w:r w:rsidRPr="00A43A91">
              <w:rPr>
                <w:rFonts w:ascii="Times New Roman" w:hAnsi="Times New Roman" w:cs="Times New Roman"/>
                <w:color w:val="000000" w:themeColor="text1"/>
              </w:rPr>
              <w:t>safety (the need to feel safe and secure in a new environment)</w:t>
            </w:r>
          </w:p>
          <w:p w14:paraId="1C30B7DC" w14:textId="77777777" w:rsidR="00A43A91" w:rsidRPr="00A43A91" w:rsidRDefault="00A43A91" w:rsidP="001D73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3A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The research team expanded the scope of NCF and customized the content, training, and delivery approach catering to beneficiaries’ specialized health and medical needs.</w:t>
            </w:r>
          </w:p>
          <w:p w14:paraId="140A37EF" w14:textId="77777777" w:rsidR="00A43A91" w:rsidRPr="00A43A91" w:rsidRDefault="00A43A91" w:rsidP="001D7312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43A9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43A9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Play Therapy</w:t>
            </w:r>
          </w:p>
          <w:p w14:paraId="67108A76" w14:textId="77777777" w:rsidR="00A43A91" w:rsidRPr="00A43A91" w:rsidRDefault="00A43A91" w:rsidP="001D731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43A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Play therapy uses play as a medium of expression for children and helpful in assessing emotional distress while building therapeutic relationship with the child. A recent review of play-based interventions with young children indicated following benefits: </w:t>
            </w:r>
          </w:p>
          <w:p w14:paraId="009CCB61" w14:textId="77777777" w:rsidR="00A43A91" w:rsidRPr="00A43A91" w:rsidRDefault="00A43A91" w:rsidP="001D7312">
            <w:pPr>
              <w:pStyle w:val="ListParagraph"/>
              <w:numPr>
                <w:ilvl w:val="0"/>
                <w:numId w:val="1"/>
              </w:numPr>
              <w:spacing w:after="160"/>
              <w:jc w:val="both"/>
              <w:rPr>
                <w:rFonts w:ascii="Times New Roman" w:hAnsi="Times New Roman" w:cs="Times New Roman"/>
              </w:rPr>
            </w:pPr>
            <w:r w:rsidRPr="00A43A91">
              <w:rPr>
                <w:rFonts w:ascii="Times New Roman" w:hAnsi="Times New Roman" w:cs="Times New Roman"/>
                <w:color w:val="000000" w:themeColor="text1"/>
              </w:rPr>
              <w:t>coping</w:t>
            </w:r>
          </w:p>
          <w:p w14:paraId="1A32FB0B" w14:textId="77777777" w:rsidR="00A43A91" w:rsidRPr="00A43A91" w:rsidRDefault="00A43A91" w:rsidP="001D7312">
            <w:pPr>
              <w:pStyle w:val="ListParagraph"/>
              <w:numPr>
                <w:ilvl w:val="0"/>
                <w:numId w:val="1"/>
              </w:numPr>
              <w:spacing w:after="160"/>
              <w:jc w:val="both"/>
              <w:rPr>
                <w:rFonts w:ascii="Times New Roman" w:hAnsi="Times New Roman" w:cs="Times New Roman"/>
              </w:rPr>
            </w:pPr>
            <w:r w:rsidRPr="00A43A91">
              <w:rPr>
                <w:rFonts w:ascii="Times New Roman" w:hAnsi="Times New Roman" w:cs="Times New Roman"/>
                <w:color w:val="000000" w:themeColor="text1"/>
              </w:rPr>
              <w:t>improved engagement</w:t>
            </w:r>
          </w:p>
          <w:p w14:paraId="30D58E52" w14:textId="77777777" w:rsidR="00A43A91" w:rsidRPr="00A43A91" w:rsidRDefault="00A43A91" w:rsidP="001D7312">
            <w:pPr>
              <w:pStyle w:val="ListParagraph"/>
              <w:numPr>
                <w:ilvl w:val="0"/>
                <w:numId w:val="1"/>
              </w:numPr>
              <w:spacing w:after="160"/>
              <w:jc w:val="both"/>
              <w:rPr>
                <w:rFonts w:ascii="Times New Roman" w:hAnsi="Times New Roman" w:cs="Times New Roman"/>
              </w:rPr>
            </w:pPr>
            <w:r w:rsidRPr="00A43A91">
              <w:rPr>
                <w:rFonts w:ascii="Times New Roman" w:hAnsi="Times New Roman" w:cs="Times New Roman"/>
                <w:color w:val="000000" w:themeColor="text1"/>
              </w:rPr>
              <w:t xml:space="preserve">willingness to eat </w:t>
            </w:r>
          </w:p>
          <w:p w14:paraId="0BC19D0C" w14:textId="77777777" w:rsidR="00A43A91" w:rsidRPr="00A43A91" w:rsidRDefault="00A43A91" w:rsidP="001D7312">
            <w:pPr>
              <w:pStyle w:val="ListParagraph"/>
              <w:numPr>
                <w:ilvl w:val="0"/>
                <w:numId w:val="1"/>
              </w:numPr>
              <w:spacing w:after="160"/>
              <w:jc w:val="both"/>
              <w:rPr>
                <w:rFonts w:ascii="Times New Roman" w:hAnsi="Times New Roman" w:cs="Times New Roman"/>
              </w:rPr>
            </w:pPr>
            <w:r w:rsidRPr="00A43A91">
              <w:rPr>
                <w:rFonts w:ascii="Times New Roman" w:hAnsi="Times New Roman" w:cs="Times New Roman"/>
                <w:color w:val="000000" w:themeColor="text1"/>
              </w:rPr>
              <w:t xml:space="preserve">feeling of mastery and growth </w:t>
            </w:r>
          </w:p>
          <w:p w14:paraId="1DB28880" w14:textId="77777777" w:rsidR="00A43A91" w:rsidRPr="00A43A91" w:rsidRDefault="00A43A91" w:rsidP="001D7312">
            <w:pPr>
              <w:pStyle w:val="ListParagraph"/>
              <w:numPr>
                <w:ilvl w:val="0"/>
                <w:numId w:val="1"/>
              </w:numPr>
              <w:spacing w:after="160"/>
              <w:jc w:val="both"/>
              <w:rPr>
                <w:rFonts w:ascii="Times New Roman" w:hAnsi="Times New Roman" w:cs="Times New Roman"/>
              </w:rPr>
            </w:pPr>
            <w:r w:rsidRPr="00A43A91">
              <w:rPr>
                <w:rFonts w:ascii="Times New Roman" w:hAnsi="Times New Roman" w:cs="Times New Roman"/>
                <w:color w:val="000000" w:themeColor="text1"/>
              </w:rPr>
              <w:t xml:space="preserve">greater parental satisfaction with services, and </w:t>
            </w:r>
          </w:p>
          <w:p w14:paraId="652B5BFE" w14:textId="77777777" w:rsidR="00A43A91" w:rsidRPr="00A43A91" w:rsidRDefault="00A43A91" w:rsidP="001D7312">
            <w:pPr>
              <w:pStyle w:val="ListParagraph"/>
              <w:numPr>
                <w:ilvl w:val="0"/>
                <w:numId w:val="1"/>
              </w:numPr>
              <w:spacing w:after="160"/>
              <w:jc w:val="both"/>
              <w:rPr>
                <w:rFonts w:ascii="Times New Roman" w:hAnsi="Times New Roman" w:cs="Times New Roman"/>
              </w:rPr>
            </w:pPr>
            <w:r w:rsidRPr="00A43A91">
              <w:rPr>
                <w:rFonts w:ascii="Times New Roman" w:hAnsi="Times New Roman" w:cs="Times New Roman"/>
                <w:color w:val="000000" w:themeColor="text1"/>
              </w:rPr>
              <w:t xml:space="preserve">reduced parental distress over time </w:t>
            </w:r>
          </w:p>
          <w:p w14:paraId="4B751E64" w14:textId="77777777" w:rsidR="00A43A91" w:rsidRPr="00175BC2" w:rsidRDefault="00A43A91" w:rsidP="001D731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43A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Additional financial benefits were found due to reduction in procedures and overall length of stay and hence lowers costs.</w:t>
            </w:r>
            <w:r w:rsidRPr="00A43A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  <w:r w:rsidRPr="00A43A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</w:p>
        </w:tc>
      </w:tr>
    </w:tbl>
    <w:p w14:paraId="7446F7D9" w14:textId="77777777" w:rsidR="00764EAB" w:rsidRDefault="00764EAB" w:rsidP="00764EAB">
      <w:pPr>
        <w:pStyle w:val="EndNoteBibliography"/>
        <w:spacing w:after="0"/>
        <w:ind w:left="720" w:hanging="720"/>
        <w:rPr>
          <w:rFonts w:ascii="Times New Roman" w:hAnsi="Times New Roman" w:cs="Times New Roman"/>
        </w:rPr>
      </w:pPr>
    </w:p>
    <w:p w14:paraId="78204E17" w14:textId="6E3B4EB2" w:rsidR="00764EAB" w:rsidRDefault="00764EAB" w:rsidP="00764EAB">
      <w:pPr>
        <w:pStyle w:val="EndNoteBibliography"/>
        <w:spacing w:after="0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References</w:t>
      </w:r>
      <w:r w:rsidRPr="00490D26">
        <w:rPr>
          <w:rFonts w:ascii="Times New Roman" w:hAnsi="Times New Roman" w:cs="Times New Roman"/>
        </w:rPr>
        <w:tab/>
      </w:r>
    </w:p>
    <w:p w14:paraId="5DE78771" w14:textId="0A60B348" w:rsidR="00764EAB" w:rsidRPr="00490D26" w:rsidRDefault="00764EAB" w:rsidP="00764EAB">
      <w:pPr>
        <w:pStyle w:val="EndNoteBibliography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490D26">
        <w:rPr>
          <w:rFonts w:ascii="Times New Roman" w:hAnsi="Times New Roman" w:cs="Times New Roman"/>
        </w:rPr>
        <w:t xml:space="preserve">Nahar B, Hamadani JD, Ahmed T, et al. Effects of psychosocial stimulation on growth and development of severely malnourished children in a nutrition unit in Bangladesh. </w:t>
      </w:r>
      <w:r w:rsidRPr="00490D26">
        <w:rPr>
          <w:rFonts w:ascii="Times New Roman" w:hAnsi="Times New Roman" w:cs="Times New Roman"/>
          <w:i/>
        </w:rPr>
        <w:t xml:space="preserve">Eur J Clin Nutr. </w:t>
      </w:r>
      <w:r w:rsidRPr="00490D26">
        <w:rPr>
          <w:rFonts w:ascii="Times New Roman" w:hAnsi="Times New Roman" w:cs="Times New Roman"/>
        </w:rPr>
        <w:t>2009;63(6):725-731.</w:t>
      </w:r>
    </w:p>
    <w:p w14:paraId="1643EFEA" w14:textId="0D05855B" w:rsidR="00764EAB" w:rsidRPr="00490D26" w:rsidRDefault="00764EAB" w:rsidP="00764EAB">
      <w:pPr>
        <w:pStyle w:val="EndNoteBibliography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490D26">
        <w:rPr>
          <w:rFonts w:ascii="Times New Roman" w:hAnsi="Times New Roman" w:cs="Times New Roman"/>
        </w:rPr>
        <w:t xml:space="preserve">WHO. Nurturing Care Framework: Why nurturing care? World Health Organization. </w:t>
      </w:r>
      <w:hyperlink r:id="rId6" w:anchor=":~:text=Nurturing%20care%20refers%20to%20a,are%20emotionally%20supportive%20and%20responsive" w:history="1">
        <w:r w:rsidRPr="00490D26">
          <w:rPr>
            <w:rStyle w:val="Hyperlink"/>
            <w:rFonts w:ascii="Times New Roman" w:hAnsi="Times New Roman" w:cs="Times New Roman"/>
          </w:rPr>
          <w:t>https://www.who.int/maternal_child_adolescent/child/nurturing-care-framework-rationale/en/#:~:text=Nurturing%20care%20refers%20to%20a,are%20emotionally%20supportive%20and%20responsive</w:t>
        </w:r>
      </w:hyperlink>
      <w:r w:rsidRPr="00490D26">
        <w:rPr>
          <w:rFonts w:ascii="Times New Roman" w:hAnsi="Times New Roman" w:cs="Times New Roman"/>
        </w:rPr>
        <w:t>. Published n.d. Accessed.</w:t>
      </w:r>
    </w:p>
    <w:p w14:paraId="58670C8D" w14:textId="7E5442CF" w:rsidR="00A43A91" w:rsidRPr="00DA0F35" w:rsidRDefault="00764EAB" w:rsidP="00A43A91">
      <w:pPr>
        <w:pStyle w:val="EndNoteBibliography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bCs/>
          <w:i/>
        </w:rPr>
      </w:pPr>
      <w:r w:rsidRPr="00DA0F35">
        <w:rPr>
          <w:rFonts w:ascii="Times New Roman" w:hAnsi="Times New Roman" w:cs="Times New Roman"/>
        </w:rPr>
        <w:t xml:space="preserve">Britto PR, Lye SJ, Yousafzai A, et al. Nurturing care: promoting early childhood development. </w:t>
      </w:r>
      <w:r w:rsidRPr="00DA0F35">
        <w:rPr>
          <w:rFonts w:ascii="Times New Roman" w:hAnsi="Times New Roman" w:cs="Times New Roman"/>
          <w:i/>
        </w:rPr>
        <w:t xml:space="preserve">The Lancet. </w:t>
      </w:r>
      <w:r w:rsidRPr="00DA0F35">
        <w:rPr>
          <w:rFonts w:ascii="Times New Roman" w:hAnsi="Times New Roman" w:cs="Times New Roman"/>
        </w:rPr>
        <w:t>2017;389(100064):91-102.</w:t>
      </w:r>
    </w:p>
    <w:p w14:paraId="71BE7A5F" w14:textId="77777777" w:rsidR="00A43A91" w:rsidRDefault="00A43A91" w:rsidP="00A43A9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A43A91" w:rsidSect="001C3F5D">
      <w:pgSz w:w="16838" w:h="11906" w:orient="landscape"/>
      <w:pgMar w:top="1008" w:right="1008" w:bottom="1008" w:left="100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A43845"/>
    <w:multiLevelType w:val="hybridMultilevel"/>
    <w:tmpl w:val="2F54312C"/>
    <w:lvl w:ilvl="0" w:tplc="3C7E254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F75B1F"/>
    <w:multiLevelType w:val="hybridMultilevel"/>
    <w:tmpl w:val="D556F0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35B6"/>
    <w:rsid w:val="00142F8F"/>
    <w:rsid w:val="001C3F5D"/>
    <w:rsid w:val="00764EAB"/>
    <w:rsid w:val="009E336F"/>
    <w:rsid w:val="00A43A91"/>
    <w:rsid w:val="00B463EB"/>
    <w:rsid w:val="00C335B6"/>
    <w:rsid w:val="00DA0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6231CA"/>
  <w15:chartTrackingRefBased/>
  <w15:docId w15:val="{D4383A8C-C068-5744-B6B9-714216B07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35B6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A43A91"/>
    <w:pPr>
      <w:spacing w:after="0" w:line="240" w:lineRule="auto"/>
      <w:ind w:left="720"/>
      <w:contextualSpacing/>
    </w:pPr>
    <w:rPr>
      <w:rFonts w:eastAsiaTheme="minorEastAsia"/>
      <w:sz w:val="24"/>
      <w:szCs w:val="24"/>
    </w:rPr>
  </w:style>
  <w:style w:type="table" w:styleId="TableGrid">
    <w:name w:val="Table Grid"/>
    <w:basedOn w:val="TableNormal"/>
    <w:uiPriority w:val="39"/>
    <w:rsid w:val="00A43A91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64EAB"/>
    <w:rPr>
      <w:color w:val="0563C1" w:themeColor="hyperlink"/>
      <w:u w:val="single"/>
    </w:rPr>
  </w:style>
  <w:style w:type="paragraph" w:customStyle="1" w:styleId="EndNoteBibliography">
    <w:name w:val="EndNote Bibliography"/>
    <w:basedOn w:val="Normal"/>
    <w:link w:val="EndNoteBibliographyChar"/>
    <w:rsid w:val="00764EAB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64EAB"/>
    <w:rPr>
      <w:rFonts w:ascii="Calibri" w:hAnsi="Calibri"/>
      <w:noProof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who.int/maternal_child_adolescent/child/nurturing-care-framework-rationale/en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UNnd</b:Tag>
    <b:SourceType>InternetSite</b:SourceType>
    <b:Guid>{86FAF0EC-DC01-4292-94A3-FD8947F0D6D5}</b:Guid>
    <b:Title>Nurturing Care Framework: Why nurturing care?</b:Title>
    <b:Year>n.d.</b:Year>
    <b:Author>
      <b:Author>
        <b:NameList>
          <b:Person>
            <b:Last>UN</b:Last>
          </b:Person>
        </b:NameList>
      </b:Author>
    </b:Author>
    <b:InternetSiteTitle>United Nations</b:InternetSiteTitle>
    <b:URL>https://www.who.int/maternal_child_adolescent/child/nurturing-care-framework-rationale/en/#:~:targetText=Nurturing%20care%20refers%20to%20a,are%20emotionally%20supportive%20and%20responsive.</b:URL>
    <b:RefOrder>7</b:RefOrder>
  </b:Source>
  <b:Source>
    <b:Tag>Bri17</b:Tag>
    <b:SourceType>JournalArticle</b:SourceType>
    <b:Guid>{ADF9D218-46E9-4116-AF88-4EE5A58D596A}</b:Guid>
    <b:Title>Nurturing care: promoting early childhood development</b:Title>
    <b:Year>2017</b:Year>
    <b:JournalName>The Lancet</b:JournalName>
    <b:Pages>91-102</b:Pages>
    <b:Author>
      <b:Author>
        <b:NameList>
          <b:Person>
            <b:Last>Britto</b:Last>
            <b:Middle>R</b:Middle>
            <b:First>Pia</b:First>
          </b:Person>
          <b:Person>
            <b:Last>Lye</b:Last>
            <b:Middle>J</b:Middle>
            <b:First>Stephen</b:First>
          </b:Person>
          <b:Person>
            <b:Last>Yousafzai</b:Last>
            <b:First>Aisha</b:First>
          </b:Person>
          <b:Person>
            <b:Last>Matthews</b:Last>
            <b:Middle>G</b:Middle>
            <b:First>Stephen</b:First>
          </b:Person>
          <b:Person>
            <b:Last>Vaivada</b:Last>
            <b:First>Tyler</b:First>
          </b:Person>
          <b:Person>
            <b:Last>Perez-Escamilla</b:Last>
            <b:First>Rafael</b:First>
          </b:Person>
          <b:Person>
            <b:Last>Rao</b:Last>
            <b:First>Nirmala</b:First>
          </b:Person>
          <b:Person>
            <b:Last>Ip</b:Last>
            <b:First>Patrick</b:First>
          </b:Person>
          <b:Person>
            <b:Last>Fernald</b:Last>
            <b:First>Lia</b:First>
          </b:Person>
          <b:Person>
            <b:Last>MacMillan</b:Last>
            <b:First>Harriet</b:First>
          </b:Person>
          <b:Person>
            <b:Last>Hanson</b:Last>
            <b:First>Mark</b:First>
          </b:Person>
          <b:Person>
            <b:Last>Waschs</b:Last>
            <b:First>Theodore</b:First>
          </b:Person>
          <b:Person>
            <b:Last>Yao</b:Last>
            <b:First>Haogen</b:First>
          </b:Person>
          <b:Person>
            <b:Last>Yoshikawa</b:Last>
            <b:First>Hirokazu</b:First>
          </b:Person>
          <b:Person>
            <b:Last>Cerezo</b:Last>
            <b:First>Adrian</b:First>
          </b:Person>
          <b:Person>
            <b:Last>Leckman</b:Last>
            <b:Middle>F</b:Middle>
            <b:First>James</b:First>
          </b:Person>
          <b:Person>
            <b:Last>Bhutta</b:Last>
            <b:First>Zulfiqar</b:First>
          </b:Person>
        </b:NameList>
      </b:Author>
    </b:Author>
    <b:Volume>389</b:Volume>
    <b:Issue>100064</b:Issue>
    <b:DOI>https://doi.org/10.1016/S0140-6736(16)31390-3</b:DOI>
    <b:RefOrder>8</b:RefOrder>
  </b:Source>
</b:Sources>
</file>

<file path=customXml/itemProps1.xml><?xml version="1.0" encoding="utf-8"?>
<ds:datastoreItem xmlns:ds="http://schemas.openxmlformats.org/officeDocument/2006/customXml" ds:itemID="{8411BFBF-84CC-43C0-81DC-298ACC61F1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510</Words>
  <Characters>2911</Characters>
  <Application>Microsoft Office Word</Application>
  <DocSecurity>0</DocSecurity>
  <Lines>24</Lines>
  <Paragraphs>6</Paragraphs>
  <ScaleCrop>false</ScaleCrop>
  <Company/>
  <LinksUpToDate>false</LinksUpToDate>
  <CharactersWithSpaces>3415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Muneera Rasheed</dc:creator>
  <cp:keywords/>
  <dc:description/>
  <cp:lastModifiedBy>Waliyah Mughis</cp:lastModifiedBy>
  <cp:revision>7</cp:revision>
  <dcterms:created xsi:type="dcterms:W3CDTF">2020-07-29T08:06:00Z</dcterms:created>
  <dcterms:modified xsi:type="dcterms:W3CDTF">2020-09-18T06:26:00Z</dcterms:modified>
</cp:coreProperties>
</file>