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374E1"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r w:rsidRPr="007571DE">
        <w:rPr>
          <w:rFonts w:ascii="Times New Roman" w:eastAsia="Times New Roman" w:hAnsi="Times New Roman" w:cs="Times New Roman"/>
          <w:b/>
          <w:bCs/>
          <w:sz w:val="20"/>
          <w:szCs w:val="20"/>
        </w:rPr>
        <w:t>Supplementary information</w:t>
      </w:r>
    </w:p>
    <w:p w14:paraId="36F7BAF9"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b/>
          <w:bCs/>
          <w:sz w:val="20"/>
          <w:szCs w:val="20"/>
        </w:rPr>
        <w:t xml:space="preserve">Fig. S1 </w:t>
      </w:r>
      <w:r w:rsidRPr="007571DE">
        <w:rPr>
          <w:rFonts w:ascii="Times New Roman" w:eastAsia="Times New Roman" w:hAnsi="Times New Roman" w:cs="Times New Roman"/>
          <w:sz w:val="20"/>
          <w:szCs w:val="20"/>
        </w:rPr>
        <w:t>Schematic view of the genome editing construct used</w:t>
      </w:r>
    </w:p>
    <w:p w14:paraId="58CCB720"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sz w:val="20"/>
          <w:szCs w:val="20"/>
        </w:rPr>
        <w:t>tt</w:t>
      </w:r>
      <w:r w:rsidRPr="007571DE">
        <w:rPr>
          <w:rFonts w:ascii="Times New Roman" w:eastAsia="Times New Roman" w:hAnsi="Times New Roman" w:cs="Times New Roman"/>
          <w:i/>
          <w:iCs/>
          <w:sz w:val="20"/>
          <w:szCs w:val="20"/>
        </w:rPr>
        <w:t>Lb</w:t>
      </w:r>
      <w:r w:rsidRPr="007571DE">
        <w:rPr>
          <w:rFonts w:ascii="Times New Roman" w:eastAsia="Times New Roman" w:hAnsi="Times New Roman" w:cs="Times New Roman"/>
          <w:sz w:val="20"/>
          <w:szCs w:val="20"/>
        </w:rPr>
        <w:t xml:space="preserve">Cas12a, temperature-tolerant </w:t>
      </w:r>
      <w:r w:rsidRPr="007571DE">
        <w:rPr>
          <w:rFonts w:ascii="Times New Roman" w:eastAsia="Times New Roman" w:hAnsi="Times New Roman" w:cs="Times New Roman"/>
          <w:i/>
          <w:iCs/>
          <w:sz w:val="20"/>
          <w:szCs w:val="20"/>
        </w:rPr>
        <w:t>Lachnospiraceae bacterium</w:t>
      </w:r>
      <w:r w:rsidRPr="007571DE">
        <w:rPr>
          <w:rFonts w:ascii="Times New Roman" w:eastAsia="Times New Roman" w:hAnsi="Times New Roman" w:cs="Times New Roman"/>
          <w:sz w:val="20"/>
          <w:szCs w:val="20"/>
        </w:rPr>
        <w:t xml:space="preserve"> Cas12a (</w:t>
      </w:r>
      <w:r w:rsidRPr="007571DE">
        <w:rPr>
          <w:rFonts w:ascii="Times New Roman" w:eastAsia="Times New Roman" w:hAnsi="Times New Roman" w:cs="Times New Roman"/>
          <w:i/>
          <w:iCs/>
          <w:sz w:val="20"/>
          <w:szCs w:val="20"/>
        </w:rPr>
        <w:t>Lb</w:t>
      </w:r>
      <w:r w:rsidRPr="007571DE">
        <w:rPr>
          <w:rFonts w:ascii="Times New Roman" w:eastAsia="Times New Roman" w:hAnsi="Times New Roman" w:cs="Times New Roman"/>
          <w:sz w:val="20"/>
          <w:szCs w:val="20"/>
        </w:rPr>
        <w:t xml:space="preserve">Cas12a). </w:t>
      </w:r>
      <w:r w:rsidRPr="007571DE">
        <w:rPr>
          <w:rFonts w:ascii="Times New Roman" w:eastAsia="Times New Roman" w:hAnsi="Times New Roman" w:cs="Times New Roman"/>
          <w:i/>
          <w:iCs/>
          <w:sz w:val="20"/>
          <w:szCs w:val="20"/>
        </w:rPr>
        <w:t>Pc</w:t>
      </w:r>
      <w:r w:rsidRPr="007571DE">
        <w:rPr>
          <w:rFonts w:ascii="Times New Roman" w:eastAsia="Times New Roman" w:hAnsi="Times New Roman" w:cs="Times New Roman"/>
          <w:sz w:val="20"/>
          <w:szCs w:val="20"/>
        </w:rPr>
        <w:t xml:space="preserve">ubi, Parsley ubiquitin promoter; Tpea3A, terminator of ribulose-1,5-bisphosphate carboxylase small subunit; AtU6-26, </w:t>
      </w:r>
      <w:r w:rsidRPr="007571DE">
        <w:rPr>
          <w:rFonts w:ascii="Times New Roman" w:eastAsia="Times New Roman" w:hAnsi="Times New Roman" w:cs="Times New Roman"/>
          <w:i/>
          <w:iCs/>
          <w:sz w:val="20"/>
          <w:szCs w:val="20"/>
        </w:rPr>
        <w:t>Arabidopsis thaliana</w:t>
      </w:r>
      <w:r w:rsidRPr="007571DE">
        <w:rPr>
          <w:rFonts w:ascii="Times New Roman" w:eastAsia="Times New Roman" w:hAnsi="Times New Roman" w:cs="Times New Roman"/>
          <w:sz w:val="20"/>
          <w:szCs w:val="20"/>
        </w:rPr>
        <w:t xml:space="preserve"> U6-26 promoter; crRNA, sequence of CRISPR RNA; PNOS, NOS promoter; NTPII, Neomycin phosphotransferase II gene; TNOS, NOS terminator; LB, left border; RB. right border.</w:t>
      </w:r>
    </w:p>
    <w:p w14:paraId="409A2A34"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p>
    <w:p w14:paraId="7551F616"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b/>
          <w:bCs/>
          <w:sz w:val="20"/>
          <w:szCs w:val="20"/>
        </w:rPr>
        <w:t xml:space="preserve">Fig. S2 </w:t>
      </w:r>
      <w:r w:rsidRPr="007571DE">
        <w:rPr>
          <w:rFonts w:ascii="Times New Roman" w:eastAsia="Times New Roman" w:hAnsi="Times New Roman" w:cs="Times New Roman"/>
          <w:sz w:val="20"/>
          <w:szCs w:val="20"/>
        </w:rPr>
        <w:t xml:space="preserve">Alignment of protein sequences of functional WT allele, non-functional </w:t>
      </w:r>
      <w:r w:rsidRPr="007571DE">
        <w:rPr>
          <w:rFonts w:ascii="Times New Roman" w:eastAsia="Times New Roman" w:hAnsi="Times New Roman" w:cs="Times New Roman"/>
          <w:i/>
          <w:iCs/>
          <w:sz w:val="20"/>
          <w:szCs w:val="20"/>
        </w:rPr>
        <w:t>u</w:t>
      </w:r>
      <w:r w:rsidRPr="007571DE">
        <w:rPr>
          <w:rFonts w:ascii="Times New Roman" w:eastAsia="Times New Roman" w:hAnsi="Times New Roman" w:cs="Times New Roman"/>
          <w:sz w:val="20"/>
          <w:szCs w:val="20"/>
        </w:rPr>
        <w:t xml:space="preserve"> allele, and four CRISPR-generated alleles</w:t>
      </w:r>
    </w:p>
    <w:p w14:paraId="645AAB17"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sz w:val="20"/>
          <w:szCs w:val="20"/>
        </w:rPr>
        <w:t>Listed sequences were predicted from the sequenced cDNA nucleotide sequences. The red color represents mismatched residues compared to the WT sequence.</w:t>
      </w:r>
    </w:p>
    <w:p w14:paraId="0562905D"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p>
    <w:p w14:paraId="3148EEB1"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b/>
          <w:bCs/>
          <w:sz w:val="20"/>
          <w:szCs w:val="20"/>
        </w:rPr>
        <w:t xml:space="preserve">Fig. S3 </w:t>
      </w:r>
      <w:r w:rsidRPr="007571DE">
        <w:rPr>
          <w:rFonts w:ascii="Times New Roman" w:eastAsia="Times New Roman" w:hAnsi="Times New Roman" w:cs="Times New Roman"/>
          <w:sz w:val="20"/>
          <w:szCs w:val="20"/>
        </w:rPr>
        <w:t>Alignment of the amino acid sequences around the mutated region of SlGLK2 and homologs from other plant species</w:t>
      </w:r>
    </w:p>
    <w:p w14:paraId="55F9CAE6"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sz w:val="20"/>
          <w:szCs w:val="20"/>
        </w:rPr>
        <w:t xml:space="preserve">These sequences have diversified lengths and sequences in this region. Amino acid sequences of SlGLK2 homologs were aligned and displayed by NCBI Multiple Sequence Alignment Viewer (Version 1.22.0). Disordered region (Right blue), target region (pink), MYB domain (yellow), GCT box (green). </w:t>
      </w:r>
      <w:r w:rsidRPr="007571DE">
        <w:rPr>
          <w:rFonts w:ascii="Times New Roman" w:eastAsia="Times New Roman" w:hAnsi="Times New Roman" w:cs="Times New Roman"/>
          <w:i/>
          <w:iCs/>
          <w:sz w:val="20"/>
          <w:szCs w:val="20"/>
        </w:rPr>
        <w:t>Solanum lycopersicum</w:t>
      </w:r>
      <w:r w:rsidRPr="007571DE">
        <w:rPr>
          <w:rFonts w:ascii="Times New Roman" w:eastAsia="Times New Roman" w:hAnsi="Times New Roman" w:cs="Times New Roman"/>
          <w:sz w:val="20"/>
          <w:szCs w:val="20"/>
        </w:rPr>
        <w:t xml:space="preserve"> (NP_001266252.1), </w:t>
      </w:r>
      <w:r w:rsidRPr="007571DE">
        <w:rPr>
          <w:rFonts w:ascii="Times New Roman" w:eastAsia="Times New Roman" w:hAnsi="Times New Roman" w:cs="Times New Roman"/>
          <w:i/>
          <w:iCs/>
          <w:sz w:val="20"/>
          <w:szCs w:val="20"/>
        </w:rPr>
        <w:t>Solanum pennellii</w:t>
      </w:r>
      <w:r w:rsidRPr="007571DE">
        <w:rPr>
          <w:rFonts w:ascii="Times New Roman" w:eastAsia="Times New Roman" w:hAnsi="Times New Roman" w:cs="Times New Roman"/>
          <w:sz w:val="20"/>
          <w:szCs w:val="20"/>
        </w:rPr>
        <w:t xml:space="preserve"> (XP_015089237.1), </w:t>
      </w:r>
      <w:r w:rsidRPr="007571DE">
        <w:rPr>
          <w:rFonts w:ascii="Times New Roman" w:eastAsia="Times New Roman" w:hAnsi="Times New Roman" w:cs="Times New Roman"/>
          <w:i/>
          <w:iCs/>
          <w:sz w:val="20"/>
          <w:szCs w:val="20"/>
        </w:rPr>
        <w:t>Solanum tuberosum</w:t>
      </w:r>
      <w:r w:rsidRPr="007571DE">
        <w:rPr>
          <w:rFonts w:ascii="Times New Roman" w:eastAsia="Times New Roman" w:hAnsi="Times New Roman" w:cs="Times New Roman"/>
          <w:sz w:val="20"/>
          <w:szCs w:val="20"/>
        </w:rPr>
        <w:t xml:space="preserve"> (KAH0722065.1), </w:t>
      </w:r>
      <w:r w:rsidRPr="007571DE">
        <w:rPr>
          <w:rFonts w:ascii="Times New Roman" w:eastAsia="Times New Roman" w:hAnsi="Times New Roman" w:cs="Times New Roman"/>
          <w:i/>
          <w:iCs/>
          <w:sz w:val="20"/>
          <w:szCs w:val="20"/>
        </w:rPr>
        <w:t>Capsicum annuum</w:t>
      </w:r>
      <w:r w:rsidRPr="007571DE">
        <w:rPr>
          <w:rFonts w:ascii="Times New Roman" w:eastAsia="Times New Roman" w:hAnsi="Times New Roman" w:cs="Times New Roman"/>
          <w:sz w:val="20"/>
          <w:szCs w:val="20"/>
        </w:rPr>
        <w:t xml:space="preserve"> (AFF60406.1), </w:t>
      </w:r>
      <w:r w:rsidRPr="007571DE">
        <w:rPr>
          <w:rFonts w:ascii="Times New Roman" w:eastAsia="Times New Roman" w:hAnsi="Times New Roman" w:cs="Times New Roman"/>
          <w:i/>
          <w:iCs/>
          <w:sz w:val="20"/>
          <w:szCs w:val="20"/>
        </w:rPr>
        <w:t>Smallanthus sonchifolius</w:t>
      </w:r>
      <w:r w:rsidRPr="007571DE">
        <w:rPr>
          <w:rFonts w:ascii="Times New Roman" w:eastAsia="Times New Roman" w:hAnsi="Times New Roman" w:cs="Times New Roman"/>
          <w:sz w:val="20"/>
          <w:szCs w:val="20"/>
        </w:rPr>
        <w:t xml:space="preserve"> (KA3774048.1), </w:t>
      </w:r>
      <w:r w:rsidRPr="007571DE">
        <w:rPr>
          <w:rFonts w:ascii="Times New Roman" w:eastAsia="Times New Roman" w:hAnsi="Times New Roman" w:cs="Times New Roman"/>
          <w:i/>
          <w:iCs/>
          <w:sz w:val="20"/>
          <w:szCs w:val="20"/>
        </w:rPr>
        <w:t>Gossypium mustelinum</w:t>
      </w:r>
      <w:r w:rsidRPr="007571DE">
        <w:rPr>
          <w:rFonts w:ascii="Times New Roman" w:eastAsia="Times New Roman" w:hAnsi="Times New Roman" w:cs="Times New Roman"/>
          <w:sz w:val="20"/>
          <w:szCs w:val="20"/>
        </w:rPr>
        <w:t xml:space="preserve"> (TYI95756.1), </w:t>
      </w:r>
      <w:r w:rsidRPr="007571DE">
        <w:rPr>
          <w:rFonts w:ascii="Times New Roman" w:eastAsia="Times New Roman" w:hAnsi="Times New Roman" w:cs="Times New Roman"/>
          <w:i/>
          <w:iCs/>
          <w:sz w:val="20"/>
          <w:szCs w:val="20"/>
        </w:rPr>
        <w:t>Morella rubra</w:t>
      </w:r>
      <w:r w:rsidRPr="007571DE">
        <w:rPr>
          <w:rFonts w:ascii="Times New Roman" w:eastAsia="Times New Roman" w:hAnsi="Times New Roman" w:cs="Times New Roman"/>
          <w:sz w:val="20"/>
          <w:szCs w:val="20"/>
        </w:rPr>
        <w:t xml:space="preserve"> (KAB1227988.1), </w:t>
      </w:r>
      <w:r w:rsidRPr="007571DE">
        <w:rPr>
          <w:rFonts w:ascii="Times New Roman" w:eastAsia="Times New Roman" w:hAnsi="Times New Roman" w:cs="Times New Roman"/>
          <w:i/>
          <w:iCs/>
          <w:sz w:val="20"/>
          <w:szCs w:val="20"/>
        </w:rPr>
        <w:t>Trifolium pratense</w:t>
      </w:r>
      <w:r w:rsidRPr="007571DE">
        <w:rPr>
          <w:rFonts w:ascii="Times New Roman" w:eastAsia="Times New Roman" w:hAnsi="Times New Roman" w:cs="Times New Roman"/>
          <w:sz w:val="20"/>
          <w:szCs w:val="20"/>
        </w:rPr>
        <w:t xml:space="preserve"> (XP_045804791.1),  </w:t>
      </w:r>
      <w:r w:rsidRPr="007571DE">
        <w:rPr>
          <w:rFonts w:ascii="Times New Roman" w:eastAsia="Times New Roman" w:hAnsi="Times New Roman" w:cs="Times New Roman"/>
          <w:i/>
          <w:iCs/>
          <w:sz w:val="20"/>
          <w:szCs w:val="20"/>
        </w:rPr>
        <w:t>Nicotiana tomentosiformis</w:t>
      </w:r>
      <w:r w:rsidRPr="007571DE">
        <w:rPr>
          <w:rFonts w:ascii="Times New Roman" w:eastAsia="Times New Roman" w:hAnsi="Times New Roman" w:cs="Times New Roman"/>
          <w:sz w:val="20"/>
          <w:szCs w:val="20"/>
        </w:rPr>
        <w:t xml:space="preserve"> (XP_009589600.1), </w:t>
      </w:r>
      <w:r w:rsidRPr="007571DE">
        <w:rPr>
          <w:rFonts w:ascii="Times New Roman" w:eastAsia="Times New Roman" w:hAnsi="Times New Roman" w:cs="Times New Roman"/>
          <w:i/>
          <w:iCs/>
          <w:sz w:val="20"/>
          <w:szCs w:val="20"/>
        </w:rPr>
        <w:t>Medicago truncatula</w:t>
      </w:r>
      <w:r w:rsidRPr="007571DE">
        <w:rPr>
          <w:rFonts w:ascii="Times New Roman" w:eastAsia="Times New Roman" w:hAnsi="Times New Roman" w:cs="Times New Roman"/>
          <w:sz w:val="20"/>
          <w:szCs w:val="20"/>
        </w:rPr>
        <w:t xml:space="preserve"> (XP_013465151.1), </w:t>
      </w:r>
      <w:r w:rsidRPr="007571DE">
        <w:rPr>
          <w:rFonts w:ascii="Times New Roman" w:eastAsia="Times New Roman" w:hAnsi="Times New Roman" w:cs="Times New Roman"/>
          <w:i/>
          <w:iCs/>
          <w:sz w:val="20"/>
          <w:szCs w:val="20"/>
        </w:rPr>
        <w:t>Citrus sinensis</w:t>
      </w:r>
      <w:r w:rsidRPr="007571DE">
        <w:rPr>
          <w:rFonts w:ascii="Times New Roman" w:eastAsia="Times New Roman" w:hAnsi="Times New Roman" w:cs="Times New Roman"/>
          <w:sz w:val="20"/>
          <w:szCs w:val="20"/>
        </w:rPr>
        <w:t xml:space="preserve"> (XP_006470159.1), </w:t>
      </w:r>
      <w:r w:rsidRPr="007571DE">
        <w:rPr>
          <w:rFonts w:ascii="Times New Roman" w:eastAsia="Times New Roman" w:hAnsi="Times New Roman" w:cs="Times New Roman"/>
          <w:i/>
          <w:iCs/>
          <w:sz w:val="20"/>
          <w:szCs w:val="20"/>
        </w:rPr>
        <w:t>Glycine max</w:t>
      </w:r>
      <w:r w:rsidRPr="007571DE">
        <w:rPr>
          <w:rFonts w:ascii="Times New Roman" w:eastAsia="Times New Roman" w:hAnsi="Times New Roman" w:cs="Times New Roman"/>
          <w:sz w:val="20"/>
          <w:szCs w:val="20"/>
        </w:rPr>
        <w:t xml:space="preserve"> (NP_001241943.1), </w:t>
      </w:r>
      <w:r w:rsidRPr="007571DE">
        <w:rPr>
          <w:rFonts w:ascii="Times New Roman" w:eastAsia="Times New Roman" w:hAnsi="Times New Roman" w:cs="Times New Roman"/>
          <w:i/>
          <w:iCs/>
          <w:sz w:val="20"/>
          <w:szCs w:val="20"/>
        </w:rPr>
        <w:t>Glycine soja</w:t>
      </w:r>
      <w:r w:rsidRPr="007571DE">
        <w:rPr>
          <w:rFonts w:ascii="Times New Roman" w:eastAsia="Times New Roman" w:hAnsi="Times New Roman" w:cs="Times New Roman"/>
          <w:sz w:val="20"/>
          <w:szCs w:val="20"/>
        </w:rPr>
        <w:t xml:space="preserve"> (KAG4967779.1), </w:t>
      </w:r>
      <w:r w:rsidRPr="007571DE">
        <w:rPr>
          <w:rFonts w:ascii="Times New Roman" w:eastAsia="Times New Roman" w:hAnsi="Times New Roman" w:cs="Times New Roman"/>
          <w:i/>
          <w:iCs/>
          <w:sz w:val="20"/>
          <w:szCs w:val="20"/>
        </w:rPr>
        <w:t>Pisum sativum</w:t>
      </w:r>
      <w:r w:rsidRPr="007571DE">
        <w:rPr>
          <w:rFonts w:ascii="Times New Roman" w:eastAsia="Times New Roman" w:hAnsi="Times New Roman" w:cs="Times New Roman"/>
          <w:sz w:val="20"/>
          <w:szCs w:val="20"/>
        </w:rPr>
        <w:t xml:space="preserve"> (XP_050883705.1)</w:t>
      </w:r>
    </w:p>
    <w:p w14:paraId="6AE9C826" w14:textId="77777777" w:rsidR="000A54A4" w:rsidRPr="007571DE" w:rsidRDefault="000A54A4" w:rsidP="000A54A4">
      <w:pPr>
        <w:spacing w:line="480" w:lineRule="auto"/>
        <w:jc w:val="both"/>
        <w:rPr>
          <w:rFonts w:ascii="Times New Roman" w:eastAsia="Times New Roman" w:hAnsi="Times New Roman" w:cs="Times New Roman"/>
          <w:sz w:val="20"/>
          <w:szCs w:val="20"/>
        </w:rPr>
      </w:pPr>
    </w:p>
    <w:p w14:paraId="25B0378B"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b/>
          <w:bCs/>
          <w:sz w:val="20"/>
          <w:szCs w:val="20"/>
        </w:rPr>
        <w:t xml:space="preserve">Fig. S4 </w:t>
      </w:r>
      <w:r w:rsidRPr="007571DE">
        <w:rPr>
          <w:rFonts w:ascii="Times New Roman" w:eastAsia="Times New Roman" w:hAnsi="Times New Roman" w:cs="Times New Roman"/>
          <w:sz w:val="20"/>
          <w:szCs w:val="20"/>
        </w:rPr>
        <w:t xml:space="preserve">The mutated region of </w:t>
      </w:r>
      <w:r w:rsidRPr="007571DE">
        <w:rPr>
          <w:rFonts w:ascii="Times New Roman" w:eastAsia="Times New Roman" w:hAnsi="Times New Roman" w:cs="Times New Roman"/>
          <w:i/>
          <w:iCs/>
          <w:sz w:val="20"/>
          <w:szCs w:val="20"/>
        </w:rPr>
        <w:t>CR-Sglk2-4</w:t>
      </w:r>
      <w:r w:rsidRPr="007571DE">
        <w:rPr>
          <w:rFonts w:ascii="Times New Roman" w:eastAsia="Times New Roman" w:hAnsi="Times New Roman" w:cs="Times New Roman"/>
          <w:sz w:val="20"/>
          <w:szCs w:val="20"/>
        </w:rPr>
        <w:t xml:space="preserve"> allele is located in the linker region of SlGLK2</w:t>
      </w:r>
    </w:p>
    <w:p w14:paraId="744F8BF6"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sz w:val="20"/>
          <w:szCs w:val="20"/>
        </w:rPr>
        <w:t xml:space="preserve">Predicted SlGLK2 structures of Wild-type and </w:t>
      </w:r>
      <w:r w:rsidRPr="007571DE">
        <w:rPr>
          <w:rFonts w:ascii="Times New Roman" w:eastAsia="Times New Roman" w:hAnsi="Times New Roman" w:cs="Times New Roman"/>
          <w:i/>
          <w:iCs/>
          <w:sz w:val="20"/>
          <w:szCs w:val="20"/>
        </w:rPr>
        <w:t>CR-Sglk2-4</w:t>
      </w:r>
      <w:r w:rsidRPr="007571DE">
        <w:rPr>
          <w:rFonts w:ascii="Times New Roman" w:eastAsia="Times New Roman" w:hAnsi="Times New Roman" w:cs="Times New Roman"/>
          <w:sz w:val="20"/>
          <w:szCs w:val="20"/>
        </w:rPr>
        <w:t xml:space="preserve"> allele (CR4) using AlphaFold3. The target region and modified sequences are highlighted in green and blue, respectively. Predicted MYB domain is shown in yellow. </w:t>
      </w:r>
    </w:p>
    <w:p w14:paraId="2AB94C9D" w14:textId="77777777" w:rsidR="000A54A4" w:rsidRPr="007571DE" w:rsidRDefault="000A54A4" w:rsidP="000A54A4">
      <w:pPr>
        <w:spacing w:line="480" w:lineRule="auto"/>
        <w:jc w:val="both"/>
        <w:rPr>
          <w:rFonts w:ascii="Times New Roman" w:eastAsia="Times New Roman" w:hAnsi="Times New Roman" w:cs="Times New Roman"/>
          <w:sz w:val="20"/>
          <w:szCs w:val="20"/>
        </w:rPr>
      </w:pPr>
    </w:p>
    <w:p w14:paraId="21BCDA69"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b/>
          <w:bCs/>
          <w:sz w:val="20"/>
          <w:szCs w:val="20"/>
        </w:rPr>
        <w:t xml:space="preserve">Fig. S5 </w:t>
      </w:r>
      <w:r w:rsidRPr="007571DE">
        <w:rPr>
          <w:rFonts w:ascii="Times New Roman" w:eastAsia="Times New Roman" w:hAnsi="Times New Roman" w:cs="Times New Roman"/>
          <w:i/>
          <w:iCs/>
          <w:sz w:val="20"/>
          <w:szCs w:val="20"/>
        </w:rPr>
        <w:t>CR-Sglk2-4</w:t>
      </w:r>
      <w:r w:rsidRPr="007571DE">
        <w:rPr>
          <w:rFonts w:ascii="Times New Roman" w:eastAsia="Times New Roman" w:hAnsi="Times New Roman" w:cs="Times New Roman"/>
          <w:sz w:val="20"/>
          <w:szCs w:val="20"/>
        </w:rPr>
        <w:t xml:space="preserve"> allele does not affect nuclear localization signal</w:t>
      </w:r>
    </w:p>
    <w:p w14:paraId="6513AA89"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sz w:val="20"/>
          <w:szCs w:val="20"/>
        </w:rPr>
        <w:lastRenderedPageBreak/>
        <w:t xml:space="preserve">Subcellular localization prediction of SlGLK2 variants using LOCALIZER v.1.0.4 (https://localizer.csiro.au/) indicates that both variants, WT </w:t>
      </w:r>
      <w:r w:rsidRPr="007571DE">
        <w:rPr>
          <w:rFonts w:ascii="Times New Roman" w:eastAsia="Times New Roman" w:hAnsi="Times New Roman" w:cs="Times New Roman"/>
          <w:b/>
          <w:bCs/>
          <w:sz w:val="20"/>
          <w:szCs w:val="20"/>
        </w:rPr>
        <w:t>(a)</w:t>
      </w:r>
      <w:r w:rsidRPr="007571DE">
        <w:rPr>
          <w:rFonts w:ascii="Times New Roman" w:eastAsia="Times New Roman" w:hAnsi="Times New Roman" w:cs="Times New Roman"/>
          <w:sz w:val="20"/>
          <w:szCs w:val="20"/>
        </w:rPr>
        <w:t xml:space="preserve"> and 13-bp-deletion variant </w:t>
      </w:r>
      <w:r w:rsidRPr="007571DE">
        <w:rPr>
          <w:rFonts w:ascii="Times New Roman" w:eastAsia="Times New Roman" w:hAnsi="Times New Roman" w:cs="Times New Roman"/>
          <w:b/>
          <w:bCs/>
          <w:sz w:val="20"/>
          <w:szCs w:val="20"/>
        </w:rPr>
        <w:t>(b)</w:t>
      </w:r>
      <w:r w:rsidRPr="007571DE">
        <w:rPr>
          <w:rFonts w:ascii="Times New Roman" w:eastAsia="Times New Roman" w:hAnsi="Times New Roman" w:cs="Times New Roman"/>
          <w:sz w:val="20"/>
          <w:szCs w:val="20"/>
        </w:rPr>
        <w:t xml:space="preserve"> of the </w:t>
      </w:r>
      <w:r w:rsidRPr="007571DE">
        <w:rPr>
          <w:rFonts w:ascii="Times New Roman" w:eastAsia="Times New Roman" w:hAnsi="Times New Roman" w:cs="Times New Roman"/>
          <w:i/>
          <w:iCs/>
          <w:sz w:val="20"/>
          <w:szCs w:val="20"/>
        </w:rPr>
        <w:t xml:space="preserve">CR-Slglk2-4 </w:t>
      </w:r>
      <w:r w:rsidRPr="007571DE">
        <w:rPr>
          <w:rFonts w:ascii="Times New Roman" w:eastAsia="Times New Roman" w:hAnsi="Times New Roman" w:cs="Times New Roman"/>
          <w:sz w:val="20"/>
          <w:szCs w:val="20"/>
        </w:rPr>
        <w:t>line, have a nuclear localization signal with no transit peptides.</w:t>
      </w:r>
    </w:p>
    <w:p w14:paraId="3E82330B" w14:textId="77777777" w:rsidR="000A54A4" w:rsidRPr="007571DE" w:rsidRDefault="000A54A4" w:rsidP="000A54A4">
      <w:pPr>
        <w:spacing w:line="480" w:lineRule="auto"/>
        <w:jc w:val="both"/>
        <w:rPr>
          <w:rFonts w:ascii="Times New Roman" w:eastAsia="Times New Roman" w:hAnsi="Times New Roman" w:cs="Times New Roman"/>
          <w:sz w:val="20"/>
          <w:szCs w:val="20"/>
        </w:rPr>
      </w:pPr>
    </w:p>
    <w:p w14:paraId="23ED0EB4"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b/>
          <w:bCs/>
          <w:sz w:val="20"/>
          <w:szCs w:val="20"/>
        </w:rPr>
        <w:t xml:space="preserve">Fig. S6 </w:t>
      </w:r>
      <w:r w:rsidRPr="007571DE">
        <w:rPr>
          <w:rFonts w:ascii="Times New Roman" w:eastAsia="Times New Roman" w:hAnsi="Times New Roman" w:cs="Times New Roman"/>
          <w:sz w:val="20"/>
          <w:szCs w:val="20"/>
        </w:rPr>
        <w:t xml:space="preserve">Subcellular localization of SlGLK2 variants in </w:t>
      </w:r>
      <w:r w:rsidRPr="007571DE">
        <w:rPr>
          <w:rFonts w:ascii="Times New Roman" w:eastAsia="Times New Roman" w:hAnsi="Times New Roman" w:cs="Times New Roman"/>
          <w:i/>
          <w:iCs/>
          <w:sz w:val="20"/>
          <w:szCs w:val="20"/>
        </w:rPr>
        <w:t>Nicotiana benthamiana</w:t>
      </w:r>
      <w:r w:rsidRPr="007571DE">
        <w:rPr>
          <w:rFonts w:ascii="Times New Roman" w:eastAsia="Times New Roman" w:hAnsi="Times New Roman" w:cs="Times New Roman"/>
          <w:sz w:val="20"/>
          <w:szCs w:val="20"/>
        </w:rPr>
        <w:t xml:space="preserve"> leaf</w:t>
      </w:r>
    </w:p>
    <w:p w14:paraId="5859E3D5"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sz w:val="20"/>
          <w:szCs w:val="20"/>
        </w:rPr>
        <w:t xml:space="preserve">Subcellular localization of WT, u allele, and 13-bp deletion variant of SlGLK2 protein. Each variant was fused with superfolder green fluorescent protein (sfGFP) and transiently expressed in </w:t>
      </w:r>
      <w:r w:rsidRPr="007571DE">
        <w:rPr>
          <w:rFonts w:ascii="Times New Roman" w:eastAsia="Times New Roman" w:hAnsi="Times New Roman" w:cs="Times New Roman"/>
          <w:i/>
          <w:iCs/>
          <w:sz w:val="20"/>
          <w:szCs w:val="20"/>
        </w:rPr>
        <w:t>N. benthamiana</w:t>
      </w:r>
      <w:r w:rsidRPr="007571DE">
        <w:rPr>
          <w:rFonts w:ascii="Times New Roman" w:eastAsia="Times New Roman" w:hAnsi="Times New Roman" w:cs="Times New Roman"/>
          <w:sz w:val="20"/>
          <w:szCs w:val="20"/>
        </w:rPr>
        <w:t xml:space="preserve"> leaves.</w:t>
      </w:r>
    </w:p>
    <w:p w14:paraId="0B86576C" w14:textId="77777777" w:rsidR="000A54A4" w:rsidRPr="007571DE" w:rsidRDefault="000A54A4" w:rsidP="000A54A4">
      <w:pPr>
        <w:spacing w:line="480" w:lineRule="auto"/>
        <w:jc w:val="both"/>
        <w:rPr>
          <w:rFonts w:ascii="Times New Roman" w:eastAsia="Times New Roman" w:hAnsi="Times New Roman" w:cs="Times New Roman"/>
          <w:sz w:val="20"/>
          <w:szCs w:val="20"/>
        </w:rPr>
      </w:pPr>
    </w:p>
    <w:p w14:paraId="3BD47312"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r w:rsidRPr="007571DE">
        <w:rPr>
          <w:rFonts w:ascii="Times New Roman" w:eastAsia="Times New Roman" w:hAnsi="Times New Roman" w:cs="Times New Roman"/>
          <w:b/>
          <w:bCs/>
          <w:sz w:val="20"/>
          <w:szCs w:val="20"/>
        </w:rPr>
        <w:t xml:space="preserve">Table S1 </w:t>
      </w:r>
      <w:r w:rsidRPr="007571DE">
        <w:rPr>
          <w:rFonts w:ascii="Times New Roman" w:eastAsia="Times New Roman" w:hAnsi="Times New Roman" w:cs="Times New Roman"/>
          <w:sz w:val="20"/>
          <w:szCs w:val="20"/>
        </w:rPr>
        <w:t>List of primers used in this study</w:t>
      </w:r>
    </w:p>
    <w:p w14:paraId="604F5327"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p>
    <w:p w14:paraId="5E35E24C"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r w:rsidRPr="007571DE">
        <w:rPr>
          <w:rFonts w:ascii="Times New Roman" w:eastAsia="Times New Roman" w:hAnsi="Times New Roman" w:cs="Times New Roman"/>
          <w:b/>
          <w:bCs/>
          <w:sz w:val="20"/>
          <w:szCs w:val="20"/>
        </w:rPr>
        <w:t xml:space="preserve">Table S2 </w:t>
      </w:r>
      <w:r w:rsidRPr="007571DE">
        <w:rPr>
          <w:rFonts w:ascii="Times New Roman" w:eastAsia="Times New Roman" w:hAnsi="Times New Roman" w:cs="Times New Roman"/>
          <w:sz w:val="20"/>
          <w:szCs w:val="20"/>
        </w:rPr>
        <w:t xml:space="preserve">Expression (logCPM) in </w:t>
      </w:r>
      <w:r w:rsidRPr="007571DE">
        <w:rPr>
          <w:rFonts w:ascii="Times New Roman" w:eastAsia="Times New Roman" w:hAnsi="Times New Roman" w:cs="Times New Roman"/>
          <w:i/>
          <w:iCs/>
          <w:sz w:val="20"/>
          <w:szCs w:val="20"/>
        </w:rPr>
        <w:t>u</w:t>
      </w:r>
      <w:r w:rsidRPr="007571DE">
        <w:rPr>
          <w:rFonts w:ascii="Times New Roman" w:eastAsia="Times New Roman" w:hAnsi="Times New Roman" w:cs="Times New Roman"/>
          <w:sz w:val="20"/>
          <w:szCs w:val="20"/>
        </w:rPr>
        <w:t xml:space="preserve"> allele and </w:t>
      </w:r>
      <w:r w:rsidRPr="007571DE">
        <w:rPr>
          <w:rFonts w:ascii="Times New Roman" w:eastAsia="Times New Roman" w:hAnsi="Times New Roman" w:cs="Times New Roman"/>
          <w:i/>
          <w:iCs/>
          <w:sz w:val="20"/>
          <w:szCs w:val="20"/>
        </w:rPr>
        <w:t>CR-Slglk2-4</w:t>
      </w:r>
      <w:r w:rsidRPr="007571DE">
        <w:rPr>
          <w:rFonts w:ascii="Times New Roman" w:eastAsia="Times New Roman" w:hAnsi="Times New Roman" w:cs="Times New Roman"/>
          <w:sz w:val="20"/>
          <w:szCs w:val="20"/>
        </w:rPr>
        <w:t xml:space="preserve"> (</w:t>
      </w:r>
      <w:r w:rsidRPr="007571DE">
        <w:rPr>
          <w:rFonts w:ascii="Times New Roman" w:eastAsia="Times New Roman" w:hAnsi="Times New Roman" w:cs="Times New Roman"/>
          <w:i/>
          <w:iCs/>
          <w:sz w:val="20"/>
          <w:szCs w:val="20"/>
        </w:rPr>
        <w:t>CR4</w:t>
      </w:r>
      <w:r w:rsidRPr="007571DE">
        <w:rPr>
          <w:rFonts w:ascii="Times New Roman" w:eastAsia="Times New Roman" w:hAnsi="Times New Roman" w:cs="Times New Roman"/>
          <w:sz w:val="20"/>
          <w:szCs w:val="20"/>
        </w:rPr>
        <w:t>) allele fruits</w:t>
      </w:r>
    </w:p>
    <w:p w14:paraId="5437635C"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p>
    <w:p w14:paraId="6BEBB3E2"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b/>
          <w:bCs/>
          <w:sz w:val="20"/>
          <w:szCs w:val="20"/>
        </w:rPr>
        <w:t xml:space="preserve">Table S3 </w:t>
      </w:r>
      <w:r w:rsidRPr="007571DE">
        <w:rPr>
          <w:rFonts w:ascii="Times New Roman" w:eastAsia="Times New Roman" w:hAnsi="Times New Roman" w:cs="Times New Roman"/>
          <w:sz w:val="20"/>
          <w:szCs w:val="20"/>
        </w:rPr>
        <w:t xml:space="preserve">Differentially expressed genes in the stem part of </w:t>
      </w:r>
      <w:r w:rsidRPr="007571DE">
        <w:rPr>
          <w:rFonts w:ascii="Times New Roman" w:eastAsia="Times New Roman" w:hAnsi="Times New Roman" w:cs="Times New Roman"/>
          <w:i/>
          <w:iCs/>
          <w:sz w:val="20"/>
          <w:szCs w:val="20"/>
        </w:rPr>
        <w:t>CR-Slglk2-4</w:t>
      </w:r>
      <w:r w:rsidRPr="007571DE">
        <w:rPr>
          <w:rFonts w:ascii="Times New Roman" w:eastAsia="Times New Roman" w:hAnsi="Times New Roman" w:cs="Times New Roman"/>
          <w:sz w:val="20"/>
          <w:szCs w:val="20"/>
        </w:rPr>
        <w:t xml:space="preserve"> (</w:t>
      </w:r>
      <w:r w:rsidRPr="007571DE">
        <w:rPr>
          <w:rFonts w:ascii="Times New Roman" w:eastAsia="Times New Roman" w:hAnsi="Times New Roman" w:cs="Times New Roman"/>
          <w:i/>
          <w:iCs/>
          <w:sz w:val="20"/>
          <w:szCs w:val="20"/>
        </w:rPr>
        <w:t>CR4</w:t>
      </w:r>
      <w:r w:rsidRPr="007571DE">
        <w:rPr>
          <w:rFonts w:ascii="Times New Roman" w:eastAsia="Times New Roman" w:hAnsi="Times New Roman" w:cs="Times New Roman"/>
          <w:sz w:val="20"/>
          <w:szCs w:val="20"/>
        </w:rPr>
        <w:t xml:space="preserve">) fruit compared to stem part of </w:t>
      </w:r>
      <w:r w:rsidRPr="007571DE">
        <w:rPr>
          <w:rFonts w:ascii="Times New Roman" w:eastAsia="Times New Roman" w:hAnsi="Times New Roman" w:cs="Times New Roman"/>
          <w:i/>
          <w:iCs/>
          <w:sz w:val="20"/>
          <w:szCs w:val="20"/>
        </w:rPr>
        <w:t>u</w:t>
      </w:r>
      <w:r w:rsidRPr="007571DE">
        <w:rPr>
          <w:rFonts w:ascii="Times New Roman" w:eastAsia="Times New Roman" w:hAnsi="Times New Roman" w:cs="Times New Roman"/>
          <w:sz w:val="20"/>
          <w:szCs w:val="20"/>
        </w:rPr>
        <w:t xml:space="preserve"> allele fruit at 15 days after pollination</w:t>
      </w:r>
    </w:p>
    <w:p w14:paraId="4C60E1C8"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p>
    <w:p w14:paraId="3BC29916"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r w:rsidRPr="007571DE">
        <w:rPr>
          <w:rFonts w:ascii="Times New Roman" w:eastAsia="Times New Roman" w:hAnsi="Times New Roman" w:cs="Times New Roman"/>
          <w:b/>
          <w:bCs/>
          <w:sz w:val="20"/>
          <w:szCs w:val="20"/>
        </w:rPr>
        <w:t xml:space="preserve">Table S4 </w:t>
      </w:r>
      <w:r w:rsidRPr="007571DE">
        <w:rPr>
          <w:rFonts w:ascii="Times New Roman" w:eastAsia="Times New Roman" w:hAnsi="Times New Roman" w:cs="Times New Roman"/>
          <w:sz w:val="20"/>
          <w:szCs w:val="20"/>
        </w:rPr>
        <w:t xml:space="preserve">Differentially expressed genes in the stem part of </w:t>
      </w:r>
      <w:r w:rsidRPr="007571DE">
        <w:rPr>
          <w:rFonts w:ascii="Times New Roman" w:eastAsia="Times New Roman" w:hAnsi="Times New Roman" w:cs="Times New Roman"/>
          <w:i/>
          <w:iCs/>
          <w:sz w:val="20"/>
          <w:szCs w:val="20"/>
        </w:rPr>
        <w:t>CR-Slglk2-4</w:t>
      </w:r>
      <w:r w:rsidRPr="007571DE">
        <w:rPr>
          <w:rFonts w:ascii="Times New Roman" w:eastAsia="Times New Roman" w:hAnsi="Times New Roman" w:cs="Times New Roman"/>
          <w:sz w:val="20"/>
          <w:szCs w:val="20"/>
        </w:rPr>
        <w:t xml:space="preserve"> (</w:t>
      </w:r>
      <w:r w:rsidRPr="007571DE">
        <w:rPr>
          <w:rFonts w:ascii="Times New Roman" w:eastAsia="Times New Roman" w:hAnsi="Times New Roman" w:cs="Times New Roman"/>
          <w:i/>
          <w:iCs/>
          <w:sz w:val="20"/>
          <w:szCs w:val="20"/>
        </w:rPr>
        <w:t>CR4</w:t>
      </w:r>
      <w:r w:rsidRPr="007571DE">
        <w:rPr>
          <w:rFonts w:ascii="Times New Roman" w:eastAsia="Times New Roman" w:hAnsi="Times New Roman" w:cs="Times New Roman"/>
          <w:sz w:val="20"/>
          <w:szCs w:val="20"/>
        </w:rPr>
        <w:t xml:space="preserve">) fruit compared to tip part of </w:t>
      </w:r>
      <w:r w:rsidRPr="007571DE">
        <w:rPr>
          <w:rFonts w:ascii="Times New Roman" w:eastAsia="Times New Roman" w:hAnsi="Times New Roman" w:cs="Times New Roman"/>
          <w:i/>
          <w:iCs/>
          <w:sz w:val="20"/>
          <w:szCs w:val="20"/>
        </w:rPr>
        <w:t>CR-Slglk2-4</w:t>
      </w:r>
      <w:r w:rsidRPr="007571DE">
        <w:rPr>
          <w:rFonts w:ascii="Times New Roman" w:eastAsia="Times New Roman" w:hAnsi="Times New Roman" w:cs="Times New Roman"/>
          <w:sz w:val="20"/>
          <w:szCs w:val="20"/>
        </w:rPr>
        <w:t xml:space="preserve"> (</w:t>
      </w:r>
      <w:r w:rsidRPr="007571DE">
        <w:rPr>
          <w:rFonts w:ascii="Times New Roman" w:eastAsia="Times New Roman" w:hAnsi="Times New Roman" w:cs="Times New Roman"/>
          <w:i/>
          <w:iCs/>
          <w:sz w:val="20"/>
          <w:szCs w:val="20"/>
        </w:rPr>
        <w:t>CR4</w:t>
      </w:r>
      <w:r w:rsidRPr="007571DE">
        <w:rPr>
          <w:rFonts w:ascii="Times New Roman" w:eastAsia="Times New Roman" w:hAnsi="Times New Roman" w:cs="Times New Roman"/>
          <w:sz w:val="20"/>
          <w:szCs w:val="20"/>
        </w:rPr>
        <w:t>) fruit at 15 days after pollination</w:t>
      </w:r>
    </w:p>
    <w:p w14:paraId="3377BC42"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p>
    <w:p w14:paraId="137DEC99"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r w:rsidRPr="007571DE">
        <w:rPr>
          <w:rFonts w:ascii="Times New Roman" w:eastAsia="Times New Roman" w:hAnsi="Times New Roman" w:cs="Times New Roman"/>
          <w:b/>
          <w:bCs/>
          <w:sz w:val="20"/>
          <w:szCs w:val="20"/>
        </w:rPr>
        <w:t xml:space="preserve">Table S5 </w:t>
      </w:r>
      <w:r w:rsidRPr="007571DE">
        <w:rPr>
          <w:rFonts w:ascii="Times New Roman" w:eastAsia="Times New Roman" w:hAnsi="Times New Roman" w:cs="Times New Roman"/>
          <w:sz w:val="20"/>
          <w:szCs w:val="20"/>
        </w:rPr>
        <w:t xml:space="preserve">Differentially expressed genes in </w:t>
      </w:r>
      <w:r w:rsidRPr="007571DE">
        <w:rPr>
          <w:rFonts w:ascii="Times New Roman" w:eastAsia="Times New Roman" w:hAnsi="Times New Roman" w:cs="Times New Roman"/>
          <w:i/>
          <w:iCs/>
          <w:sz w:val="20"/>
          <w:szCs w:val="20"/>
        </w:rPr>
        <w:t>SlGLK2ox</w:t>
      </w:r>
      <w:r w:rsidRPr="007571DE">
        <w:rPr>
          <w:rFonts w:ascii="Times New Roman" w:eastAsia="Times New Roman" w:hAnsi="Times New Roman" w:cs="Times New Roman"/>
          <w:sz w:val="20"/>
          <w:szCs w:val="20"/>
        </w:rPr>
        <w:t xml:space="preserve"> fruit at 15 days after pollination</w:t>
      </w:r>
    </w:p>
    <w:p w14:paraId="60EA5B08"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p>
    <w:p w14:paraId="19B33D9E" w14:textId="77777777" w:rsidR="000A54A4" w:rsidRPr="007571DE" w:rsidRDefault="000A54A4" w:rsidP="000A54A4">
      <w:pPr>
        <w:spacing w:line="480" w:lineRule="auto"/>
        <w:jc w:val="both"/>
        <w:rPr>
          <w:rFonts w:ascii="Times New Roman" w:eastAsia="Times New Roman" w:hAnsi="Times New Roman" w:cs="Times New Roman"/>
          <w:sz w:val="20"/>
          <w:szCs w:val="20"/>
        </w:rPr>
      </w:pPr>
      <w:r w:rsidRPr="007571DE">
        <w:rPr>
          <w:rFonts w:ascii="Times New Roman" w:eastAsia="Times New Roman" w:hAnsi="Times New Roman" w:cs="Times New Roman"/>
          <w:b/>
          <w:bCs/>
          <w:sz w:val="20"/>
          <w:szCs w:val="20"/>
        </w:rPr>
        <w:t xml:space="preserve">Table S6 </w:t>
      </w:r>
      <w:r w:rsidRPr="007571DE">
        <w:rPr>
          <w:rFonts w:ascii="Times New Roman" w:eastAsia="Times New Roman" w:hAnsi="Times New Roman" w:cs="Times New Roman"/>
          <w:sz w:val="20"/>
          <w:szCs w:val="20"/>
        </w:rPr>
        <w:t xml:space="preserve">Commonly upregulated or downregulated genes in </w:t>
      </w:r>
      <w:r w:rsidRPr="007571DE">
        <w:rPr>
          <w:rFonts w:ascii="Times New Roman" w:eastAsia="Times New Roman" w:hAnsi="Times New Roman" w:cs="Times New Roman"/>
          <w:i/>
          <w:iCs/>
          <w:sz w:val="20"/>
          <w:szCs w:val="20"/>
        </w:rPr>
        <w:t>CR-Slglk2-4</w:t>
      </w:r>
      <w:r w:rsidRPr="007571DE">
        <w:rPr>
          <w:rFonts w:ascii="Times New Roman" w:eastAsia="Times New Roman" w:hAnsi="Times New Roman" w:cs="Times New Roman"/>
          <w:sz w:val="20"/>
          <w:szCs w:val="20"/>
        </w:rPr>
        <w:t xml:space="preserve"> and </w:t>
      </w:r>
      <w:r w:rsidRPr="007571DE">
        <w:rPr>
          <w:rFonts w:ascii="Times New Roman" w:eastAsia="Times New Roman" w:hAnsi="Times New Roman" w:cs="Times New Roman"/>
          <w:i/>
          <w:iCs/>
          <w:sz w:val="20"/>
          <w:szCs w:val="20"/>
        </w:rPr>
        <w:t>SlGLK2ox</w:t>
      </w:r>
      <w:r w:rsidRPr="007571DE">
        <w:rPr>
          <w:rFonts w:ascii="Times New Roman" w:eastAsia="Times New Roman" w:hAnsi="Times New Roman" w:cs="Times New Roman"/>
          <w:sz w:val="20"/>
          <w:szCs w:val="20"/>
        </w:rPr>
        <w:t xml:space="preserve"> fruits</w:t>
      </w:r>
    </w:p>
    <w:p w14:paraId="0C4F859B" w14:textId="77777777" w:rsidR="000A54A4" w:rsidRPr="007571DE" w:rsidRDefault="000A54A4" w:rsidP="000A54A4">
      <w:pPr>
        <w:spacing w:line="480" w:lineRule="auto"/>
        <w:jc w:val="both"/>
        <w:rPr>
          <w:rFonts w:ascii="Times New Roman" w:eastAsia="Times New Roman" w:hAnsi="Times New Roman" w:cs="Times New Roman"/>
          <w:sz w:val="20"/>
          <w:szCs w:val="20"/>
        </w:rPr>
      </w:pPr>
    </w:p>
    <w:p w14:paraId="61C54F6B" w14:textId="77777777" w:rsidR="000A54A4" w:rsidRPr="007571DE" w:rsidRDefault="000A54A4" w:rsidP="000A54A4">
      <w:pPr>
        <w:spacing w:line="480" w:lineRule="auto"/>
        <w:jc w:val="both"/>
        <w:rPr>
          <w:rFonts w:ascii="Times New Roman" w:eastAsia="Times New Roman" w:hAnsi="Times New Roman" w:cs="Times New Roman"/>
          <w:b/>
          <w:bCs/>
          <w:sz w:val="20"/>
          <w:szCs w:val="20"/>
        </w:rPr>
      </w:pPr>
      <w:r w:rsidRPr="007571DE">
        <w:rPr>
          <w:rFonts w:ascii="Times New Roman" w:eastAsia="Times New Roman" w:hAnsi="Times New Roman" w:cs="Times New Roman"/>
          <w:b/>
          <w:bCs/>
          <w:sz w:val="20"/>
          <w:szCs w:val="20"/>
        </w:rPr>
        <w:t xml:space="preserve">Table S7 </w:t>
      </w:r>
      <w:r w:rsidRPr="007571DE">
        <w:rPr>
          <w:rFonts w:ascii="Times New Roman" w:eastAsia="Times New Roman" w:hAnsi="Times New Roman" w:cs="Times New Roman"/>
          <w:sz w:val="20"/>
          <w:szCs w:val="20"/>
        </w:rPr>
        <w:t>Overrepresentation analysis of GO terms of common-up DEGs using PANTHER v.19.0</w:t>
      </w:r>
    </w:p>
    <w:p w14:paraId="4FEA0FBA"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4A4"/>
    <w:rsid w:val="000A54A4"/>
    <w:rsid w:val="002C7D54"/>
    <w:rsid w:val="0033371E"/>
    <w:rsid w:val="005C0D39"/>
    <w:rsid w:val="0070406C"/>
    <w:rsid w:val="00724754"/>
    <w:rsid w:val="00C321FA"/>
    <w:rsid w:val="00C505D6"/>
    <w:rsid w:val="00C97210"/>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2F1E4"/>
  <w15:chartTrackingRefBased/>
  <w15:docId w15:val="{2E7487CC-CF75-4591-A832-95F5258F7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4A4"/>
    <w:pPr>
      <w:spacing w:after="0" w:line="240" w:lineRule="auto"/>
    </w:pPr>
    <w:rPr>
      <w:rFonts w:ascii="MS PGothic" w:eastAsia="MS PGothic" w:hAnsi="MS PGothic" w:cs="MS PGothic"/>
      <w:kern w:val="0"/>
      <w:lang w:val="en-US" w:eastAsia="ja-JP"/>
      <w14:ligatures w14:val="none"/>
    </w:rPr>
  </w:style>
  <w:style w:type="paragraph" w:styleId="Heading1">
    <w:name w:val="heading 1"/>
    <w:basedOn w:val="Normal"/>
    <w:next w:val="Normal"/>
    <w:link w:val="Heading1Char"/>
    <w:uiPriority w:val="9"/>
    <w:qFormat/>
    <w:rsid w:val="000A54A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0A54A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0A54A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0A54A4"/>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0A54A4"/>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0A54A4"/>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0A54A4"/>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0A54A4"/>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0A54A4"/>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4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4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4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4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4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4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4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4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4A4"/>
    <w:rPr>
      <w:rFonts w:eastAsiaTheme="majorEastAsia" w:cstheme="majorBidi"/>
      <w:color w:val="272727" w:themeColor="text1" w:themeTint="D8"/>
    </w:rPr>
  </w:style>
  <w:style w:type="paragraph" w:styleId="Title">
    <w:name w:val="Title"/>
    <w:basedOn w:val="Normal"/>
    <w:next w:val="Normal"/>
    <w:link w:val="TitleChar"/>
    <w:uiPriority w:val="10"/>
    <w:qFormat/>
    <w:rsid w:val="000A54A4"/>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0A54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4A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0A54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4A4"/>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0A54A4"/>
    <w:rPr>
      <w:i/>
      <w:iCs/>
      <w:color w:val="404040" w:themeColor="text1" w:themeTint="BF"/>
    </w:rPr>
  </w:style>
  <w:style w:type="paragraph" w:styleId="ListParagraph">
    <w:name w:val="List Paragraph"/>
    <w:basedOn w:val="Normal"/>
    <w:uiPriority w:val="34"/>
    <w:qFormat/>
    <w:rsid w:val="000A54A4"/>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0A54A4"/>
    <w:rPr>
      <w:i/>
      <w:iCs/>
      <w:color w:val="0F4761" w:themeColor="accent1" w:themeShade="BF"/>
    </w:rPr>
  </w:style>
  <w:style w:type="paragraph" w:styleId="IntenseQuote">
    <w:name w:val="Intense Quote"/>
    <w:basedOn w:val="Normal"/>
    <w:next w:val="Normal"/>
    <w:link w:val="IntenseQuoteChar"/>
    <w:uiPriority w:val="30"/>
    <w:qFormat/>
    <w:rsid w:val="000A54A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0A54A4"/>
    <w:rPr>
      <w:i/>
      <w:iCs/>
      <w:color w:val="0F4761" w:themeColor="accent1" w:themeShade="BF"/>
    </w:rPr>
  </w:style>
  <w:style w:type="character" w:styleId="IntenseReference">
    <w:name w:val="Intense Reference"/>
    <w:basedOn w:val="DefaultParagraphFont"/>
    <w:uiPriority w:val="32"/>
    <w:qFormat/>
    <w:rsid w:val="000A54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491</Words>
  <Characters>2804</Characters>
  <Application>Microsoft Office Word</Application>
  <DocSecurity>0</DocSecurity>
  <Lines>23</Lines>
  <Paragraphs>6</Paragraphs>
  <ScaleCrop>false</ScaleCrop>
  <Company/>
  <LinksUpToDate>false</LinksUpToDate>
  <CharactersWithSpaces>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2026-03-31T08:15:00Z</dcterms:created>
  <dcterms:modified xsi:type="dcterms:W3CDTF">2026-03-31T08:15:00Z</dcterms:modified>
</cp:coreProperties>
</file>