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B14C" w14:textId="77777777" w:rsidR="00767814" w:rsidRDefault="00767814" w:rsidP="00767814">
      <w:pPr>
        <w:spacing w:line="360" w:lineRule="auto"/>
        <w:jc w:val="center"/>
        <w:rPr>
          <w:rFonts w:ascii="Times New Roman" w:eastAsia="SimSun" w:hAnsi="Times New Roman"/>
          <w:b/>
        </w:rPr>
      </w:pPr>
      <w:r>
        <w:rPr>
          <w:rFonts w:ascii="Times New Roman" w:eastAsia="SimSun" w:hAnsi="Times New Roman" w:hint="eastAsia"/>
          <w:b/>
        </w:rPr>
        <w:t>S</w:t>
      </w:r>
      <w:r>
        <w:rPr>
          <w:rFonts w:ascii="Times New Roman" w:eastAsia="SimSun" w:hAnsi="Times New Roman"/>
          <w:b/>
        </w:rPr>
        <w:t>upporting information</w:t>
      </w:r>
    </w:p>
    <w:p w14:paraId="6EDBABE7" w14:textId="77777777" w:rsidR="00767814" w:rsidRDefault="00767814"/>
    <w:p w14:paraId="672B39E5" w14:textId="2B6AEE43" w:rsidR="00670063" w:rsidRDefault="00670063"/>
    <w:p w14:paraId="6E970D8E" w14:textId="2EB70B59" w:rsidR="00670063" w:rsidRDefault="00670063" w:rsidP="00670063">
      <w:pPr>
        <w:jc w:val="center"/>
      </w:pPr>
    </w:p>
    <w:p w14:paraId="1897AE2A" w14:textId="43415622" w:rsidR="00670063" w:rsidRDefault="00D4687F">
      <w:r w:rsidRPr="00D4687F">
        <w:drawing>
          <wp:inline distT="0" distB="0" distL="0" distR="0" wp14:anchorId="3C9228D9" wp14:editId="473EF19D">
            <wp:extent cx="6188710" cy="369570"/>
            <wp:effectExtent l="0" t="0" r="0" b="0"/>
            <wp:docPr id="46574234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2344" name=""/>
                    <pic:cNvPicPr/>
                  </pic:nvPicPr>
                  <pic:blipFill>
                    <a:blip r:embed="rId6"/>
                    <a:stretch>
                      <a:fillRect/>
                    </a:stretch>
                  </pic:blipFill>
                  <pic:spPr>
                    <a:xfrm>
                      <a:off x="0" y="0"/>
                      <a:ext cx="6188710" cy="369570"/>
                    </a:xfrm>
                    <a:prstGeom prst="rect">
                      <a:avLst/>
                    </a:prstGeom>
                  </pic:spPr>
                </pic:pic>
              </a:graphicData>
            </a:graphic>
          </wp:inline>
        </w:drawing>
      </w:r>
    </w:p>
    <w:p w14:paraId="650F3DDF" w14:textId="77777777" w:rsidR="00E30A73" w:rsidRDefault="00E30A73"/>
    <w:p w14:paraId="129377DB" w14:textId="77777777" w:rsidR="00D4687F" w:rsidRDefault="00D4687F"/>
    <w:p w14:paraId="41E2BCDB" w14:textId="77777777" w:rsidR="00E30A73" w:rsidRPr="00E30A73" w:rsidRDefault="00E30A73" w:rsidP="00E30A73">
      <w:pPr>
        <w:rPr>
          <w:rFonts w:ascii="Times New Roman" w:hAnsi="Times New Roman" w:cs="Times New Roman"/>
          <w:sz w:val="22"/>
        </w:rPr>
      </w:pPr>
      <w:r w:rsidRPr="00E30A73">
        <w:rPr>
          <w:rFonts w:ascii="Times New Roman" w:hAnsi="Times New Roman" w:cs="Times New Roman"/>
          <w:b/>
          <w:bCs/>
          <w:sz w:val="22"/>
        </w:rPr>
        <w:t xml:space="preserve">Fig. S1 </w:t>
      </w:r>
      <w:r w:rsidRPr="00E30A73">
        <w:rPr>
          <w:rFonts w:ascii="Times New Roman" w:hAnsi="Times New Roman" w:cs="Times New Roman"/>
          <w:sz w:val="22"/>
        </w:rPr>
        <w:t>Schematic view of the genome editing construct used</w:t>
      </w:r>
    </w:p>
    <w:p w14:paraId="5F3CC2DF" w14:textId="3273F2FB" w:rsidR="00670063" w:rsidRPr="00E30A73" w:rsidRDefault="00E30A73" w:rsidP="00E30A73">
      <w:pPr>
        <w:rPr>
          <w:rFonts w:ascii="Times New Roman" w:hAnsi="Times New Roman" w:cs="Times New Roman"/>
          <w:sz w:val="22"/>
        </w:rPr>
      </w:pPr>
      <w:r w:rsidRPr="00E30A73">
        <w:rPr>
          <w:rFonts w:ascii="Times New Roman" w:hAnsi="Times New Roman" w:cs="Times New Roman"/>
          <w:sz w:val="22"/>
        </w:rPr>
        <w:t xml:space="preserve">ttLbCas12a, temperature-tolerant </w:t>
      </w:r>
      <w:proofErr w:type="spellStart"/>
      <w:r w:rsidRPr="00E30A73">
        <w:rPr>
          <w:rFonts w:ascii="Times New Roman" w:hAnsi="Times New Roman" w:cs="Times New Roman"/>
          <w:i/>
          <w:iCs/>
          <w:sz w:val="22"/>
        </w:rPr>
        <w:t>Lachnospiraceae</w:t>
      </w:r>
      <w:proofErr w:type="spellEnd"/>
      <w:r w:rsidRPr="00E30A73">
        <w:rPr>
          <w:rFonts w:ascii="Times New Roman" w:hAnsi="Times New Roman" w:cs="Times New Roman"/>
          <w:i/>
          <w:iCs/>
          <w:sz w:val="22"/>
        </w:rPr>
        <w:t xml:space="preserve"> bacterium</w:t>
      </w:r>
      <w:r w:rsidRPr="00E30A73">
        <w:rPr>
          <w:rFonts w:ascii="Times New Roman" w:hAnsi="Times New Roman" w:cs="Times New Roman"/>
          <w:sz w:val="22"/>
        </w:rPr>
        <w:t xml:space="preserve"> Cas12a (</w:t>
      </w:r>
      <w:r w:rsidRPr="00E30A73">
        <w:rPr>
          <w:rFonts w:ascii="Times New Roman" w:hAnsi="Times New Roman" w:cs="Times New Roman"/>
          <w:i/>
          <w:iCs/>
          <w:sz w:val="22"/>
        </w:rPr>
        <w:t>Lb</w:t>
      </w:r>
      <w:r w:rsidRPr="00E30A73">
        <w:rPr>
          <w:rFonts w:ascii="Times New Roman" w:hAnsi="Times New Roman" w:cs="Times New Roman"/>
          <w:sz w:val="22"/>
        </w:rPr>
        <w:t xml:space="preserve">Cas12a). </w:t>
      </w:r>
      <w:proofErr w:type="spellStart"/>
      <w:r w:rsidRPr="00E30A73">
        <w:rPr>
          <w:rFonts w:ascii="Times New Roman" w:hAnsi="Times New Roman" w:cs="Times New Roman"/>
          <w:sz w:val="22"/>
        </w:rPr>
        <w:t>Pcubi</w:t>
      </w:r>
      <w:proofErr w:type="spellEnd"/>
      <w:r w:rsidRPr="00E30A73">
        <w:rPr>
          <w:rFonts w:ascii="Times New Roman" w:hAnsi="Times New Roman" w:cs="Times New Roman"/>
          <w:sz w:val="22"/>
        </w:rPr>
        <w:t xml:space="preserve">, Parsley ubiquitin promoter; Tpea3A, terminator of ribulose-1,5-bisphosphate carboxylase small subunit; AtU6-26, </w:t>
      </w:r>
      <w:r w:rsidRPr="00E30A73">
        <w:rPr>
          <w:rFonts w:ascii="Times New Roman" w:hAnsi="Times New Roman" w:cs="Times New Roman"/>
          <w:i/>
          <w:iCs/>
          <w:sz w:val="22"/>
        </w:rPr>
        <w:t>Arabidopsis thaliana</w:t>
      </w:r>
      <w:r w:rsidRPr="00E30A73">
        <w:rPr>
          <w:rFonts w:ascii="Times New Roman" w:hAnsi="Times New Roman" w:cs="Times New Roman"/>
          <w:sz w:val="22"/>
        </w:rPr>
        <w:t xml:space="preserve"> U6-26 promoter; crRNA, sequence of CRISPR RNA; PNOS, NOS promoter; NTPII, Neomycin phosphotransferase II gene; TNOS, NOS terminator; LB, left border; RB. right border.</w:t>
      </w:r>
      <w:r w:rsidR="00670063" w:rsidRPr="00E30A73">
        <w:rPr>
          <w:rFonts w:ascii="Times New Roman" w:hAnsi="Times New Roman" w:cs="Times New Roman"/>
          <w:sz w:val="22"/>
        </w:rPr>
        <w:t xml:space="preserve"> </w:t>
      </w:r>
    </w:p>
    <w:p w14:paraId="70968782" w14:textId="77777777" w:rsidR="00670063" w:rsidRDefault="00670063">
      <w:pPr>
        <w:rPr>
          <w:rFonts w:ascii="Times New Roman" w:hAnsi="Times New Roman" w:cs="Times New Roman"/>
          <w:b/>
          <w:bCs/>
          <w:sz w:val="22"/>
        </w:rPr>
      </w:pPr>
    </w:p>
    <w:p w14:paraId="0906FBB6" w14:textId="42525155" w:rsidR="00670063" w:rsidRDefault="00670063">
      <w:pPr>
        <w:rPr>
          <w:rFonts w:ascii="Times New Roman" w:hAnsi="Times New Roman" w:cs="Times New Roman"/>
          <w:b/>
          <w:bCs/>
          <w:sz w:val="22"/>
        </w:rPr>
      </w:pPr>
      <w:r>
        <w:rPr>
          <w:rFonts w:ascii="Times New Roman" w:hAnsi="Times New Roman" w:cs="Times New Roman"/>
          <w:b/>
          <w:bCs/>
          <w:sz w:val="22"/>
        </w:rPr>
        <w:br w:type="page"/>
      </w:r>
    </w:p>
    <w:p w14:paraId="6B070B6F" w14:textId="77777777" w:rsidR="00670063" w:rsidRDefault="00670063">
      <w:pPr>
        <w:rPr>
          <w:rFonts w:ascii="Times New Roman" w:hAnsi="Times New Roman" w:cs="Times New Roman"/>
          <w:b/>
          <w:bCs/>
          <w:sz w:val="22"/>
        </w:rPr>
      </w:pPr>
    </w:p>
    <w:p w14:paraId="725046F5" w14:textId="77777777" w:rsidR="007B0718" w:rsidRDefault="007B0718">
      <w:pPr>
        <w:rPr>
          <w:rFonts w:ascii="Times New Roman" w:hAnsi="Times New Roman" w:cs="Times New Roman"/>
          <w:b/>
          <w:bCs/>
          <w:sz w:val="22"/>
        </w:rPr>
      </w:pPr>
    </w:p>
    <w:p w14:paraId="48B1EB28" w14:textId="77777777" w:rsidR="00670063" w:rsidRDefault="00670063">
      <w:pPr>
        <w:rPr>
          <w:rFonts w:ascii="Times New Roman" w:hAnsi="Times New Roman" w:cs="Times New Roman"/>
          <w:b/>
          <w:bCs/>
          <w:sz w:val="22"/>
        </w:rPr>
      </w:pPr>
    </w:p>
    <w:p w14:paraId="756A51FC" w14:textId="333AE21D" w:rsidR="00E30A73" w:rsidRDefault="00E30A73">
      <w:pPr>
        <w:rPr>
          <w:rFonts w:ascii="Times New Roman" w:hAnsi="Times New Roman" w:cs="Times New Roman"/>
          <w:b/>
          <w:bCs/>
          <w:sz w:val="22"/>
        </w:rPr>
      </w:pPr>
      <w:r w:rsidRPr="00E30A73">
        <w:rPr>
          <w:rFonts w:ascii="Times New Roman" w:hAnsi="Times New Roman" w:cs="Times New Roman"/>
          <w:b/>
          <w:bCs/>
          <w:noProof/>
          <w:sz w:val="22"/>
        </w:rPr>
        <w:drawing>
          <wp:inline distT="0" distB="0" distL="0" distR="0" wp14:anchorId="75014DDF" wp14:editId="4E154DF6">
            <wp:extent cx="6083168" cy="3600021"/>
            <wp:effectExtent l="0" t="0" r="635" b="0"/>
            <wp:docPr id="25" name="図 24">
              <a:extLst xmlns:a="http://schemas.openxmlformats.org/drawingml/2006/main">
                <a:ext uri="{FF2B5EF4-FFF2-40B4-BE49-F238E27FC236}">
                  <a16:creationId xmlns:a16="http://schemas.microsoft.com/office/drawing/2014/main" id="{83BA8E8E-B990-F071-ED84-69042F691F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4">
                      <a:extLst>
                        <a:ext uri="{FF2B5EF4-FFF2-40B4-BE49-F238E27FC236}">
                          <a16:creationId xmlns:a16="http://schemas.microsoft.com/office/drawing/2014/main" id="{83BA8E8E-B990-F071-ED84-69042F691FAE}"/>
                        </a:ext>
                      </a:extLst>
                    </pic:cNvPr>
                    <pic:cNvPicPr>
                      <a:picLocks noChangeAspect="1"/>
                    </pic:cNvPicPr>
                  </pic:nvPicPr>
                  <pic:blipFill>
                    <a:blip r:embed="rId7"/>
                    <a:stretch>
                      <a:fillRect/>
                    </a:stretch>
                  </pic:blipFill>
                  <pic:spPr>
                    <a:xfrm>
                      <a:off x="0" y="0"/>
                      <a:ext cx="6083168" cy="3600021"/>
                    </a:xfrm>
                    <a:prstGeom prst="rect">
                      <a:avLst/>
                    </a:prstGeom>
                  </pic:spPr>
                </pic:pic>
              </a:graphicData>
            </a:graphic>
          </wp:inline>
        </w:drawing>
      </w:r>
    </w:p>
    <w:p w14:paraId="217A1705" w14:textId="77777777" w:rsidR="00E30A73" w:rsidRDefault="00E30A73">
      <w:pPr>
        <w:rPr>
          <w:rFonts w:ascii="Times New Roman" w:hAnsi="Times New Roman" w:cs="Times New Roman"/>
          <w:b/>
          <w:bCs/>
          <w:sz w:val="22"/>
        </w:rPr>
      </w:pPr>
    </w:p>
    <w:p w14:paraId="7F8A70CF" w14:textId="77777777" w:rsidR="00670063" w:rsidRDefault="00670063">
      <w:pPr>
        <w:rPr>
          <w:rFonts w:ascii="Times New Roman" w:hAnsi="Times New Roman" w:cs="Times New Roman"/>
          <w:b/>
          <w:bCs/>
          <w:sz w:val="22"/>
        </w:rPr>
      </w:pPr>
    </w:p>
    <w:p w14:paraId="301A3067" w14:textId="42C97616" w:rsidR="00E30A73" w:rsidRPr="00E30A73" w:rsidRDefault="00670063" w:rsidP="00E30A73">
      <w:pPr>
        <w:rPr>
          <w:rFonts w:ascii="Times New Roman" w:hAnsi="Times New Roman" w:cs="Times New Roman"/>
          <w:sz w:val="22"/>
        </w:rPr>
      </w:pPr>
      <w:r w:rsidRPr="00670063">
        <w:rPr>
          <w:rFonts w:ascii="Times New Roman" w:hAnsi="Times New Roman" w:cs="Times New Roman"/>
          <w:b/>
          <w:bCs/>
          <w:sz w:val="22"/>
        </w:rPr>
        <w:t>Fig. S</w:t>
      </w:r>
      <w:r>
        <w:rPr>
          <w:rFonts w:ascii="Times New Roman" w:hAnsi="Times New Roman" w:cs="Times New Roman"/>
          <w:b/>
          <w:bCs/>
          <w:sz w:val="22"/>
        </w:rPr>
        <w:t>2</w:t>
      </w:r>
      <w:r w:rsidRPr="00670063">
        <w:rPr>
          <w:rFonts w:ascii="Times New Roman" w:hAnsi="Times New Roman" w:cs="Times New Roman"/>
          <w:b/>
          <w:bCs/>
          <w:sz w:val="22"/>
        </w:rPr>
        <w:t xml:space="preserve"> </w:t>
      </w:r>
      <w:r w:rsidR="00E30A73" w:rsidRPr="00E30A73">
        <w:rPr>
          <w:rFonts w:ascii="Times New Roman" w:hAnsi="Times New Roman" w:cs="Times New Roman"/>
          <w:sz w:val="22"/>
        </w:rPr>
        <w:t>Alignment of protein sequences of functional WT allele, non-functional u allele, and four CRISPR-generated alleles</w:t>
      </w:r>
    </w:p>
    <w:p w14:paraId="40E2F3BB" w14:textId="082CE74D" w:rsidR="00670063" w:rsidRPr="00E30A73" w:rsidRDefault="00E30A73" w:rsidP="00E30A73">
      <w:pPr>
        <w:rPr>
          <w:rFonts w:ascii="Times New Roman" w:hAnsi="Times New Roman" w:cs="Times New Roman"/>
          <w:sz w:val="22"/>
        </w:rPr>
      </w:pPr>
      <w:r w:rsidRPr="00E30A73">
        <w:rPr>
          <w:rFonts w:ascii="Times New Roman" w:hAnsi="Times New Roman" w:cs="Times New Roman"/>
          <w:sz w:val="22"/>
        </w:rPr>
        <w:t>Listed sequences were predicted from the sequenced cDNA nucleotide sequence</w:t>
      </w:r>
      <w:r w:rsidR="00242A97">
        <w:rPr>
          <w:rFonts w:ascii="Times New Roman" w:hAnsi="Times New Roman" w:cs="Times New Roman"/>
          <w:sz w:val="22"/>
        </w:rPr>
        <w:t>s</w:t>
      </w:r>
      <w:r w:rsidRPr="00E30A73">
        <w:rPr>
          <w:rFonts w:ascii="Times New Roman" w:hAnsi="Times New Roman" w:cs="Times New Roman"/>
          <w:sz w:val="22"/>
        </w:rPr>
        <w:t>. The red color represents mismatched residues compared to the WT sequence.</w:t>
      </w:r>
    </w:p>
    <w:p w14:paraId="6D1CEC70" w14:textId="77777777" w:rsidR="00670063" w:rsidRDefault="00670063">
      <w:pPr>
        <w:rPr>
          <w:rFonts w:ascii="Times New Roman" w:hAnsi="Times New Roman" w:cs="Times New Roman"/>
          <w:b/>
          <w:bCs/>
          <w:sz w:val="22"/>
        </w:rPr>
      </w:pPr>
    </w:p>
    <w:p w14:paraId="759A2A83" w14:textId="57B24038" w:rsidR="00670063" w:rsidRDefault="00670063">
      <w:pPr>
        <w:rPr>
          <w:rFonts w:ascii="Times New Roman" w:hAnsi="Times New Roman" w:cs="Times New Roman"/>
          <w:b/>
          <w:bCs/>
          <w:sz w:val="22"/>
        </w:rPr>
      </w:pPr>
      <w:r>
        <w:rPr>
          <w:rFonts w:ascii="Times New Roman" w:hAnsi="Times New Roman" w:cs="Times New Roman"/>
          <w:b/>
          <w:bCs/>
          <w:sz w:val="22"/>
        </w:rPr>
        <w:br w:type="page"/>
      </w:r>
    </w:p>
    <w:p w14:paraId="63401D31" w14:textId="77777777" w:rsidR="00670063" w:rsidRDefault="00670063" w:rsidP="00670063">
      <w:pPr>
        <w:rPr>
          <w:rFonts w:ascii="Times New Roman" w:hAnsi="Times New Roman" w:cs="Times New Roman"/>
          <w:b/>
          <w:bCs/>
          <w:sz w:val="22"/>
        </w:rPr>
      </w:pPr>
    </w:p>
    <w:p w14:paraId="1B737A78" w14:textId="77777777" w:rsidR="007B0718" w:rsidRDefault="007B0718" w:rsidP="00670063">
      <w:pPr>
        <w:rPr>
          <w:rFonts w:ascii="Times New Roman" w:hAnsi="Times New Roman" w:cs="Times New Roman"/>
          <w:b/>
          <w:bCs/>
          <w:sz w:val="22"/>
        </w:rPr>
      </w:pPr>
    </w:p>
    <w:p w14:paraId="2DACBC97" w14:textId="77777777" w:rsidR="00670063" w:rsidRDefault="00670063" w:rsidP="00670063">
      <w:pPr>
        <w:rPr>
          <w:rFonts w:ascii="Times New Roman" w:hAnsi="Times New Roman" w:cs="Times New Roman"/>
          <w:b/>
          <w:bCs/>
          <w:sz w:val="22"/>
        </w:rPr>
      </w:pPr>
    </w:p>
    <w:p w14:paraId="0E1457DA" w14:textId="0137EA25" w:rsidR="00E30A73" w:rsidRDefault="0039469E" w:rsidP="00670063">
      <w:pPr>
        <w:rPr>
          <w:rFonts w:ascii="Times New Roman" w:hAnsi="Times New Roman" w:cs="Times New Roman"/>
          <w:b/>
          <w:bCs/>
          <w:sz w:val="22"/>
        </w:rPr>
      </w:pPr>
      <w:r w:rsidRPr="0039469E">
        <w:rPr>
          <w:rFonts w:ascii="Times New Roman" w:hAnsi="Times New Roman" w:cs="Times New Roman"/>
          <w:b/>
          <w:bCs/>
          <w:noProof/>
          <w:sz w:val="22"/>
        </w:rPr>
        <w:drawing>
          <wp:inline distT="0" distB="0" distL="0" distR="0" wp14:anchorId="591E39CC" wp14:editId="7EAAC7A5">
            <wp:extent cx="6188710" cy="2976880"/>
            <wp:effectExtent l="0" t="0" r="0" b="0"/>
            <wp:docPr id="113116270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62704" name=""/>
                    <pic:cNvPicPr/>
                  </pic:nvPicPr>
                  <pic:blipFill>
                    <a:blip r:embed="rId8"/>
                    <a:stretch>
                      <a:fillRect/>
                    </a:stretch>
                  </pic:blipFill>
                  <pic:spPr>
                    <a:xfrm>
                      <a:off x="0" y="0"/>
                      <a:ext cx="6188710" cy="2976880"/>
                    </a:xfrm>
                    <a:prstGeom prst="rect">
                      <a:avLst/>
                    </a:prstGeom>
                  </pic:spPr>
                </pic:pic>
              </a:graphicData>
            </a:graphic>
          </wp:inline>
        </w:drawing>
      </w:r>
    </w:p>
    <w:p w14:paraId="1EADB256" w14:textId="77777777" w:rsidR="00E30A73" w:rsidRDefault="00E30A73" w:rsidP="00670063">
      <w:pPr>
        <w:rPr>
          <w:rFonts w:ascii="Times New Roman" w:hAnsi="Times New Roman" w:cs="Times New Roman"/>
          <w:b/>
          <w:bCs/>
          <w:sz w:val="22"/>
        </w:rPr>
      </w:pPr>
    </w:p>
    <w:p w14:paraId="56CBB3E3" w14:textId="77777777" w:rsidR="00670063" w:rsidRDefault="00670063" w:rsidP="00670063">
      <w:pPr>
        <w:rPr>
          <w:rFonts w:ascii="Times New Roman" w:hAnsi="Times New Roman" w:cs="Times New Roman"/>
          <w:b/>
          <w:bCs/>
          <w:sz w:val="22"/>
        </w:rPr>
      </w:pPr>
    </w:p>
    <w:p w14:paraId="6D525DDF" w14:textId="132695C5" w:rsidR="002E252F" w:rsidRPr="002E252F" w:rsidRDefault="00670063" w:rsidP="002E252F">
      <w:pPr>
        <w:rPr>
          <w:rFonts w:ascii="Times New Roman" w:hAnsi="Times New Roman" w:cs="Times New Roman"/>
          <w:b/>
          <w:bCs/>
          <w:sz w:val="22"/>
        </w:rPr>
      </w:pPr>
      <w:r w:rsidRPr="002E252F">
        <w:rPr>
          <w:rFonts w:ascii="Times New Roman" w:hAnsi="Times New Roman" w:cs="Times New Roman"/>
          <w:b/>
          <w:bCs/>
          <w:sz w:val="22"/>
        </w:rPr>
        <w:t xml:space="preserve">Fig. S3 </w:t>
      </w:r>
      <w:r w:rsidR="002E252F" w:rsidRPr="002E252F">
        <w:rPr>
          <w:rFonts w:ascii="Times New Roman" w:hAnsi="Times New Roman" w:cs="Times New Roman"/>
          <w:sz w:val="22"/>
        </w:rPr>
        <w:t>Alignment of the amino acid sequences around the mutated region of SlGLK2 and homologs from other plant species</w:t>
      </w:r>
    </w:p>
    <w:p w14:paraId="5FC0ECCC" w14:textId="0BE82023" w:rsidR="00670063" w:rsidRPr="002E252F" w:rsidRDefault="002E252F" w:rsidP="002E252F">
      <w:pPr>
        <w:rPr>
          <w:rFonts w:ascii="Times New Roman" w:hAnsi="Times New Roman" w:cs="Times New Roman"/>
          <w:sz w:val="22"/>
        </w:rPr>
      </w:pPr>
      <w:r w:rsidRPr="002E252F">
        <w:rPr>
          <w:rFonts w:ascii="Times New Roman" w:hAnsi="Times New Roman" w:cs="Times New Roman"/>
          <w:sz w:val="22"/>
        </w:rPr>
        <w:t xml:space="preserve">These sequences have diversified lengths and sequences in this region. Amino acid sequences of SlGLK2 homologs were aligned and displayed by NCBI Multiple Sequence Alignment Viewer (Version 1.22.0). Disordered region (Right blue), target region (pink), MYB domain (yellow), GCT box (green). </w:t>
      </w:r>
      <w:r w:rsidRPr="002E252F">
        <w:rPr>
          <w:rFonts w:ascii="Times New Roman" w:hAnsi="Times New Roman" w:cs="Times New Roman"/>
          <w:i/>
          <w:iCs/>
          <w:sz w:val="22"/>
        </w:rPr>
        <w:t xml:space="preserve">Solanum </w:t>
      </w:r>
      <w:proofErr w:type="spellStart"/>
      <w:r w:rsidRPr="002E252F">
        <w:rPr>
          <w:rFonts w:ascii="Times New Roman" w:hAnsi="Times New Roman" w:cs="Times New Roman"/>
          <w:i/>
          <w:iCs/>
          <w:sz w:val="22"/>
        </w:rPr>
        <w:t>lycopersicum</w:t>
      </w:r>
      <w:proofErr w:type="spellEnd"/>
      <w:r w:rsidRPr="002E252F">
        <w:rPr>
          <w:rFonts w:ascii="Times New Roman" w:hAnsi="Times New Roman" w:cs="Times New Roman"/>
          <w:sz w:val="22"/>
        </w:rPr>
        <w:t xml:space="preserve"> (NP_001266252.1), </w:t>
      </w:r>
      <w:r w:rsidRPr="002E252F">
        <w:rPr>
          <w:rFonts w:ascii="Times New Roman" w:hAnsi="Times New Roman" w:cs="Times New Roman"/>
          <w:i/>
          <w:iCs/>
          <w:sz w:val="22"/>
        </w:rPr>
        <w:t xml:space="preserve">Solanum </w:t>
      </w:r>
      <w:proofErr w:type="spellStart"/>
      <w:r w:rsidRPr="002E252F">
        <w:rPr>
          <w:rFonts w:ascii="Times New Roman" w:hAnsi="Times New Roman" w:cs="Times New Roman"/>
          <w:i/>
          <w:iCs/>
          <w:sz w:val="22"/>
        </w:rPr>
        <w:t>pennellii</w:t>
      </w:r>
      <w:proofErr w:type="spellEnd"/>
      <w:r w:rsidRPr="002E252F">
        <w:rPr>
          <w:rFonts w:ascii="Times New Roman" w:hAnsi="Times New Roman" w:cs="Times New Roman"/>
          <w:sz w:val="22"/>
        </w:rPr>
        <w:t xml:space="preserve"> (XP_015089237.1), </w:t>
      </w:r>
      <w:r w:rsidRPr="002E252F">
        <w:rPr>
          <w:rFonts w:ascii="Times New Roman" w:hAnsi="Times New Roman" w:cs="Times New Roman"/>
          <w:i/>
          <w:iCs/>
          <w:sz w:val="22"/>
        </w:rPr>
        <w:t>Solanum tuberosum</w:t>
      </w:r>
      <w:r w:rsidRPr="002E252F">
        <w:rPr>
          <w:rFonts w:ascii="Times New Roman" w:hAnsi="Times New Roman" w:cs="Times New Roman"/>
          <w:sz w:val="22"/>
        </w:rPr>
        <w:t xml:space="preserve"> (KAH0722065.1), </w:t>
      </w:r>
      <w:r w:rsidRPr="002E252F">
        <w:rPr>
          <w:rFonts w:ascii="Times New Roman" w:hAnsi="Times New Roman" w:cs="Times New Roman"/>
          <w:i/>
          <w:iCs/>
          <w:sz w:val="22"/>
        </w:rPr>
        <w:t>Capsicum annuum</w:t>
      </w:r>
      <w:r w:rsidRPr="002E252F">
        <w:rPr>
          <w:rFonts w:ascii="Times New Roman" w:hAnsi="Times New Roman" w:cs="Times New Roman"/>
          <w:sz w:val="22"/>
        </w:rPr>
        <w:t xml:space="preserve"> (AFF60406.1), </w:t>
      </w:r>
      <w:r w:rsidRPr="002E252F">
        <w:rPr>
          <w:rFonts w:ascii="Times New Roman" w:hAnsi="Times New Roman" w:cs="Times New Roman"/>
          <w:i/>
          <w:iCs/>
          <w:sz w:val="22"/>
        </w:rPr>
        <w:t xml:space="preserve">Smallanthus </w:t>
      </w:r>
      <w:proofErr w:type="spellStart"/>
      <w:r w:rsidRPr="002E252F">
        <w:rPr>
          <w:rFonts w:ascii="Times New Roman" w:hAnsi="Times New Roman" w:cs="Times New Roman"/>
          <w:i/>
          <w:iCs/>
          <w:sz w:val="22"/>
        </w:rPr>
        <w:t>sonchifolius</w:t>
      </w:r>
      <w:proofErr w:type="spellEnd"/>
      <w:r w:rsidRPr="002E252F">
        <w:rPr>
          <w:rFonts w:ascii="Times New Roman" w:hAnsi="Times New Roman" w:cs="Times New Roman"/>
          <w:sz w:val="22"/>
        </w:rPr>
        <w:t xml:space="preserve"> (KA3774048.1), </w:t>
      </w:r>
      <w:r w:rsidRPr="002E252F">
        <w:rPr>
          <w:rFonts w:ascii="Times New Roman" w:hAnsi="Times New Roman" w:cs="Times New Roman"/>
          <w:i/>
          <w:iCs/>
          <w:sz w:val="22"/>
        </w:rPr>
        <w:t xml:space="preserve">Gossypium </w:t>
      </w:r>
      <w:proofErr w:type="spellStart"/>
      <w:r w:rsidRPr="002E252F">
        <w:rPr>
          <w:rFonts w:ascii="Times New Roman" w:hAnsi="Times New Roman" w:cs="Times New Roman"/>
          <w:i/>
          <w:iCs/>
          <w:sz w:val="22"/>
        </w:rPr>
        <w:t>mustelinum</w:t>
      </w:r>
      <w:proofErr w:type="spellEnd"/>
      <w:r w:rsidRPr="002E252F">
        <w:rPr>
          <w:rFonts w:ascii="Times New Roman" w:hAnsi="Times New Roman" w:cs="Times New Roman"/>
          <w:sz w:val="22"/>
        </w:rPr>
        <w:t xml:space="preserve"> (TYI95756.1), </w:t>
      </w:r>
      <w:r w:rsidRPr="002E252F">
        <w:rPr>
          <w:rFonts w:ascii="Times New Roman" w:hAnsi="Times New Roman" w:cs="Times New Roman"/>
          <w:i/>
          <w:iCs/>
          <w:sz w:val="22"/>
        </w:rPr>
        <w:t>Morella rubra</w:t>
      </w:r>
      <w:r w:rsidRPr="002E252F">
        <w:rPr>
          <w:rFonts w:ascii="Times New Roman" w:hAnsi="Times New Roman" w:cs="Times New Roman"/>
          <w:sz w:val="22"/>
        </w:rPr>
        <w:t xml:space="preserve"> (KAB1227988.1), </w:t>
      </w:r>
      <w:r w:rsidRPr="002E252F">
        <w:rPr>
          <w:rFonts w:ascii="Times New Roman" w:hAnsi="Times New Roman" w:cs="Times New Roman"/>
          <w:i/>
          <w:iCs/>
          <w:sz w:val="22"/>
        </w:rPr>
        <w:t>Trifolium pratense</w:t>
      </w:r>
      <w:r w:rsidRPr="002E252F">
        <w:rPr>
          <w:rFonts w:ascii="Times New Roman" w:hAnsi="Times New Roman" w:cs="Times New Roman"/>
          <w:sz w:val="22"/>
        </w:rPr>
        <w:t xml:space="preserve"> (XP_045804791.1),  </w:t>
      </w:r>
      <w:r w:rsidRPr="002E252F">
        <w:rPr>
          <w:rFonts w:ascii="Times New Roman" w:hAnsi="Times New Roman" w:cs="Times New Roman"/>
          <w:i/>
          <w:iCs/>
          <w:sz w:val="22"/>
        </w:rPr>
        <w:t xml:space="preserve">Nicotiana </w:t>
      </w:r>
      <w:proofErr w:type="spellStart"/>
      <w:r w:rsidRPr="002E252F">
        <w:rPr>
          <w:rFonts w:ascii="Times New Roman" w:hAnsi="Times New Roman" w:cs="Times New Roman"/>
          <w:i/>
          <w:iCs/>
          <w:sz w:val="22"/>
        </w:rPr>
        <w:t>tomentosiformis</w:t>
      </w:r>
      <w:proofErr w:type="spellEnd"/>
      <w:r w:rsidRPr="002E252F">
        <w:rPr>
          <w:rFonts w:ascii="Times New Roman" w:hAnsi="Times New Roman" w:cs="Times New Roman"/>
          <w:sz w:val="22"/>
        </w:rPr>
        <w:t xml:space="preserve"> (XP_009589600.1), </w:t>
      </w:r>
      <w:r w:rsidRPr="002E252F">
        <w:rPr>
          <w:rFonts w:ascii="Times New Roman" w:hAnsi="Times New Roman" w:cs="Times New Roman"/>
          <w:i/>
          <w:iCs/>
          <w:sz w:val="22"/>
        </w:rPr>
        <w:t xml:space="preserve">Medicago </w:t>
      </w:r>
      <w:proofErr w:type="spellStart"/>
      <w:r w:rsidRPr="002E252F">
        <w:rPr>
          <w:rFonts w:ascii="Times New Roman" w:hAnsi="Times New Roman" w:cs="Times New Roman"/>
          <w:i/>
          <w:iCs/>
          <w:sz w:val="22"/>
        </w:rPr>
        <w:t>truncatula</w:t>
      </w:r>
      <w:proofErr w:type="spellEnd"/>
      <w:r w:rsidRPr="002E252F">
        <w:rPr>
          <w:rFonts w:ascii="Times New Roman" w:hAnsi="Times New Roman" w:cs="Times New Roman"/>
          <w:sz w:val="22"/>
        </w:rPr>
        <w:t xml:space="preserve"> (XP_013465151.1), </w:t>
      </w:r>
      <w:r w:rsidRPr="002E252F">
        <w:rPr>
          <w:rFonts w:ascii="Times New Roman" w:hAnsi="Times New Roman" w:cs="Times New Roman"/>
          <w:i/>
          <w:iCs/>
          <w:sz w:val="22"/>
        </w:rPr>
        <w:t>Citrus sinensis</w:t>
      </w:r>
      <w:r w:rsidRPr="002E252F">
        <w:rPr>
          <w:rFonts w:ascii="Times New Roman" w:hAnsi="Times New Roman" w:cs="Times New Roman"/>
          <w:sz w:val="22"/>
        </w:rPr>
        <w:t xml:space="preserve"> (XP_006470159.1), </w:t>
      </w:r>
      <w:r w:rsidRPr="002E252F">
        <w:rPr>
          <w:rFonts w:ascii="Times New Roman" w:hAnsi="Times New Roman" w:cs="Times New Roman"/>
          <w:i/>
          <w:iCs/>
          <w:sz w:val="22"/>
        </w:rPr>
        <w:t>Glycine max</w:t>
      </w:r>
      <w:r w:rsidRPr="002E252F">
        <w:rPr>
          <w:rFonts w:ascii="Times New Roman" w:hAnsi="Times New Roman" w:cs="Times New Roman"/>
          <w:sz w:val="22"/>
        </w:rPr>
        <w:t xml:space="preserve"> (NP_001241943.1), </w:t>
      </w:r>
      <w:r w:rsidRPr="002E252F">
        <w:rPr>
          <w:rFonts w:ascii="Times New Roman" w:hAnsi="Times New Roman" w:cs="Times New Roman"/>
          <w:i/>
          <w:iCs/>
          <w:sz w:val="22"/>
        </w:rPr>
        <w:t>Glycine soja</w:t>
      </w:r>
      <w:r w:rsidRPr="002E252F">
        <w:rPr>
          <w:rFonts w:ascii="Times New Roman" w:hAnsi="Times New Roman" w:cs="Times New Roman"/>
          <w:sz w:val="22"/>
        </w:rPr>
        <w:t xml:space="preserve"> (KAG4967779.1), </w:t>
      </w:r>
      <w:r w:rsidRPr="002E252F">
        <w:rPr>
          <w:rFonts w:ascii="Times New Roman" w:hAnsi="Times New Roman" w:cs="Times New Roman"/>
          <w:i/>
          <w:iCs/>
          <w:sz w:val="22"/>
        </w:rPr>
        <w:t>Pisum sativum</w:t>
      </w:r>
      <w:r w:rsidRPr="002E252F">
        <w:rPr>
          <w:rFonts w:ascii="Times New Roman" w:hAnsi="Times New Roman" w:cs="Times New Roman"/>
          <w:sz w:val="22"/>
        </w:rPr>
        <w:t xml:space="preserve"> (XP_050883705.1)</w:t>
      </w:r>
    </w:p>
    <w:p w14:paraId="07492614" w14:textId="77777777" w:rsidR="00670063" w:rsidRPr="002E252F" w:rsidRDefault="00670063" w:rsidP="00670063">
      <w:pPr>
        <w:rPr>
          <w:rFonts w:ascii="Times New Roman" w:hAnsi="Times New Roman" w:cs="Times New Roman"/>
          <w:b/>
          <w:bCs/>
          <w:sz w:val="22"/>
        </w:rPr>
      </w:pPr>
    </w:p>
    <w:p w14:paraId="1C468A2F" w14:textId="77777777" w:rsidR="00670063" w:rsidRDefault="00670063" w:rsidP="00670063">
      <w:pPr>
        <w:rPr>
          <w:rFonts w:ascii="Times New Roman" w:hAnsi="Times New Roman" w:cs="Times New Roman"/>
          <w:b/>
          <w:bCs/>
          <w:sz w:val="22"/>
        </w:rPr>
      </w:pPr>
      <w:r>
        <w:rPr>
          <w:rFonts w:ascii="Times New Roman" w:hAnsi="Times New Roman" w:cs="Times New Roman"/>
          <w:b/>
          <w:bCs/>
          <w:sz w:val="22"/>
        </w:rPr>
        <w:br w:type="page"/>
      </w:r>
    </w:p>
    <w:p w14:paraId="592FFA66" w14:textId="77777777" w:rsidR="00670063" w:rsidRDefault="00670063" w:rsidP="00670063">
      <w:pPr>
        <w:rPr>
          <w:rFonts w:ascii="Times New Roman" w:hAnsi="Times New Roman" w:cs="Times New Roman"/>
          <w:b/>
          <w:bCs/>
          <w:sz w:val="22"/>
        </w:rPr>
      </w:pPr>
    </w:p>
    <w:p w14:paraId="20A60648" w14:textId="77777777" w:rsidR="00670063" w:rsidRDefault="00670063" w:rsidP="00670063">
      <w:pPr>
        <w:rPr>
          <w:rFonts w:ascii="Times New Roman" w:hAnsi="Times New Roman" w:cs="Times New Roman"/>
          <w:b/>
          <w:bCs/>
          <w:sz w:val="22"/>
        </w:rPr>
      </w:pPr>
    </w:p>
    <w:p w14:paraId="5B081D63" w14:textId="77777777" w:rsidR="007B0718" w:rsidRDefault="007B0718" w:rsidP="00670063">
      <w:pPr>
        <w:rPr>
          <w:rFonts w:ascii="Times New Roman" w:hAnsi="Times New Roman" w:cs="Times New Roman"/>
          <w:b/>
          <w:bCs/>
          <w:sz w:val="22"/>
        </w:rPr>
      </w:pPr>
    </w:p>
    <w:p w14:paraId="789F03BB" w14:textId="4BFED146" w:rsidR="002E252F" w:rsidRDefault="0039469E" w:rsidP="00670063">
      <w:pPr>
        <w:rPr>
          <w:rFonts w:ascii="Times New Roman" w:hAnsi="Times New Roman" w:cs="Times New Roman"/>
          <w:b/>
          <w:bCs/>
          <w:sz w:val="22"/>
        </w:rPr>
      </w:pPr>
      <w:r w:rsidRPr="0039469E">
        <w:rPr>
          <w:rFonts w:ascii="Times New Roman" w:hAnsi="Times New Roman" w:cs="Times New Roman"/>
          <w:b/>
          <w:bCs/>
          <w:noProof/>
          <w:sz w:val="22"/>
        </w:rPr>
        <w:drawing>
          <wp:inline distT="0" distB="0" distL="0" distR="0" wp14:anchorId="09AF3B22" wp14:editId="641FAF97">
            <wp:extent cx="5867400" cy="4038600"/>
            <wp:effectExtent l="0" t="0" r="0" b="0"/>
            <wp:docPr id="1736111171" name="図 1" descr="マップ&#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111171" name="図 1" descr="マップ&#10;&#10;AI 生成コンテンツは誤りを含む可能性があります。"/>
                    <pic:cNvPicPr/>
                  </pic:nvPicPr>
                  <pic:blipFill>
                    <a:blip r:embed="rId9"/>
                    <a:stretch>
                      <a:fillRect/>
                    </a:stretch>
                  </pic:blipFill>
                  <pic:spPr>
                    <a:xfrm>
                      <a:off x="0" y="0"/>
                      <a:ext cx="5867400" cy="4038600"/>
                    </a:xfrm>
                    <a:prstGeom prst="rect">
                      <a:avLst/>
                    </a:prstGeom>
                  </pic:spPr>
                </pic:pic>
              </a:graphicData>
            </a:graphic>
          </wp:inline>
        </w:drawing>
      </w:r>
    </w:p>
    <w:p w14:paraId="679731C1" w14:textId="77777777" w:rsidR="002E252F" w:rsidRDefault="002E252F" w:rsidP="00670063">
      <w:pPr>
        <w:rPr>
          <w:rFonts w:ascii="Times New Roman" w:hAnsi="Times New Roman" w:cs="Times New Roman"/>
          <w:b/>
          <w:bCs/>
          <w:sz w:val="22"/>
        </w:rPr>
      </w:pPr>
    </w:p>
    <w:p w14:paraId="1C4BA8DD" w14:textId="77777777" w:rsidR="00670063" w:rsidRDefault="00670063" w:rsidP="00670063">
      <w:pPr>
        <w:rPr>
          <w:rFonts w:ascii="Times New Roman" w:hAnsi="Times New Roman" w:cs="Times New Roman"/>
          <w:b/>
          <w:bCs/>
          <w:sz w:val="22"/>
        </w:rPr>
      </w:pPr>
    </w:p>
    <w:p w14:paraId="08767686" w14:textId="4A7ADDA5" w:rsidR="002E252F" w:rsidRPr="002E252F" w:rsidRDefault="00670063" w:rsidP="002E252F">
      <w:pPr>
        <w:rPr>
          <w:rFonts w:ascii="Times New Roman" w:hAnsi="Times New Roman" w:cs="Times New Roman"/>
          <w:sz w:val="22"/>
        </w:rPr>
      </w:pPr>
      <w:r w:rsidRPr="00670063">
        <w:rPr>
          <w:rFonts w:ascii="Times New Roman" w:hAnsi="Times New Roman" w:cs="Times New Roman"/>
          <w:b/>
          <w:bCs/>
          <w:sz w:val="22"/>
        </w:rPr>
        <w:t>Fig. S</w:t>
      </w:r>
      <w:r>
        <w:rPr>
          <w:rFonts w:ascii="Times New Roman" w:hAnsi="Times New Roman" w:cs="Times New Roman"/>
          <w:b/>
          <w:bCs/>
          <w:sz w:val="22"/>
        </w:rPr>
        <w:t>4</w:t>
      </w:r>
      <w:r w:rsidRPr="00670063">
        <w:rPr>
          <w:rFonts w:ascii="Times New Roman" w:hAnsi="Times New Roman" w:cs="Times New Roman"/>
          <w:b/>
          <w:bCs/>
          <w:sz w:val="22"/>
        </w:rPr>
        <w:t xml:space="preserve"> </w:t>
      </w:r>
      <w:r w:rsidR="002E252F" w:rsidRPr="002E252F">
        <w:rPr>
          <w:rFonts w:ascii="Times New Roman" w:hAnsi="Times New Roman" w:cs="Times New Roman"/>
          <w:sz w:val="22"/>
        </w:rPr>
        <w:t xml:space="preserve">The mutated </w:t>
      </w:r>
      <w:r w:rsidR="002E252F">
        <w:rPr>
          <w:rFonts w:ascii="Times New Roman" w:hAnsi="Times New Roman" w:cs="Times New Roman"/>
          <w:sz w:val="22"/>
        </w:rPr>
        <w:t>region</w:t>
      </w:r>
      <w:r w:rsidR="002E252F" w:rsidRPr="002E252F">
        <w:rPr>
          <w:rFonts w:ascii="Times New Roman" w:hAnsi="Times New Roman" w:cs="Times New Roman"/>
          <w:sz w:val="22"/>
        </w:rPr>
        <w:t xml:space="preserve"> of </w:t>
      </w:r>
      <w:r w:rsidR="002E252F" w:rsidRPr="002E252F">
        <w:rPr>
          <w:rFonts w:ascii="Times New Roman" w:hAnsi="Times New Roman" w:cs="Times New Roman"/>
          <w:i/>
          <w:iCs/>
          <w:sz w:val="22"/>
        </w:rPr>
        <w:t>CR-Sglk2-4</w:t>
      </w:r>
      <w:r w:rsidR="002E252F" w:rsidRPr="002E252F">
        <w:rPr>
          <w:rFonts w:ascii="Times New Roman" w:hAnsi="Times New Roman" w:cs="Times New Roman"/>
          <w:sz w:val="22"/>
        </w:rPr>
        <w:t xml:space="preserve"> allele </w:t>
      </w:r>
      <w:proofErr w:type="gramStart"/>
      <w:r w:rsidR="002E252F" w:rsidRPr="002E252F">
        <w:rPr>
          <w:rFonts w:ascii="Times New Roman" w:hAnsi="Times New Roman" w:cs="Times New Roman"/>
          <w:sz w:val="22"/>
        </w:rPr>
        <w:t>is located in</w:t>
      </w:r>
      <w:proofErr w:type="gramEnd"/>
      <w:r w:rsidR="002E252F" w:rsidRPr="002E252F">
        <w:rPr>
          <w:rFonts w:ascii="Times New Roman" w:hAnsi="Times New Roman" w:cs="Times New Roman"/>
          <w:sz w:val="22"/>
        </w:rPr>
        <w:t xml:space="preserve"> the linker region of SlGLK2</w:t>
      </w:r>
    </w:p>
    <w:p w14:paraId="1D99DC50" w14:textId="43ADB7B0" w:rsidR="00670063" w:rsidRPr="002E252F" w:rsidRDefault="002E252F" w:rsidP="002E252F">
      <w:pPr>
        <w:rPr>
          <w:rFonts w:ascii="Times New Roman" w:hAnsi="Times New Roman" w:cs="Times New Roman"/>
          <w:sz w:val="22"/>
        </w:rPr>
      </w:pPr>
      <w:r w:rsidRPr="002E252F">
        <w:rPr>
          <w:rFonts w:ascii="Times New Roman" w:hAnsi="Times New Roman" w:cs="Times New Roman"/>
          <w:sz w:val="22"/>
        </w:rPr>
        <w:t xml:space="preserve">Predicted SlGLK2 structures of Wild-type and </w:t>
      </w:r>
      <w:r w:rsidRPr="002E252F">
        <w:rPr>
          <w:rFonts w:ascii="Times New Roman" w:hAnsi="Times New Roman" w:cs="Times New Roman"/>
          <w:i/>
          <w:iCs/>
          <w:sz w:val="22"/>
        </w:rPr>
        <w:t>CR-Sglk2-4</w:t>
      </w:r>
      <w:r w:rsidRPr="002E252F">
        <w:rPr>
          <w:rFonts w:ascii="Times New Roman" w:hAnsi="Times New Roman" w:cs="Times New Roman"/>
          <w:sz w:val="22"/>
        </w:rPr>
        <w:t xml:space="preserve"> allele (CR4) using AlphaFold3. The target region and modified sequences are highlighted in green and blue, respectively. Predicted MYB domain is shown in yellow.</w:t>
      </w:r>
    </w:p>
    <w:p w14:paraId="32A59B1E" w14:textId="77777777" w:rsidR="00670063" w:rsidRDefault="00670063" w:rsidP="00670063">
      <w:pPr>
        <w:rPr>
          <w:rFonts w:ascii="Times New Roman" w:hAnsi="Times New Roman" w:cs="Times New Roman"/>
          <w:b/>
          <w:bCs/>
          <w:sz w:val="22"/>
        </w:rPr>
      </w:pPr>
    </w:p>
    <w:p w14:paraId="163C8E44" w14:textId="77777777" w:rsidR="00670063" w:rsidRDefault="00670063" w:rsidP="00670063">
      <w:pPr>
        <w:rPr>
          <w:rFonts w:ascii="Times New Roman" w:hAnsi="Times New Roman" w:cs="Times New Roman"/>
          <w:b/>
          <w:bCs/>
          <w:sz w:val="22"/>
        </w:rPr>
      </w:pPr>
      <w:r>
        <w:rPr>
          <w:rFonts w:ascii="Times New Roman" w:hAnsi="Times New Roman" w:cs="Times New Roman"/>
          <w:b/>
          <w:bCs/>
          <w:sz w:val="22"/>
        </w:rPr>
        <w:br w:type="page"/>
      </w:r>
    </w:p>
    <w:p w14:paraId="2C2A7B4E" w14:textId="77777777" w:rsidR="00670063" w:rsidRDefault="00670063" w:rsidP="00670063">
      <w:pPr>
        <w:rPr>
          <w:rFonts w:ascii="Times New Roman" w:hAnsi="Times New Roman" w:cs="Times New Roman"/>
          <w:b/>
          <w:bCs/>
          <w:sz w:val="22"/>
        </w:rPr>
      </w:pPr>
    </w:p>
    <w:p w14:paraId="2B52191F" w14:textId="77777777" w:rsidR="007B0718" w:rsidRDefault="007B0718" w:rsidP="00670063">
      <w:pPr>
        <w:rPr>
          <w:rFonts w:ascii="Times New Roman" w:hAnsi="Times New Roman" w:cs="Times New Roman"/>
          <w:b/>
          <w:bCs/>
          <w:sz w:val="22"/>
        </w:rPr>
      </w:pPr>
    </w:p>
    <w:p w14:paraId="74C92671" w14:textId="77777777" w:rsidR="00670063" w:rsidRDefault="00670063" w:rsidP="00670063">
      <w:pPr>
        <w:rPr>
          <w:rFonts w:ascii="Times New Roman" w:hAnsi="Times New Roman" w:cs="Times New Roman"/>
          <w:b/>
          <w:bCs/>
          <w:sz w:val="22"/>
        </w:rPr>
      </w:pPr>
    </w:p>
    <w:p w14:paraId="0F742CC3" w14:textId="6B846ED0" w:rsidR="00596060" w:rsidRDefault="00596060" w:rsidP="00670063">
      <w:pPr>
        <w:rPr>
          <w:rFonts w:ascii="Times New Roman" w:hAnsi="Times New Roman" w:cs="Times New Roman"/>
          <w:b/>
          <w:bCs/>
          <w:sz w:val="22"/>
        </w:rPr>
      </w:pPr>
      <w:r>
        <w:rPr>
          <w:rFonts w:ascii="Times New Roman" w:hAnsi="Times New Roman" w:cs="Times New Roman"/>
          <w:b/>
          <w:bCs/>
          <w:sz w:val="22"/>
        </w:rPr>
        <w:t>a)</w:t>
      </w:r>
    </w:p>
    <w:p w14:paraId="7B9EB341" w14:textId="547E8C02" w:rsidR="00596060" w:rsidRDefault="00596060" w:rsidP="00670063">
      <w:pPr>
        <w:rPr>
          <w:rFonts w:ascii="Times New Roman" w:hAnsi="Times New Roman" w:cs="Times New Roman"/>
          <w:b/>
          <w:bCs/>
          <w:sz w:val="22"/>
        </w:rPr>
      </w:pPr>
      <w:r w:rsidRPr="00596060">
        <w:rPr>
          <w:rFonts w:ascii="Times New Roman" w:hAnsi="Times New Roman" w:cs="Times New Roman"/>
          <w:b/>
          <w:bCs/>
          <w:noProof/>
          <w:sz w:val="22"/>
        </w:rPr>
        <w:drawing>
          <wp:inline distT="0" distB="0" distL="0" distR="0" wp14:anchorId="15CE1A8C" wp14:editId="7A4E277E">
            <wp:extent cx="6045481" cy="2319130"/>
            <wp:effectExtent l="0" t="0" r="0" b="5080"/>
            <wp:docPr id="8" name="図 7" descr="グラフィカル ユーザー インターフェイス, テキスト, アプリケーション&#10;&#10;自動的に生成された説明">
              <a:extLst xmlns:a="http://schemas.openxmlformats.org/drawingml/2006/main">
                <a:ext uri="{FF2B5EF4-FFF2-40B4-BE49-F238E27FC236}">
                  <a16:creationId xmlns:a16="http://schemas.microsoft.com/office/drawing/2014/main" id="{CD843939-5797-1842-9E95-783C0DC84AB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descr="グラフィカル ユーザー インターフェイス, テキスト, アプリケーション&#10;&#10;自動的に生成された説明">
                      <a:extLst>
                        <a:ext uri="{FF2B5EF4-FFF2-40B4-BE49-F238E27FC236}">
                          <a16:creationId xmlns:a16="http://schemas.microsoft.com/office/drawing/2014/main" id="{CD843939-5797-1842-9E95-783C0DC84ABC}"/>
                        </a:ext>
                      </a:extLst>
                    </pic:cNvPr>
                    <pic:cNvPicPr>
                      <a:picLocks noChangeAspect="1"/>
                    </pic:cNvPicPr>
                  </pic:nvPicPr>
                  <pic:blipFill>
                    <a:blip r:embed="rId10"/>
                    <a:stretch>
                      <a:fillRect/>
                    </a:stretch>
                  </pic:blipFill>
                  <pic:spPr>
                    <a:xfrm>
                      <a:off x="0" y="0"/>
                      <a:ext cx="6080763" cy="2332665"/>
                    </a:xfrm>
                    <a:prstGeom prst="rect">
                      <a:avLst/>
                    </a:prstGeom>
                  </pic:spPr>
                </pic:pic>
              </a:graphicData>
            </a:graphic>
          </wp:inline>
        </w:drawing>
      </w:r>
    </w:p>
    <w:p w14:paraId="33B0A460" w14:textId="77777777" w:rsidR="00596060" w:rsidRDefault="00596060" w:rsidP="00670063">
      <w:pPr>
        <w:rPr>
          <w:rFonts w:ascii="Times New Roman" w:hAnsi="Times New Roman" w:cs="Times New Roman"/>
          <w:b/>
          <w:bCs/>
          <w:sz w:val="22"/>
        </w:rPr>
      </w:pPr>
    </w:p>
    <w:p w14:paraId="7311DAC8" w14:textId="23F31E1C" w:rsidR="00596060" w:rsidRDefault="00596060" w:rsidP="00670063">
      <w:pPr>
        <w:rPr>
          <w:rFonts w:ascii="Times New Roman" w:hAnsi="Times New Roman" w:cs="Times New Roman"/>
          <w:b/>
          <w:bCs/>
          <w:sz w:val="22"/>
        </w:rPr>
      </w:pPr>
      <w:r>
        <w:rPr>
          <w:rFonts w:ascii="Times New Roman" w:hAnsi="Times New Roman" w:cs="Times New Roman"/>
          <w:b/>
          <w:bCs/>
          <w:sz w:val="22"/>
        </w:rPr>
        <w:t>b)</w:t>
      </w:r>
    </w:p>
    <w:p w14:paraId="02691A9C" w14:textId="550AEA2C" w:rsidR="00596060" w:rsidRDefault="00596060" w:rsidP="00670063">
      <w:pPr>
        <w:rPr>
          <w:rFonts w:ascii="Times New Roman" w:hAnsi="Times New Roman" w:cs="Times New Roman"/>
          <w:b/>
          <w:bCs/>
          <w:sz w:val="22"/>
        </w:rPr>
      </w:pPr>
      <w:r w:rsidRPr="00596060">
        <w:rPr>
          <w:rFonts w:ascii="Times New Roman" w:hAnsi="Times New Roman" w:cs="Times New Roman"/>
          <w:b/>
          <w:bCs/>
          <w:noProof/>
          <w:sz w:val="22"/>
        </w:rPr>
        <w:drawing>
          <wp:inline distT="0" distB="0" distL="0" distR="0" wp14:anchorId="1EC66C42" wp14:editId="2E04B99B">
            <wp:extent cx="6045200" cy="2335749"/>
            <wp:effectExtent l="0" t="0" r="0" b="1270"/>
            <wp:docPr id="7" name="図 6" descr="グラフィカル ユーザー インターフェイス, アプリケーション&#10;&#10;自動的に生成された説明">
              <a:extLst xmlns:a="http://schemas.openxmlformats.org/drawingml/2006/main">
                <a:ext uri="{FF2B5EF4-FFF2-40B4-BE49-F238E27FC236}">
                  <a16:creationId xmlns:a16="http://schemas.microsoft.com/office/drawing/2014/main" id="{12C334B3-9DCA-964D-3EF2-FA29E2DC5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グラフィカル ユーザー インターフェイス, アプリケーション&#10;&#10;自動的に生成された説明">
                      <a:extLst>
                        <a:ext uri="{FF2B5EF4-FFF2-40B4-BE49-F238E27FC236}">
                          <a16:creationId xmlns:a16="http://schemas.microsoft.com/office/drawing/2014/main" id="{12C334B3-9DCA-964D-3EF2-FA29E2DC5DDF}"/>
                        </a:ext>
                      </a:extLst>
                    </pic:cNvPr>
                    <pic:cNvPicPr>
                      <a:picLocks noChangeAspect="1"/>
                    </pic:cNvPicPr>
                  </pic:nvPicPr>
                  <pic:blipFill>
                    <a:blip r:embed="rId11"/>
                    <a:stretch>
                      <a:fillRect/>
                    </a:stretch>
                  </pic:blipFill>
                  <pic:spPr>
                    <a:xfrm>
                      <a:off x="0" y="0"/>
                      <a:ext cx="6084023" cy="2350749"/>
                    </a:xfrm>
                    <a:prstGeom prst="rect">
                      <a:avLst/>
                    </a:prstGeom>
                  </pic:spPr>
                </pic:pic>
              </a:graphicData>
            </a:graphic>
          </wp:inline>
        </w:drawing>
      </w:r>
    </w:p>
    <w:p w14:paraId="42FDE6BE" w14:textId="77777777" w:rsidR="00596060" w:rsidRDefault="00596060" w:rsidP="00670063">
      <w:pPr>
        <w:rPr>
          <w:rFonts w:ascii="Times New Roman" w:hAnsi="Times New Roman" w:cs="Times New Roman"/>
          <w:b/>
          <w:bCs/>
          <w:sz w:val="22"/>
        </w:rPr>
      </w:pPr>
    </w:p>
    <w:p w14:paraId="63D4A559" w14:textId="77777777" w:rsidR="00670063" w:rsidRDefault="00670063" w:rsidP="00670063">
      <w:pPr>
        <w:rPr>
          <w:rFonts w:ascii="Times New Roman" w:hAnsi="Times New Roman" w:cs="Times New Roman"/>
          <w:b/>
          <w:bCs/>
          <w:sz w:val="22"/>
        </w:rPr>
      </w:pPr>
    </w:p>
    <w:p w14:paraId="01E1C711" w14:textId="77777777" w:rsidR="002E252F" w:rsidRDefault="00670063" w:rsidP="00670063">
      <w:pPr>
        <w:rPr>
          <w:rFonts w:ascii="Times New Roman" w:hAnsi="Times New Roman" w:cs="Times New Roman"/>
          <w:b/>
          <w:bCs/>
          <w:sz w:val="22"/>
        </w:rPr>
      </w:pPr>
      <w:r w:rsidRPr="00670063">
        <w:rPr>
          <w:rFonts w:ascii="Times New Roman" w:hAnsi="Times New Roman" w:cs="Times New Roman"/>
          <w:b/>
          <w:bCs/>
          <w:sz w:val="22"/>
        </w:rPr>
        <w:t>Fig. S</w:t>
      </w:r>
      <w:r>
        <w:rPr>
          <w:rFonts w:ascii="Times New Roman" w:hAnsi="Times New Roman" w:cs="Times New Roman"/>
          <w:b/>
          <w:bCs/>
          <w:sz w:val="22"/>
        </w:rPr>
        <w:t>5</w:t>
      </w:r>
      <w:r w:rsidRPr="00670063">
        <w:rPr>
          <w:rFonts w:ascii="Times New Roman" w:hAnsi="Times New Roman" w:cs="Times New Roman"/>
          <w:b/>
          <w:bCs/>
          <w:sz w:val="22"/>
        </w:rPr>
        <w:t xml:space="preserve"> </w:t>
      </w:r>
      <w:r w:rsidR="002E252F" w:rsidRPr="002E252F">
        <w:rPr>
          <w:rFonts w:ascii="Times New Roman" w:hAnsi="Times New Roman" w:cs="Times New Roman"/>
          <w:i/>
          <w:iCs/>
          <w:sz w:val="22"/>
        </w:rPr>
        <w:t>CR-Sglk2-4</w:t>
      </w:r>
      <w:r w:rsidR="002E252F" w:rsidRPr="002E252F">
        <w:rPr>
          <w:rFonts w:ascii="Times New Roman" w:hAnsi="Times New Roman" w:cs="Times New Roman"/>
          <w:sz w:val="22"/>
        </w:rPr>
        <w:t xml:space="preserve"> allele does not affect nuclear localization signal</w:t>
      </w:r>
    </w:p>
    <w:p w14:paraId="6FD8418A" w14:textId="4B43C4CD" w:rsidR="00670063" w:rsidRDefault="002E252F" w:rsidP="00670063">
      <w:pPr>
        <w:rPr>
          <w:rFonts w:ascii="Times New Roman" w:hAnsi="Times New Roman" w:cs="Times New Roman"/>
          <w:b/>
          <w:bCs/>
          <w:sz w:val="22"/>
        </w:rPr>
      </w:pPr>
      <w:r w:rsidRPr="002E252F">
        <w:rPr>
          <w:rFonts w:ascii="Times New Roman" w:hAnsi="Times New Roman" w:cs="Times New Roman"/>
          <w:sz w:val="22"/>
        </w:rPr>
        <w:t xml:space="preserve">Subcellular localization prediction of SlGLK2 variants using LOCALIZER v.1.0.4 (https://localizer.csiro.au/) indicates that both variants, WT (a) and 13-bp-deletion variant (b) of the </w:t>
      </w:r>
      <w:r w:rsidRPr="002E252F">
        <w:rPr>
          <w:rFonts w:ascii="Times New Roman" w:hAnsi="Times New Roman" w:cs="Times New Roman"/>
          <w:i/>
          <w:iCs/>
          <w:sz w:val="22"/>
        </w:rPr>
        <w:t>CR-Slglk2-4</w:t>
      </w:r>
      <w:r w:rsidRPr="002E252F">
        <w:rPr>
          <w:rFonts w:ascii="Times New Roman" w:hAnsi="Times New Roman" w:cs="Times New Roman"/>
          <w:sz w:val="22"/>
        </w:rPr>
        <w:t xml:space="preserve"> line, have a nuclear localization signal with no transit peptides.</w:t>
      </w:r>
    </w:p>
    <w:p w14:paraId="56572EC9" w14:textId="77777777" w:rsidR="00670063" w:rsidRDefault="00670063" w:rsidP="00670063">
      <w:pPr>
        <w:rPr>
          <w:rFonts w:ascii="Times New Roman" w:hAnsi="Times New Roman" w:cs="Times New Roman"/>
          <w:b/>
          <w:bCs/>
          <w:sz w:val="22"/>
        </w:rPr>
      </w:pPr>
    </w:p>
    <w:p w14:paraId="69AAC52F" w14:textId="77777777" w:rsidR="00670063" w:rsidRDefault="00670063" w:rsidP="00670063">
      <w:pPr>
        <w:rPr>
          <w:rFonts w:ascii="Times New Roman" w:hAnsi="Times New Roman" w:cs="Times New Roman"/>
          <w:b/>
          <w:bCs/>
          <w:sz w:val="22"/>
        </w:rPr>
      </w:pPr>
      <w:r>
        <w:rPr>
          <w:rFonts w:ascii="Times New Roman" w:hAnsi="Times New Roman" w:cs="Times New Roman"/>
          <w:b/>
          <w:bCs/>
          <w:sz w:val="22"/>
        </w:rPr>
        <w:br w:type="page"/>
      </w:r>
    </w:p>
    <w:p w14:paraId="00985BC6" w14:textId="77777777" w:rsidR="00670063" w:rsidRDefault="00670063" w:rsidP="00670063">
      <w:pPr>
        <w:rPr>
          <w:rFonts w:ascii="Times New Roman" w:hAnsi="Times New Roman" w:cs="Times New Roman"/>
          <w:b/>
          <w:bCs/>
          <w:sz w:val="22"/>
        </w:rPr>
      </w:pPr>
    </w:p>
    <w:p w14:paraId="700572E6" w14:textId="77777777" w:rsidR="00670063" w:rsidRDefault="00670063" w:rsidP="00670063">
      <w:pPr>
        <w:rPr>
          <w:rFonts w:ascii="Times New Roman" w:hAnsi="Times New Roman" w:cs="Times New Roman"/>
          <w:b/>
          <w:bCs/>
          <w:sz w:val="22"/>
        </w:rPr>
      </w:pPr>
    </w:p>
    <w:p w14:paraId="4B9E8FC1" w14:textId="77777777" w:rsidR="007B0718" w:rsidRDefault="007B0718" w:rsidP="00670063">
      <w:pPr>
        <w:rPr>
          <w:rFonts w:ascii="Times New Roman" w:hAnsi="Times New Roman" w:cs="Times New Roman"/>
          <w:b/>
          <w:bCs/>
          <w:sz w:val="22"/>
        </w:rPr>
      </w:pPr>
    </w:p>
    <w:p w14:paraId="1C15D5B2" w14:textId="7F20C729" w:rsidR="00670063" w:rsidRDefault="00D75824" w:rsidP="00670063">
      <w:pPr>
        <w:rPr>
          <w:rFonts w:ascii="Times New Roman" w:hAnsi="Times New Roman" w:cs="Times New Roman"/>
          <w:b/>
          <w:bCs/>
          <w:sz w:val="22"/>
        </w:rPr>
      </w:pPr>
      <w:r w:rsidRPr="00D75824">
        <w:rPr>
          <w:rFonts w:ascii="Times New Roman" w:hAnsi="Times New Roman" w:cs="Times New Roman"/>
          <w:b/>
          <w:bCs/>
          <w:noProof/>
          <w:sz w:val="22"/>
        </w:rPr>
        <w:drawing>
          <wp:inline distT="0" distB="0" distL="0" distR="0" wp14:anchorId="278568AE" wp14:editId="440DAD8F">
            <wp:extent cx="6184900" cy="2387600"/>
            <wp:effectExtent l="0" t="0" r="0" b="0"/>
            <wp:docPr id="143935874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358741" name=""/>
                    <pic:cNvPicPr/>
                  </pic:nvPicPr>
                  <pic:blipFill>
                    <a:blip r:embed="rId12"/>
                    <a:stretch>
                      <a:fillRect/>
                    </a:stretch>
                  </pic:blipFill>
                  <pic:spPr>
                    <a:xfrm>
                      <a:off x="0" y="0"/>
                      <a:ext cx="6184900" cy="2387600"/>
                    </a:xfrm>
                    <a:prstGeom prst="rect">
                      <a:avLst/>
                    </a:prstGeom>
                  </pic:spPr>
                </pic:pic>
              </a:graphicData>
            </a:graphic>
          </wp:inline>
        </w:drawing>
      </w:r>
    </w:p>
    <w:p w14:paraId="6838BF1C" w14:textId="77777777" w:rsidR="00D75824" w:rsidRDefault="00D75824" w:rsidP="00670063">
      <w:pPr>
        <w:rPr>
          <w:rFonts w:ascii="Times New Roman" w:hAnsi="Times New Roman" w:cs="Times New Roman"/>
          <w:b/>
          <w:bCs/>
          <w:sz w:val="22"/>
        </w:rPr>
      </w:pPr>
    </w:p>
    <w:p w14:paraId="1ECA3119" w14:textId="77777777" w:rsidR="0039469E" w:rsidRDefault="0039469E" w:rsidP="00670063">
      <w:pPr>
        <w:rPr>
          <w:rFonts w:ascii="Times New Roman" w:hAnsi="Times New Roman" w:cs="Times New Roman"/>
          <w:b/>
          <w:bCs/>
          <w:sz w:val="22"/>
        </w:rPr>
      </w:pPr>
    </w:p>
    <w:p w14:paraId="44AE2A8E" w14:textId="32F5DB03" w:rsidR="008C3400" w:rsidRPr="008C3400" w:rsidRDefault="00670063" w:rsidP="008C3400">
      <w:pPr>
        <w:rPr>
          <w:rFonts w:ascii="Times New Roman" w:hAnsi="Times New Roman" w:cs="Times New Roman"/>
          <w:b/>
          <w:bCs/>
          <w:sz w:val="22"/>
        </w:rPr>
      </w:pPr>
      <w:r w:rsidRPr="00670063">
        <w:rPr>
          <w:rFonts w:ascii="Times New Roman" w:hAnsi="Times New Roman" w:cs="Times New Roman"/>
          <w:b/>
          <w:bCs/>
          <w:sz w:val="22"/>
        </w:rPr>
        <w:t>Fig. S</w:t>
      </w:r>
      <w:r>
        <w:rPr>
          <w:rFonts w:ascii="Times New Roman" w:hAnsi="Times New Roman" w:cs="Times New Roman"/>
          <w:b/>
          <w:bCs/>
          <w:sz w:val="22"/>
        </w:rPr>
        <w:t>6</w:t>
      </w:r>
      <w:r w:rsidR="008C3400">
        <w:rPr>
          <w:rFonts w:ascii="Times New Roman" w:hAnsi="Times New Roman" w:cs="Times New Roman"/>
          <w:b/>
          <w:bCs/>
          <w:sz w:val="22"/>
        </w:rPr>
        <w:t xml:space="preserve"> </w:t>
      </w:r>
      <w:r w:rsidR="008C3400" w:rsidRPr="008C3400">
        <w:rPr>
          <w:rFonts w:ascii="Times New Roman" w:hAnsi="Times New Roman" w:cs="Times New Roman"/>
          <w:b/>
          <w:bCs/>
          <w:sz w:val="22"/>
        </w:rPr>
        <w:t xml:space="preserve">Subcellular localization of SlGLK2 variants in </w:t>
      </w:r>
      <w:r w:rsidR="008C3400" w:rsidRPr="008C3400">
        <w:rPr>
          <w:rFonts w:ascii="Times New Roman" w:hAnsi="Times New Roman" w:cs="Times New Roman"/>
          <w:b/>
          <w:bCs/>
          <w:i/>
          <w:iCs/>
          <w:sz w:val="22"/>
        </w:rPr>
        <w:t xml:space="preserve">Nicotiana </w:t>
      </w:r>
      <w:proofErr w:type="spellStart"/>
      <w:r w:rsidR="008C3400">
        <w:rPr>
          <w:rFonts w:ascii="Times New Roman" w:hAnsi="Times New Roman" w:cs="Times New Roman"/>
          <w:b/>
          <w:bCs/>
          <w:i/>
          <w:iCs/>
          <w:sz w:val="22"/>
        </w:rPr>
        <w:t>b</w:t>
      </w:r>
      <w:r w:rsidR="008C3400" w:rsidRPr="008C3400">
        <w:rPr>
          <w:rFonts w:ascii="Times New Roman" w:hAnsi="Times New Roman" w:cs="Times New Roman"/>
          <w:b/>
          <w:bCs/>
          <w:i/>
          <w:iCs/>
          <w:sz w:val="22"/>
        </w:rPr>
        <w:t>enthamiana</w:t>
      </w:r>
      <w:proofErr w:type="spellEnd"/>
      <w:r w:rsidR="008C3400" w:rsidRPr="008C3400">
        <w:rPr>
          <w:rFonts w:ascii="Times New Roman" w:hAnsi="Times New Roman" w:cs="Times New Roman"/>
          <w:b/>
          <w:bCs/>
          <w:sz w:val="22"/>
        </w:rPr>
        <w:t xml:space="preserve"> leaf</w:t>
      </w:r>
    </w:p>
    <w:p w14:paraId="0CB3E183" w14:textId="67BE9DC1" w:rsidR="00670063" w:rsidRPr="008C3400" w:rsidRDefault="008C3400" w:rsidP="008C3400">
      <w:pPr>
        <w:rPr>
          <w:rFonts w:ascii="Times New Roman" w:hAnsi="Times New Roman" w:cs="Times New Roman"/>
          <w:sz w:val="22"/>
        </w:rPr>
      </w:pPr>
      <w:r w:rsidRPr="008C3400">
        <w:rPr>
          <w:rFonts w:ascii="Times New Roman" w:eastAsiaTheme="minorEastAsia" w:hAnsi="Times New Roman" w:cs="Times New Roman"/>
          <w:kern w:val="2"/>
          <w:sz w:val="22"/>
          <w:lang w:eastAsia="zh-CN"/>
          <w14:ligatures w14:val="standardContextual"/>
        </w:rPr>
        <w:t>Subcellular localization of WT, u allele, and 13-bp deletion variant of SlGLK2 protein. Each variant was fused with super</w:t>
      </w:r>
      <w:r>
        <w:rPr>
          <w:rFonts w:ascii="Times New Roman" w:eastAsiaTheme="minorEastAsia" w:hAnsi="Times New Roman" w:cs="Times New Roman"/>
          <w:kern w:val="2"/>
          <w:sz w:val="22"/>
          <w:lang w:eastAsia="zh-CN"/>
          <w14:ligatures w14:val="standardContextual"/>
        </w:rPr>
        <w:t xml:space="preserve"> </w:t>
      </w:r>
      <w:r w:rsidRPr="008C3400">
        <w:rPr>
          <w:rFonts w:ascii="Times New Roman" w:eastAsiaTheme="minorEastAsia" w:hAnsi="Times New Roman" w:cs="Times New Roman"/>
          <w:kern w:val="2"/>
          <w:sz w:val="22"/>
          <w:lang w:eastAsia="zh-CN"/>
          <w14:ligatures w14:val="standardContextual"/>
        </w:rPr>
        <w:t>folder green fluorescent protein (</w:t>
      </w:r>
      <w:proofErr w:type="spellStart"/>
      <w:r w:rsidRPr="008C3400">
        <w:rPr>
          <w:rFonts w:ascii="Times New Roman" w:eastAsiaTheme="minorEastAsia" w:hAnsi="Times New Roman" w:cs="Times New Roman"/>
          <w:kern w:val="2"/>
          <w:sz w:val="22"/>
          <w:lang w:eastAsia="zh-CN"/>
          <w14:ligatures w14:val="standardContextual"/>
        </w:rPr>
        <w:t>sfGFP</w:t>
      </w:r>
      <w:proofErr w:type="spellEnd"/>
      <w:r w:rsidRPr="008C3400">
        <w:rPr>
          <w:rFonts w:ascii="Times New Roman" w:eastAsiaTheme="minorEastAsia" w:hAnsi="Times New Roman" w:cs="Times New Roman"/>
          <w:kern w:val="2"/>
          <w:sz w:val="22"/>
          <w:lang w:eastAsia="zh-CN"/>
          <w14:ligatures w14:val="standardContextual"/>
        </w:rPr>
        <w:t xml:space="preserve">) and transiently expressed in </w:t>
      </w:r>
      <w:r w:rsidRPr="008C3400">
        <w:rPr>
          <w:rFonts w:ascii="Times New Roman" w:eastAsiaTheme="minorEastAsia" w:hAnsi="Times New Roman" w:cs="Times New Roman"/>
          <w:i/>
          <w:iCs/>
          <w:kern w:val="2"/>
          <w:sz w:val="22"/>
          <w:lang w:eastAsia="zh-CN"/>
          <w14:ligatures w14:val="standardContextual"/>
        </w:rPr>
        <w:t xml:space="preserve">N. </w:t>
      </w:r>
      <w:proofErr w:type="spellStart"/>
      <w:r w:rsidRPr="008C3400">
        <w:rPr>
          <w:rFonts w:ascii="Times New Roman" w:eastAsiaTheme="minorEastAsia" w:hAnsi="Times New Roman" w:cs="Times New Roman"/>
          <w:i/>
          <w:iCs/>
          <w:kern w:val="2"/>
          <w:sz w:val="22"/>
          <w:lang w:eastAsia="zh-CN"/>
          <w14:ligatures w14:val="standardContextual"/>
        </w:rPr>
        <w:t>benthamiana</w:t>
      </w:r>
      <w:proofErr w:type="spellEnd"/>
      <w:r w:rsidRPr="008C3400">
        <w:rPr>
          <w:rFonts w:ascii="Times New Roman" w:eastAsiaTheme="minorEastAsia" w:hAnsi="Times New Roman" w:cs="Times New Roman"/>
          <w:kern w:val="2"/>
          <w:sz w:val="22"/>
          <w:lang w:eastAsia="zh-CN"/>
          <w14:ligatures w14:val="standardContextual"/>
        </w:rPr>
        <w:t xml:space="preserve"> leaves.</w:t>
      </w:r>
    </w:p>
    <w:p w14:paraId="6BDF1BE1" w14:textId="77777777" w:rsidR="00670063" w:rsidRDefault="00670063" w:rsidP="00670063">
      <w:pPr>
        <w:rPr>
          <w:rFonts w:ascii="Times New Roman" w:hAnsi="Times New Roman" w:cs="Times New Roman"/>
          <w:b/>
          <w:bCs/>
          <w:sz w:val="22"/>
        </w:rPr>
      </w:pPr>
    </w:p>
    <w:p w14:paraId="6C5692B6" w14:textId="17B8C85E" w:rsidR="00670063" w:rsidRPr="00670063" w:rsidRDefault="00670063">
      <w:pPr>
        <w:rPr>
          <w:rFonts w:ascii="Times New Roman" w:hAnsi="Times New Roman" w:cs="Times New Roman"/>
          <w:b/>
          <w:bCs/>
          <w:sz w:val="22"/>
        </w:rPr>
      </w:pPr>
    </w:p>
    <w:sectPr w:rsidR="00670063" w:rsidRPr="00670063" w:rsidSect="00767814">
      <w:headerReference w:type="even" r:id="rId13"/>
      <w:headerReference w:type="default" r:id="rId14"/>
      <w:headerReference w:type="first" r:id="rId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D934" w14:textId="77777777" w:rsidR="00562C01" w:rsidRDefault="00562C01" w:rsidP="00767814">
      <w:r>
        <w:separator/>
      </w:r>
    </w:p>
  </w:endnote>
  <w:endnote w:type="continuationSeparator" w:id="0">
    <w:p w14:paraId="0B873A64" w14:textId="77777777" w:rsidR="00562C01" w:rsidRDefault="00562C01" w:rsidP="0076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BB64" w14:textId="77777777" w:rsidR="00562C01" w:rsidRDefault="00562C01" w:rsidP="00767814">
      <w:r>
        <w:separator/>
      </w:r>
    </w:p>
  </w:footnote>
  <w:footnote w:type="continuationSeparator" w:id="0">
    <w:p w14:paraId="61438CCA" w14:textId="77777777" w:rsidR="00562C01" w:rsidRDefault="00562C01" w:rsidP="00767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25FB" w14:textId="5D439664" w:rsidR="00767814" w:rsidRDefault="0076781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911B" w14:textId="71B2390D" w:rsidR="00767814" w:rsidRDefault="0076781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AF18C" w14:textId="0852F5F4" w:rsidR="00767814" w:rsidRDefault="00767814">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814"/>
    <w:rsid w:val="00242A97"/>
    <w:rsid w:val="002E252F"/>
    <w:rsid w:val="0039469E"/>
    <w:rsid w:val="003E446D"/>
    <w:rsid w:val="00562C01"/>
    <w:rsid w:val="00596060"/>
    <w:rsid w:val="00670063"/>
    <w:rsid w:val="00767814"/>
    <w:rsid w:val="007B0718"/>
    <w:rsid w:val="008C3400"/>
    <w:rsid w:val="00B87A3D"/>
    <w:rsid w:val="00B96B16"/>
    <w:rsid w:val="00C5646E"/>
    <w:rsid w:val="00CF1877"/>
    <w:rsid w:val="00D4687F"/>
    <w:rsid w:val="00D567FF"/>
    <w:rsid w:val="00D75824"/>
    <w:rsid w:val="00E30A73"/>
    <w:rsid w:val="00ED21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4D3B0F"/>
  <w15:chartTrackingRefBased/>
  <w15:docId w15:val="{87726A6F-037D-9347-B188-EB9EE6395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3400"/>
    <w:rPr>
      <w:rFonts w:ascii="ＭＳ Ｐゴシック" w:eastAsia="ＭＳ Ｐゴシック" w:hAnsi="ＭＳ Ｐゴシック" w:cs="ＭＳ Ｐゴシック"/>
      <w:kern w:val="0"/>
      <w:sz w:val="24"/>
      <w14:ligatures w14:val="none"/>
    </w:rPr>
  </w:style>
  <w:style w:type="paragraph" w:styleId="1">
    <w:name w:val="heading 1"/>
    <w:basedOn w:val="a"/>
    <w:next w:val="a"/>
    <w:link w:val="10"/>
    <w:uiPriority w:val="9"/>
    <w:qFormat/>
    <w:rsid w:val="00767814"/>
    <w:pPr>
      <w:keepNext/>
      <w:keepLines/>
      <w:widowControl w:val="0"/>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767814"/>
    <w:pPr>
      <w:keepNext/>
      <w:keepLines/>
      <w:widowControl w:val="0"/>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767814"/>
    <w:pPr>
      <w:keepNext/>
      <w:keepLines/>
      <w:widowControl w:val="0"/>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767814"/>
    <w:pPr>
      <w:keepNext/>
      <w:keepLines/>
      <w:widowControl w:val="0"/>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767814"/>
    <w:pPr>
      <w:keepNext/>
      <w:keepLines/>
      <w:widowControl w:val="0"/>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767814"/>
    <w:pPr>
      <w:keepNext/>
      <w:keepLines/>
      <w:widowControl w:val="0"/>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767814"/>
    <w:pPr>
      <w:keepNext/>
      <w:keepLines/>
      <w:widowControl w:val="0"/>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767814"/>
    <w:pPr>
      <w:keepNext/>
      <w:keepLines/>
      <w:widowControl w:val="0"/>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767814"/>
    <w:pPr>
      <w:keepNext/>
      <w:keepLines/>
      <w:widowControl w:val="0"/>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6781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6781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6781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6781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6781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6781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6781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6781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6781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67814"/>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678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7814"/>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7678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7814"/>
    <w:pPr>
      <w:widowControl w:val="0"/>
      <w:spacing w:before="160" w:after="160"/>
      <w:jc w:val="center"/>
    </w:pPr>
    <w:rPr>
      <w:rFonts w:asciiTheme="minorHAnsi" w:eastAsiaTheme="minorEastAsia" w:hAnsiTheme="minorHAnsi"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767814"/>
    <w:rPr>
      <w:i/>
      <w:iCs/>
      <w:color w:val="404040" w:themeColor="text1" w:themeTint="BF"/>
    </w:rPr>
  </w:style>
  <w:style w:type="paragraph" w:styleId="a9">
    <w:name w:val="List Paragraph"/>
    <w:basedOn w:val="a"/>
    <w:uiPriority w:val="34"/>
    <w:qFormat/>
    <w:rsid w:val="00767814"/>
    <w:pPr>
      <w:widowControl w:val="0"/>
      <w:ind w:left="720"/>
      <w:contextualSpacing/>
    </w:pPr>
    <w:rPr>
      <w:rFonts w:asciiTheme="minorHAnsi" w:eastAsiaTheme="minorEastAsia" w:hAnsiTheme="minorHAnsi" w:cstheme="minorBidi"/>
      <w:kern w:val="2"/>
      <w:sz w:val="21"/>
      <w14:ligatures w14:val="standardContextual"/>
    </w:rPr>
  </w:style>
  <w:style w:type="character" w:styleId="21">
    <w:name w:val="Intense Emphasis"/>
    <w:basedOn w:val="a0"/>
    <w:uiPriority w:val="21"/>
    <w:qFormat/>
    <w:rsid w:val="00767814"/>
    <w:rPr>
      <w:i/>
      <w:iCs/>
      <w:color w:val="0F4761" w:themeColor="accent1" w:themeShade="BF"/>
    </w:rPr>
  </w:style>
  <w:style w:type="paragraph" w:styleId="22">
    <w:name w:val="Intense Quote"/>
    <w:basedOn w:val="a"/>
    <w:next w:val="a"/>
    <w:link w:val="23"/>
    <w:uiPriority w:val="30"/>
    <w:qFormat/>
    <w:rsid w:val="00767814"/>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767814"/>
    <w:rPr>
      <w:i/>
      <w:iCs/>
      <w:color w:val="0F4761" w:themeColor="accent1" w:themeShade="BF"/>
    </w:rPr>
  </w:style>
  <w:style w:type="character" w:styleId="24">
    <w:name w:val="Intense Reference"/>
    <w:basedOn w:val="a0"/>
    <w:uiPriority w:val="32"/>
    <w:qFormat/>
    <w:rsid w:val="00767814"/>
    <w:rPr>
      <w:b/>
      <w:bCs/>
      <w:smallCaps/>
      <w:color w:val="0F4761" w:themeColor="accent1" w:themeShade="BF"/>
      <w:spacing w:val="5"/>
    </w:rPr>
  </w:style>
  <w:style w:type="paragraph" w:styleId="aa">
    <w:name w:val="header"/>
    <w:basedOn w:val="a"/>
    <w:link w:val="ab"/>
    <w:uiPriority w:val="99"/>
    <w:unhideWhenUsed/>
    <w:rsid w:val="00767814"/>
    <w:pPr>
      <w:widowControl w:val="0"/>
      <w:tabs>
        <w:tab w:val="center" w:pos="4252"/>
        <w:tab w:val="right" w:pos="8504"/>
      </w:tabs>
      <w:snapToGrid w:val="0"/>
      <w:jc w:val="both"/>
    </w:pPr>
    <w:rPr>
      <w:rFonts w:asciiTheme="minorHAnsi" w:eastAsiaTheme="minorEastAsia" w:hAnsiTheme="minorHAnsi" w:cstheme="minorBidi"/>
      <w:kern w:val="2"/>
      <w:sz w:val="21"/>
      <w:szCs w:val="22"/>
      <w:lang w:eastAsia="zh-CN"/>
      <w14:ligatures w14:val="standardContextual"/>
    </w:rPr>
  </w:style>
  <w:style w:type="character" w:customStyle="1" w:styleId="ab">
    <w:name w:val="ヘッダー (文字)"/>
    <w:basedOn w:val="a0"/>
    <w:link w:val="aa"/>
    <w:uiPriority w:val="99"/>
    <w:rsid w:val="00767814"/>
    <w:rPr>
      <w:szCs w:val="22"/>
      <w:lang w:eastAsia="zh-CN"/>
    </w:rPr>
  </w:style>
  <w:style w:type="paragraph" w:styleId="Web">
    <w:name w:val="Normal (Web)"/>
    <w:basedOn w:val="a"/>
    <w:uiPriority w:val="99"/>
    <w:semiHidden/>
    <w:unhideWhenUsed/>
    <w:rsid w:val="002E252F"/>
    <w:pPr>
      <w:widowControl w:val="0"/>
      <w:jc w:val="both"/>
    </w:pPr>
    <w:rPr>
      <w:rFonts w:ascii="Times New Roman" w:eastAsiaTheme="minorEastAsia" w:hAnsi="Times New Roman" w:cs="Times New Roman"/>
      <w:kern w:val="2"/>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363</Words>
  <Characters>2287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Kentaro Ezura</dc:creator>
  <cp:keywords/>
  <dc:description/>
  <cp:lastModifiedBy>Kentaro Ezura</cp:lastModifiedBy>
  <cp:revision>12</cp:revision>
  <dcterms:created xsi:type="dcterms:W3CDTF">2026-02-05T02:19:00Z</dcterms:created>
  <dcterms:modified xsi:type="dcterms:W3CDTF">2026-02-08T05:19:00Z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a51dd9-fbf3-441a-848a-731b3db6f981_Enabled">
    <vt:lpwstr>true</vt:lpwstr>
  </property>
  <property fmtid="{D5CDD505-2E9C-101B-9397-08002B2CF9AE}" pid="3" name="MSIP_Label_b4a51dd9-fbf3-441a-848a-731b3db6f981_SetDate">
    <vt:lpwstr>2026-02-05T02:20:40Z</vt:lpwstr>
  </property>
  <property fmtid="{D5CDD505-2E9C-101B-9397-08002B2CF9AE}" pid="4" name="MSIP_Label_b4a51dd9-fbf3-441a-848a-731b3db6f981_Method">
    <vt:lpwstr>Privileged</vt:lpwstr>
  </property>
  <property fmtid="{D5CDD505-2E9C-101B-9397-08002B2CF9AE}" pid="5" name="MSIP_Label_b4a51dd9-fbf3-441a-848a-731b3db6f981_Name">
    <vt:lpwstr>機密性１　暗号化無し</vt:lpwstr>
  </property>
  <property fmtid="{D5CDD505-2E9C-101B-9397-08002B2CF9AE}" pid="6" name="MSIP_Label_b4a51dd9-fbf3-441a-848a-731b3db6f981_SiteId">
    <vt:lpwstr>3371e797-ed99-4c5b-823b-20c844a560c8</vt:lpwstr>
  </property>
  <property fmtid="{D5CDD505-2E9C-101B-9397-08002B2CF9AE}" pid="7" name="MSIP_Label_b4a51dd9-fbf3-441a-848a-731b3db6f981_ActionId">
    <vt:lpwstr>a6ede3c4-9042-4d60-b6e5-368b1a58142c</vt:lpwstr>
  </property>
  <property fmtid="{D5CDD505-2E9C-101B-9397-08002B2CF9AE}" pid="8" name="MSIP_Label_b4a51dd9-fbf3-441a-848a-731b3db6f981_ContentBits">
    <vt:lpwstr>0</vt:lpwstr>
  </property>
  <property fmtid="{D5CDD505-2E9C-101B-9397-08002B2CF9AE}" pid="9" name="MSIP_Label_b4a51dd9-fbf3-441a-848a-731b3db6f981_Tag">
    <vt:lpwstr>50, 0, 1, 1</vt:lpwstr>
  </property>
</Properties>
</file>