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Bold" w:hAnsi="Times New Roman Bold" w:eastAsia="宋体" w:cs="Times New Roman Bold"/>
          <w:b/>
          <w:bCs/>
          <w:sz w:val="24"/>
          <w:szCs w:val="24"/>
          <w:vertAlign w:val="baseline"/>
          <w:lang w:val="en-US" w:eastAsia="zh-CN"/>
        </w:rPr>
      </w:pPr>
      <w:r>
        <w:rPr>
          <w:rFonts w:hint="default" w:ascii="Times New Roman Bold" w:hAnsi="Times New Roman Bold" w:eastAsia="宋体" w:cs="Times New Roman Bold"/>
          <w:b/>
          <w:bCs/>
          <w:sz w:val="24"/>
          <w:szCs w:val="24"/>
          <w:vertAlign w:val="baseline"/>
          <w:lang w:val="en-US" w:eastAsia="zh-CN"/>
        </w:rPr>
        <w:t>Materials and methods</w:t>
      </w:r>
    </w:p>
    <w:p>
      <w:pPr>
        <w:spacing w:line="360" w:lineRule="auto"/>
        <w:rPr>
          <w:rFonts w:hint="default" w:ascii="Times New Roman" w:hAnsi="Times New Roman" w:eastAsia="宋体" w:cs="Times New Roman"/>
          <w:b w:val="0"/>
          <w:bCs w:val="0"/>
          <w:vertAlign w:val="baseline"/>
          <w:lang w:val="en-US" w:eastAsia="zh-CN"/>
        </w:rPr>
      </w:pPr>
      <w:r>
        <w:rPr>
          <w:rFonts w:hint="default" w:ascii="Times New Roman Bold" w:hAnsi="Times New Roman Bold" w:eastAsia="宋体" w:cs="Times New Roman Bold"/>
          <w:b/>
          <w:bCs/>
          <w:sz w:val="24"/>
          <w:szCs w:val="24"/>
          <w:vertAlign w:val="baseline"/>
          <w:lang w:val="en-US" w:eastAsia="zh-CN"/>
        </w:rPr>
        <w:t>Macrophage depletion mouse model</w:t>
      </w:r>
    </w:p>
    <w:p>
      <w:pPr>
        <w:spacing w:line="360" w:lineRule="auto"/>
        <w:rPr>
          <w:rFonts w:hint="default" w:ascii="Times New Roman" w:hAnsi="Times New Roman" w:eastAsia="宋体" w:cs="Times New Roman"/>
          <w:b w:val="0"/>
          <w:bCs w:val="0"/>
          <w:vertAlign w:val="baseline"/>
          <w:lang w:val="en-US" w:eastAsia="zh-CN"/>
        </w:rPr>
      </w:pPr>
      <w:r>
        <w:rPr>
          <w:rFonts w:hint="default" w:ascii="Times New Roman" w:hAnsi="Times New Roman" w:eastAsia="宋体" w:cs="Times New Roman"/>
          <w:b w:val="0"/>
          <w:bCs w:val="0"/>
          <w:vertAlign w:val="baseline"/>
          <w:lang w:val="en-US" w:eastAsia="zh-CN"/>
        </w:rPr>
        <w:t>At the start of the HFD modeling, the macrophage depletion group (Clodronate Liposomes, Clo-lip) received an intraperitoneal injection of 200 μL Clodronate Liposomes (The Newthelands, VU Medical Centre Amsterdam, 1mg/ml/day), while the control group received an equivalent volume of solvent via intraperitoneal injection. Mice were sacrificed after 12 weeks.</w:t>
      </w:r>
    </w:p>
    <w:p>
      <w:pPr>
        <w:spacing w:line="360" w:lineRule="auto"/>
        <w:rPr>
          <w:rFonts w:hint="default" w:ascii="Times New Roman" w:hAnsi="Times New Roman" w:eastAsia="宋体" w:cs="Times New Roman"/>
          <w:b w:val="0"/>
          <w:bCs w:val="0"/>
          <w:vertAlign w:val="baseline"/>
          <w:lang w:val="en-US" w:eastAsia="zh-CN"/>
        </w:rPr>
      </w:pPr>
      <w:r>
        <w:rPr>
          <w:rFonts w:hint="default" w:ascii="Times New Roman Bold" w:hAnsi="Times New Roman Bold" w:eastAsia="宋体" w:cs="Times New Roman Bold"/>
          <w:b/>
          <w:bCs/>
          <w:vertAlign w:val="baseline"/>
          <w:lang w:val="en-US" w:eastAsia="zh-CN"/>
        </w:rPr>
        <w:t>Correlation Analysis of Differential Gut Microbiota and Serum Metabolites</w:t>
      </w:r>
    </w:p>
    <w:p>
      <w:pPr>
        <w:spacing w:line="360" w:lineRule="auto"/>
        <w:rPr>
          <w:rFonts w:hint="default" w:ascii="Times New Roman" w:hAnsi="Times New Roman" w:eastAsia="宋体" w:cs="Times New Roman"/>
          <w:b w:val="0"/>
          <w:bCs w:val="0"/>
          <w:vertAlign w:val="baseline"/>
          <w:lang w:val="en-US" w:eastAsia="zh-CN"/>
        </w:rPr>
      </w:pPr>
      <w:r>
        <w:rPr>
          <w:rFonts w:hint="default" w:ascii="Times New Roman" w:hAnsi="Times New Roman" w:eastAsia="宋体" w:cs="Times New Roman"/>
          <w:b w:val="0"/>
          <w:bCs w:val="0"/>
          <w:vertAlign w:val="baseline"/>
          <w:lang w:val="en-US" w:eastAsia="zh-CN"/>
        </w:rPr>
        <w:t>Correlation analysis was performed using differentially expressed and statistically significant bacterial species from 16S rRNA sequencing of fecal samples, along with differentially expressed and statistically significant metabolites from untargeted metabolomics of portal vein serum, obtained from WT versus IL-34</w:t>
      </w:r>
      <w:r>
        <w:rPr>
          <w:rFonts w:hint="eastAsia" w:ascii="Times New Roman" w:hAnsi="Times New Roman" w:eastAsia="宋体" w:cs="Times New Roman"/>
          <w:b w:val="0"/>
          <w:bCs w:val="0"/>
          <w:vertAlign w:val="superscript"/>
          <w:lang w:val="en-US" w:eastAsia="zh-CN"/>
        </w:rPr>
        <w:t>-/-</w:t>
      </w:r>
      <w:r>
        <w:rPr>
          <w:rFonts w:hint="default" w:ascii="Times New Roman" w:hAnsi="Times New Roman" w:eastAsia="宋体" w:cs="Times New Roman"/>
          <w:b w:val="0"/>
          <w:bCs w:val="0"/>
          <w:vertAlign w:val="baseline"/>
          <w:lang w:val="en-US" w:eastAsia="zh-CN"/>
        </w:rPr>
        <w:t>mice.</w:t>
      </w:r>
    </w:p>
    <w:p>
      <w:pPr>
        <w:rPr>
          <w:rFonts w:ascii="Times New Roman" w:hAnsi="Times New Roman" w:cs="Times New Roman"/>
          <w:b/>
          <w:bCs/>
          <w:sz w:val="24"/>
          <w:szCs w:val="24"/>
        </w:rPr>
      </w:pPr>
    </w:p>
    <w:p>
      <w:pPr>
        <w:rPr>
          <w:rFonts w:hint="default" w:ascii="Times New Roman" w:hAnsi="Times New Roman" w:cs="Times New Roman"/>
          <w:b/>
          <w:bCs/>
          <w:sz w:val="24"/>
          <w:szCs w:val="24"/>
          <w:lang w:val="en-US" w:eastAsia="zh-CN"/>
        </w:rPr>
      </w:pPr>
    </w:p>
    <w:p>
      <w:pPr>
        <w:jc w:val="left"/>
        <w:rPr>
          <w:rFonts w:hint="default"/>
          <w:lang w:val="en-US" w:eastAsia="zh-CN"/>
        </w:rPr>
      </w:pPr>
      <w:r>
        <w:rPr>
          <w:rFonts w:hint="default"/>
          <w:lang w:val="en-US" w:eastAsia="zh-CN"/>
        </w:rPr>
        <w:drawing>
          <wp:inline distT="0" distB="0" distL="114300" distR="114300">
            <wp:extent cx="5271135" cy="2129155"/>
            <wp:effectExtent l="0" t="0" r="12065" b="4445"/>
            <wp:docPr id="2" name="图片 2" descr="补充图1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补充图1_画板 1"/>
                    <pic:cNvPicPr>
                      <a:picLocks noChangeAspect="1"/>
                    </pic:cNvPicPr>
                  </pic:nvPicPr>
                  <pic:blipFill>
                    <a:blip r:embed="rId4"/>
                    <a:stretch>
                      <a:fillRect/>
                    </a:stretch>
                  </pic:blipFill>
                  <pic:spPr>
                    <a:xfrm>
                      <a:off x="0" y="0"/>
                      <a:ext cx="5271135" cy="2129155"/>
                    </a:xfrm>
                    <a:prstGeom prst="rect">
                      <a:avLst/>
                    </a:prstGeom>
                  </pic:spPr>
                </pic:pic>
              </a:graphicData>
            </a:graphic>
          </wp:inline>
        </w:drawing>
      </w:r>
    </w:p>
    <w:p>
      <w:pPr>
        <w:numPr>
          <w:ilvl w:val="0"/>
          <w:numId w:val="0"/>
        </w:numPr>
        <w:spacing w:line="360" w:lineRule="auto"/>
        <w:jc w:val="left"/>
        <w:rPr>
          <w:rFonts w:hint="default" w:ascii="Times New Roman Regular" w:hAnsi="Times New Roman Regular" w:cs="Times New Roman Regular"/>
          <w:lang w:val="en-US" w:eastAsia="zh-CN"/>
        </w:rPr>
      </w:pPr>
      <w:r>
        <w:rPr>
          <w:rFonts w:hint="default" w:ascii="Times New Roman Bold" w:hAnsi="Times New Roman Bold" w:eastAsia="宋体" w:cs="Times New Roman Bold"/>
          <w:b/>
          <w:bCs/>
          <w:vertAlign w:val="baseline"/>
          <w:lang w:val="en-US" w:eastAsia="zh-CN"/>
        </w:rPr>
        <w:t>Figure S1: Macrophage depletion is not able to reverse the exacerbation of MASLD caused by IL-34⁻/⁻.</w:t>
      </w:r>
    </w:p>
    <w:p>
      <w:pPr>
        <w:numPr>
          <w:ilvl w:val="0"/>
          <w:numId w:val="0"/>
        </w:numPr>
        <w:spacing w:line="360" w:lineRule="auto"/>
        <w:jc w:val="left"/>
        <w:rPr>
          <w:rFonts w:hint="default" w:ascii="Times New Roman Regular" w:hAnsi="Times New Roman Regular" w:cs="Times New Roman Regular"/>
          <w:lang w:val="en-US" w:eastAsia="zh-CN"/>
        </w:rPr>
      </w:pPr>
      <w:r>
        <w:rPr>
          <w:rFonts w:hint="default" w:ascii="Times New Roman Regular" w:hAnsi="Times New Roman Regular" w:cs="Times New Roman Regular"/>
          <w:lang w:val="en-US" w:eastAsia="zh-CN"/>
        </w:rPr>
        <w:t>(A)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mice were subjected to a 60% high-fat diet (HFD) to establish an HFD-induced mouse model. Clodronate liposomes (1 mg/ml) were administered starting from week 8 to deplete macrophages; (B) No significant difference in body weight was observed between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+clo-lip and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groups. Macrophage depletion failed to alleviate the weight gain induced by IL-34 knockout;(C) No significant differences in liver size or weight were detected between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 clo-lip and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groups; (D) Expression of the macrophage marker F4/80 in mouse livers was measured by qPCR; (E-F) Serum ALT and AST levels were slightly decreased in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 clo-lip group compared to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group; (G) Serum TG levels showed a slight reduction in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 clo-lip group compared to the IL-34</w:t>
      </w:r>
      <w:r>
        <w:rPr>
          <w:rFonts w:hint="default" w:ascii="Times New Roman Regular" w:hAnsi="Times New Roman Regular" w:cs="Times New Roman Regular"/>
          <w:vertAlign w:val="superscript"/>
          <w:lang w:val="en-US" w:eastAsia="zh-CN"/>
        </w:rPr>
        <w:t>-/-</w:t>
      </w:r>
      <w:r>
        <w:rPr>
          <w:rFonts w:hint="default" w:ascii="Times New Roman Regular" w:hAnsi="Times New Roman Regular" w:cs="Times New Roman Regular"/>
          <w:lang w:val="en-US" w:eastAsia="zh-CN"/>
        </w:rPr>
        <w:t xml:space="preserve"> group, but the difference was not statistically significant; (H) H&amp;E staining of liver tissues revealed no significant difference in NAS scores between the two groups; (I) H&amp;E staining of visceral adipose tissue showed no notable difference in adipocyte size between the two groups.</w:t>
      </w:r>
    </w:p>
    <w:p>
      <w:pPr>
        <w:numPr>
          <w:ilvl w:val="0"/>
          <w:numId w:val="0"/>
        </w:numPr>
        <w:jc w:val="left"/>
        <w:rPr>
          <w:rFonts w:hint="default"/>
          <w:lang w:val="en-US" w:eastAsia="zh-CN"/>
        </w:rPr>
      </w:pPr>
    </w:p>
    <w:p>
      <w:pPr>
        <w:numPr>
          <w:ilvl w:val="0"/>
          <w:numId w:val="0"/>
        </w:numPr>
        <w:spacing w:line="240" w:lineRule="auto"/>
        <w:jc w:val="left"/>
        <w:rPr>
          <w:rFonts w:hint="default" w:ascii="Times New Roman Regular" w:hAnsi="Times New Roman Regular" w:cs="Times New Roman Regular"/>
          <w:lang w:val="en-US" w:eastAsia="zh-CN"/>
        </w:rPr>
      </w:pPr>
      <w:r>
        <w:rPr>
          <w:rFonts w:hint="default" w:ascii="Times New Roman Regular" w:hAnsi="Times New Roman Regular" w:cs="Times New Roman Regular"/>
          <w:lang w:val="en-US" w:eastAsia="zh-CN"/>
        </w:rPr>
        <w:drawing>
          <wp:inline distT="0" distB="0" distL="114300" distR="114300">
            <wp:extent cx="5273040" cy="2010410"/>
            <wp:effectExtent l="0" t="0" r="10160" b="21590"/>
            <wp:docPr id="3" name="图片 3" descr="补充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补充图2"/>
                    <pic:cNvPicPr>
                      <a:picLocks noChangeAspect="1"/>
                    </pic:cNvPicPr>
                  </pic:nvPicPr>
                  <pic:blipFill>
                    <a:blip r:embed="rId5"/>
                    <a:stretch>
                      <a:fillRect/>
                    </a:stretch>
                  </pic:blipFill>
                  <pic:spPr>
                    <a:xfrm>
                      <a:off x="0" y="0"/>
                      <a:ext cx="5273040" cy="2010410"/>
                    </a:xfrm>
                    <a:prstGeom prst="rect">
                      <a:avLst/>
                    </a:prstGeom>
                  </pic:spPr>
                </pic:pic>
              </a:graphicData>
            </a:graphic>
          </wp:inline>
        </w:drawing>
      </w:r>
    </w:p>
    <w:p>
      <w:pPr>
        <w:numPr>
          <w:ilvl w:val="0"/>
          <w:numId w:val="0"/>
        </w:numPr>
        <w:spacing w:line="360" w:lineRule="auto"/>
        <w:jc w:val="left"/>
        <w:rPr>
          <w:rFonts w:hint="eastAsia" w:ascii="Times New Roman Regular" w:hAnsi="Times New Roman Regular" w:cs="Times New Roman Regular"/>
          <w:lang w:val="en-US" w:eastAsia="zh-CN"/>
        </w:rPr>
      </w:pPr>
      <w:r>
        <w:rPr>
          <w:rFonts w:hint="default" w:ascii="Times New Roman Bold" w:hAnsi="Times New Roman Bold" w:cs="Times New Roman Bold"/>
          <w:b/>
          <w:bCs/>
          <w:lang w:val="en-US" w:eastAsia="zh-CN"/>
        </w:rPr>
        <w:t>Figure S2: Following IL-34 knockout, the expression of its receptor CSF-1R is decreased.</w:t>
      </w:r>
    </w:p>
    <w:p>
      <w:pPr>
        <w:numPr>
          <w:ilvl w:val="0"/>
          <w:numId w:val="0"/>
        </w:numPr>
        <w:spacing w:line="360" w:lineRule="auto"/>
        <w:jc w:val="left"/>
        <w:rPr>
          <w:rFonts w:hint="default"/>
          <w:lang w:val="en-US" w:eastAsia="zh-CN"/>
        </w:rPr>
      </w:pPr>
      <w:r>
        <w:rPr>
          <w:rFonts w:hint="eastAsia" w:ascii="Times New Roman Regular" w:hAnsi="Times New Roman Regular" w:cs="Times New Roman Regular"/>
          <w:lang w:val="en-US" w:eastAsia="zh-CN"/>
        </w:rPr>
        <w:t>(A) Immunohistochemical staining of mouse colon tissues showed that CSF-1R expression was downregulated following IL-34 knockout</w:t>
      </w:r>
      <w:r>
        <w:rPr>
          <w:rFonts w:hint="default" w:ascii="Times New Roman Regular" w:hAnsi="Times New Roman Regular" w:cs="Times New Roman Regular"/>
          <w:lang w:val="en-US" w:eastAsia="zh-CN"/>
        </w:rPr>
        <w:t xml:space="preserve">; </w:t>
      </w:r>
      <w:r>
        <w:rPr>
          <w:rFonts w:hint="eastAsia" w:ascii="Times New Roman Regular" w:hAnsi="Times New Roman Regular" w:cs="Times New Roman Regular"/>
          <w:lang w:val="en-US" w:eastAsia="zh-CN"/>
        </w:rPr>
        <w:t>(B) No significant change was observed in the expression of Syndecan-1 (CD138) after IL-34 knockout</w:t>
      </w:r>
      <w:r>
        <w:rPr>
          <w:rFonts w:hint="default" w:ascii="Times New Roman Regular" w:hAnsi="Times New Roman Regular" w:cs="Times New Roman Regular"/>
          <w:lang w:val="en-US" w:eastAsia="zh-CN"/>
        </w:rPr>
        <w:t xml:space="preserve">; </w:t>
      </w:r>
      <w:r>
        <w:rPr>
          <w:rFonts w:hint="eastAsia" w:ascii="Times New Roman Regular" w:hAnsi="Times New Roman Regular" w:cs="Times New Roman Regular"/>
          <w:lang w:val="en-US" w:eastAsia="zh-CN"/>
        </w:rPr>
        <w:t>The expression of receptor PTP-ζ remained unaltered in IL-34 knockout mice</w:t>
      </w:r>
      <w:r>
        <w:rPr>
          <w:rFonts w:hint="default" w:ascii="Times New Roman Regular" w:hAnsi="Times New Roman Regular" w:cs="Times New Roman Regular"/>
          <w:lang w:val="en-US" w:eastAsia="zh-CN"/>
        </w:rPr>
        <w:t xml:space="preserve">; </w:t>
      </w:r>
      <w:r>
        <w:rPr>
          <w:rFonts w:hint="eastAsia" w:ascii="Times New Roman Regular" w:hAnsi="Times New Roman Regular" w:cs="Times New Roman Regular"/>
          <w:lang w:val="en-US" w:eastAsia="zh-CN"/>
        </w:rPr>
        <w:t>(D) Similarly, IL-34 knockout did not significantly affect the expression of Trem2.</w:t>
      </w:r>
    </w:p>
    <w:p>
      <w:pPr>
        <w:numPr>
          <w:ilvl w:val="0"/>
          <w:numId w:val="0"/>
        </w:numPr>
        <w:jc w:val="left"/>
        <w:rPr>
          <w:rFonts w:hint="default"/>
          <w:lang w:val="en-US" w:eastAsia="zh-CN"/>
        </w:rPr>
      </w:pPr>
    </w:p>
    <w:p>
      <w:pPr>
        <w:numPr>
          <w:ilvl w:val="0"/>
          <w:numId w:val="0"/>
        </w:numPr>
        <w:jc w:val="left"/>
        <w:rPr>
          <w:rFonts w:hint="default"/>
          <w:lang w:val="en-US" w:eastAsia="zh-CN"/>
        </w:rPr>
      </w:pPr>
    </w:p>
    <w:p>
      <w:pPr>
        <w:numPr>
          <w:ilvl w:val="0"/>
          <w:numId w:val="0"/>
        </w:numPr>
        <w:jc w:val="left"/>
        <w:rPr>
          <w:rFonts w:hint="default"/>
          <w:lang w:val="en-US" w:eastAsia="zh-CN"/>
        </w:rPr>
      </w:pPr>
      <w:r>
        <w:rPr>
          <w:rFonts w:hint="default"/>
          <w:lang w:val="en-US" w:eastAsia="zh-CN"/>
        </w:rPr>
        <w:drawing>
          <wp:inline distT="0" distB="0" distL="114300" distR="114300">
            <wp:extent cx="5271135" cy="1905000"/>
            <wp:effectExtent l="0" t="0" r="12065" b="0"/>
            <wp:docPr id="4" name="图片 4" descr="补充图3_画板 1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补充图3_画板 1_画板 1"/>
                    <pic:cNvPicPr>
                      <a:picLocks noChangeAspect="1"/>
                    </pic:cNvPicPr>
                  </pic:nvPicPr>
                  <pic:blipFill>
                    <a:blip r:embed="rId6"/>
                    <a:stretch>
                      <a:fillRect/>
                    </a:stretch>
                  </pic:blipFill>
                  <pic:spPr>
                    <a:xfrm>
                      <a:off x="0" y="0"/>
                      <a:ext cx="5271135" cy="1905000"/>
                    </a:xfrm>
                    <a:prstGeom prst="rect">
                      <a:avLst/>
                    </a:prstGeom>
                  </pic:spPr>
                </pic:pic>
              </a:graphicData>
            </a:graphic>
          </wp:inline>
        </w:drawing>
      </w:r>
    </w:p>
    <w:p>
      <w:pPr>
        <w:numPr>
          <w:ilvl w:val="0"/>
          <w:numId w:val="0"/>
        </w:numPr>
        <w:spacing w:line="360" w:lineRule="auto"/>
        <w:jc w:val="left"/>
        <w:rPr>
          <w:rFonts w:hint="default" w:ascii="Times New Roman Regular" w:hAnsi="Times New Roman Regular" w:cs="Times New Roman Regular"/>
          <w:lang w:val="en-US" w:eastAsia="zh-CN"/>
        </w:rPr>
      </w:pPr>
      <w:bookmarkStart w:id="0" w:name="_GoBack"/>
      <w:bookmarkEnd w:id="0"/>
      <w:r>
        <w:rPr>
          <w:rFonts w:hint="eastAsia" w:ascii="Times New Roman Bold" w:hAnsi="Times New Roman Bold" w:cs="Times New Roman Bold"/>
          <w:b/>
          <w:bCs/>
          <w:lang w:val="en-US" w:eastAsia="zh-CN"/>
        </w:rPr>
        <w:t xml:space="preserve">Figure </w:t>
      </w:r>
      <w:r>
        <w:rPr>
          <w:rFonts w:hint="default" w:ascii="Times New Roman Bold" w:hAnsi="Times New Roman Bold" w:cs="Times New Roman Bold"/>
          <w:b/>
          <w:bCs/>
          <w:lang w:val="en-US" w:eastAsia="zh-CN"/>
        </w:rPr>
        <w:t>S</w:t>
      </w:r>
      <w:r>
        <w:rPr>
          <w:rFonts w:hint="eastAsia" w:ascii="Times New Roman Bold" w:hAnsi="Times New Roman Bold" w:cs="Times New Roman Bold"/>
          <w:b/>
          <w:bCs/>
          <w:lang w:val="en-US" w:eastAsia="zh-CN"/>
        </w:rPr>
        <w:t>3: Correlating differential gut microbiota with differential metabolites across IL-34⁻/⁻ and WT groups.</w:t>
      </w:r>
    </w:p>
    <w:p>
      <w:pPr>
        <w:numPr>
          <w:ilvl w:val="0"/>
          <w:numId w:val="0"/>
        </w:numPr>
        <w:spacing w:line="360" w:lineRule="auto"/>
        <w:jc w:val="left"/>
        <w:rPr>
          <w:rFonts w:hint="default"/>
          <w:lang w:val="en-US" w:eastAsia="zh-CN"/>
        </w:rPr>
      </w:pPr>
      <w:r>
        <w:rPr>
          <w:rFonts w:hint="default" w:ascii="Times New Roman Regular" w:hAnsi="Times New Roman Regular" w:cs="Times New Roman Regular"/>
          <w:lang w:val="en-US" w:eastAsia="zh-CN"/>
        </w:rPr>
        <w:t>(A) Associations of the upregulated metabolites among all differential metabolites in portal vein serum after IL-34 knockout; (B) Associations of the downregulated metabolites among all differential metabolites in portal vein serum after IL-34 knockout.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503050405090304"/>
    <w:charset w:val="00"/>
    <w:family w:val="auto"/>
    <w:pitch w:val="default"/>
    <w:sig w:usb0="E0000AFF" w:usb1="00007843" w:usb2="00000001" w:usb3="00000000" w:csb0="400001BF" w:csb1="DFF70000"/>
  </w:font>
  <w:font w:name="Times New Roman Regular">
    <w:panose1 w:val="020205030504050903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Arial Unicode MS">
    <w:panose1 w:val="020B0604020202020204"/>
    <w:charset w:val="86"/>
    <w:family w:val="auto"/>
    <w:pitch w:val="default"/>
    <w:sig w:usb0="FFFFFFFF" w:usb1="E9FFFFFF" w:usb2="0000003F" w:usb3="00000000" w:csb0="603F01FF" w:csb1="FFFF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F73B70"/>
    <w:rsid w:val="4FFFEF34"/>
    <w:rsid w:val="6AF73B70"/>
    <w:rsid w:val="A7DF423C"/>
    <w:rsid w:val="D7760C0E"/>
    <w:rsid w:val="EBFFCE85"/>
    <w:rsid w:val="FFE5B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2025-11-09T03:39:00Z</dcterms:created>
  <dc:creator>孤</dc:creator>
  <cp:lastModifiedBy>孤</cp:lastModifiedBy>
  <dcterms:modified xsi:type="dcterms:W3CDTF">2025-11-25T17:01:30Z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F9CBE4F5FFA24EF2BCFE0D690EF02F78_43</vt:lpwstr>
  </property>
</Properties>
</file>