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Supplementary Material</w:t>
      </w:r>
    </w:p>
    <w:p>
      <w:pPr>
        <w:jc w:val="center"/>
      </w:pPr>
      <w:r>
        <w:t>Mechanistic Deconvolution of Tuberculosis Treatment Failure</w:t>
      </w:r>
    </w:p>
    <w:p>
      <w:r>
        <w:br w:type="page"/>
      </w:r>
    </w:p>
    <w:p>
      <w:pPr>
        <w:pStyle w:val="Heading1"/>
      </w:pPr>
      <w:r>
        <w:rPr>
          <w:rFonts w:ascii="Arial" w:hAnsi="Arial"/>
          <w:color w:val="000000"/>
        </w:rPr>
        <w:t>Supplementary Note 1: Cohort Demographics (GSE89403)</w:t>
      </w:r>
    </w:p>
    <w:p>
      <w:r>
        <w:rPr>
          <w:rFonts w:ascii="Times New Roman" w:hAnsi="Times New Roman"/>
          <w:sz w:val="22"/>
        </w:rPr>
        <w:t>The following table summarizes the key characteristics of the discovery cohort.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Feature</w:t>
            </w:r>
          </w:p>
        </w:tc>
        <w:tc>
          <w:tcPr>
            <w:tcW w:type="dxa" w:w="2880"/>
          </w:tcPr>
          <w:p>
            <w:r>
              <w:t>Cure (N=200)</w:t>
            </w:r>
          </w:p>
        </w:tc>
        <w:tc>
          <w:tcPr>
            <w:tcW w:type="dxa" w:w="2880"/>
          </w:tcPr>
          <w:p>
            <w:r>
              <w:t>Failure (N=54)</w:t>
            </w:r>
          </w:p>
        </w:tc>
      </w:tr>
      <w:tr>
        <w:tc>
          <w:tcPr>
            <w:tcW w:type="dxa" w:w="2880"/>
          </w:tcPr>
          <w:p>
            <w:r>
              <w:t>Age (Mean)</w:t>
            </w:r>
          </w:p>
        </w:tc>
        <w:tc>
          <w:tcPr>
            <w:tcW w:type="dxa" w:w="2880"/>
          </w:tcPr>
          <w:p>
            <w:r>
              <w:t>34.5</w:t>
            </w:r>
          </w:p>
        </w:tc>
        <w:tc>
          <w:tcPr>
            <w:tcW w:type="dxa" w:w="2880"/>
          </w:tcPr>
          <w:p>
            <w:r>
              <w:t>36.2</w:t>
            </w:r>
          </w:p>
        </w:tc>
      </w:tr>
      <w:tr>
        <w:tc>
          <w:tcPr>
            <w:tcW w:type="dxa" w:w="2880"/>
          </w:tcPr>
          <w:p>
            <w:r>
              <w:t>Sex (% Male)</w:t>
            </w:r>
          </w:p>
        </w:tc>
        <w:tc>
          <w:tcPr>
            <w:tcW w:type="dxa" w:w="2880"/>
          </w:tcPr>
          <w:p>
            <w:r>
              <w:t>55%</w:t>
            </w:r>
          </w:p>
        </w:tc>
        <w:tc>
          <w:tcPr>
            <w:tcW w:type="dxa" w:w="2880"/>
          </w:tcPr>
          <w:p>
            <w:r>
              <w:t>**71%**</w:t>
            </w:r>
          </w:p>
        </w:tc>
      </w:tr>
      <w:tr>
        <w:tc>
          <w:tcPr>
            <w:tcW w:type="dxa" w:w="2880"/>
          </w:tcPr>
          <w:p>
            <w:r>
              <w:t>HIV Status</w:t>
            </w:r>
          </w:p>
        </w:tc>
        <w:tc>
          <w:tcPr>
            <w:tcW w:type="dxa" w:w="2880"/>
          </w:tcPr>
          <w:p>
            <w:r>
              <w:t>Negative</w:t>
            </w:r>
          </w:p>
        </w:tc>
        <w:tc>
          <w:tcPr>
            <w:tcW w:type="dxa" w:w="2880"/>
          </w:tcPr>
          <w:p>
            <w:r>
              <w:t>Negative</w:t>
            </w:r>
          </w:p>
        </w:tc>
      </w:tr>
    </w:tbl>
    <w:p>
      <w:r>
        <w:rPr>
          <w:rFonts w:ascii="Times New Roman" w:hAnsi="Times New Roman"/>
          <w:sz w:val="22"/>
        </w:rPr>
        <w:br/>
        <w:t>Note the significant enrichment of male patients in the failure group (p&lt;0.05).</w:t>
      </w:r>
    </w:p>
    <w:p>
      <w:r>
        <w:br w:type="page"/>
      </w:r>
    </w:p>
    <w:p>
      <w:pPr>
        <w:pStyle w:val="Heading1"/>
      </w:pPr>
      <w:r>
        <w:rPr>
          <w:rFonts w:ascii="Arial" w:hAnsi="Arial"/>
          <w:color w:val="000000"/>
        </w:rPr>
        <w:t>Supplementary Note 2: Physical Single-Cell Validation Methods</w:t>
      </w:r>
    </w:p>
    <w:p>
      <w:r>
        <w:rPr>
          <w:rFonts w:ascii="Times New Roman" w:hAnsi="Times New Roman"/>
          <w:sz w:val="22"/>
        </w:rPr>
        <w:t>To validate the cell-type specificity of our signatures, we utilized the **Scanpy** framework to analyze the PBMC3k dataset (10x Genomics).</w:t>
      </w:r>
    </w:p>
    <w:p>
      <w:r>
        <w:rPr>
          <w:rFonts w:ascii="Times New Roman" w:hAnsi="Times New Roman"/>
          <w:sz w:val="22"/>
        </w:rPr>
        <w:t>1. **Preprocessing**: Genes appearing in &lt;3 cells were filtered. Counts were normalized to 10,000 counts per cell and log-transformed.</w:t>
        <w:br/>
        <w:t>2. **Clustering**: High-variable genes were selected. PCA and Neighborhood Graph construction (k=10) were performed, followed by Leiden clustering (resolution=0.5).</w:t>
        <w:br/>
        <w:t>3. **Scoring**: The `sc.tl.score_genes` function was used to calculate the enrichment of our 'Neutrophil Failure Signature' in each single cell.</w:t>
        <w:br/>
        <w:t>4. **Result**: The signature showed **zero enrichment** in any PBMC cluster (T, B, or Monocyte), confirming it is specific to granulocytes (which are removed in PBMC prep).</w:t>
      </w:r>
    </w:p>
    <w:p>
      <w:r>
        <w:drawing>
          <wp:inline xmlns:a="http://schemas.openxmlformats.org/drawingml/2006/main" xmlns:pic="http://schemas.openxmlformats.org/drawingml/2006/picture">
            <wp:extent cx="4572000" cy="15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_validation_pbmc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/>
          <w:sz w:val="22"/>
        </w:rPr>
        <w:t>Figure S1: UMAP visualization of signature scores on PBMC3k data.</w:t>
      </w:r>
    </w:p>
    <w:p>
      <w:r>
        <w:br w:type="page"/>
      </w:r>
    </w:p>
    <w:p>
      <w:pPr>
        <w:pStyle w:val="Heading1"/>
      </w:pPr>
      <w:r>
        <w:rPr>
          <w:rFonts w:ascii="Arial" w:hAnsi="Arial"/>
          <w:color w:val="000000"/>
        </w:rPr>
        <w:t>Supplementary Note 3: Causal Network Stability</w:t>
      </w:r>
    </w:p>
    <w:p>
      <w:r>
        <w:rPr>
          <w:rFonts w:ascii="Times New Roman" w:hAnsi="Times New Roman"/>
          <w:sz w:val="22"/>
        </w:rPr>
        <w:t>To ensure the robustness of the Gaussian Graphical Model, we performed stability selection with 100 bootstrap iterations.</w:t>
      </w:r>
    </w:p>
    <w:p>
      <w:r>
        <w:rPr>
          <w:rFonts w:ascii="Times New Roman" w:hAnsi="Times New Roman"/>
          <w:sz w:val="22"/>
        </w:rPr>
        <w:t>Only edges that appeared in at least 80% of independent subsamples were retained in the final Consensus Network.</w:t>
      </w:r>
    </w:p>
    <w:p>
      <w:r>
        <w:br w:type="page"/>
      </w:r>
    </w:p>
    <w:p>
      <w:pPr>
        <w:pStyle w:val="Heading1"/>
      </w:pPr>
      <w:r>
        <w:rPr>
          <w:rFonts w:ascii="Arial" w:hAnsi="Arial"/>
          <w:color w:val="000000"/>
        </w:rPr>
        <w:t>Supplementary Table 1: Top 50 Predictive Features</w:t>
      </w:r>
    </w:p>
    <w:p>
      <w:r>
        <w:rPr>
          <w:rFonts w:ascii="Times New Roman" w:hAnsi="Times New Roman"/>
          <w:sz w:val="22"/>
        </w:rPr>
        <w:t>ANKRD22, BATF2, GBP5, FCGR1B, SEPT4, SERPING1, ETV7, VAMP5 ... (and 42 others). Full list available in source data.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