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248210">
      <w:pPr>
        <w:spacing w:line="360" w:lineRule="auto"/>
        <w:jc w:val="left"/>
        <w:rPr>
          <w:rFonts w:ascii="Times New Roman" w:hAnsi="Times New Roman" w:cs="Times New Roman"/>
          <w:b/>
          <w:bCs/>
          <w:color w:val="auto"/>
          <w:sz w:val="24"/>
        </w:rPr>
      </w:pPr>
      <w:r>
        <w:rPr>
          <w:rFonts w:ascii="Times New Roman" w:hAnsi="Times New Roman" w:cs="Times New Roman"/>
          <w:b/>
          <w:bCs/>
          <w:color w:val="auto"/>
          <w:sz w:val="24"/>
        </w:rPr>
        <w:t>Supplementary Figure Legend</w:t>
      </w:r>
    </w:p>
    <w:p w14:paraId="1CC62579">
      <w:pPr>
        <w:pStyle w:val="7"/>
        <w:spacing w:before="0" w:beforeAutospacing="0" w:after="0" w:afterAutospacing="0" w:line="360" w:lineRule="auto"/>
        <w:jc w:val="left"/>
        <w:rPr>
          <w:rFonts w:ascii="Times New Roman" w:hAnsi="Times New Roman" w:cs="Times New Roman"/>
          <w:b/>
          <w:bCs/>
          <w:color w:val="auto"/>
        </w:rPr>
      </w:pPr>
    </w:p>
    <w:p w14:paraId="7FE68F47">
      <w:pPr>
        <w:pStyle w:val="7"/>
        <w:spacing w:before="0" w:beforeAutospacing="0" w:after="0" w:afterAutospacing="0" w:line="360" w:lineRule="auto"/>
        <w:jc w:val="left"/>
        <w:rPr>
          <w:rFonts w:ascii="Times New Roman" w:hAnsi="Times New Roman" w:cs="Times New Roman"/>
          <w:b/>
          <w:bCs/>
          <w:color w:val="auto"/>
        </w:rPr>
      </w:pPr>
      <w:r>
        <w:rPr>
          <w:rFonts w:ascii="Times New Roman" w:hAnsi="Times New Roman" w:cs="Times New Roman"/>
          <w:b/>
          <w:bCs/>
          <w:color w:val="auto"/>
        </w:rPr>
        <w:t>Supplementary Figure 1. SATB2 ChIP-seq binding at the SELENBP1 promoter.</w:t>
      </w:r>
    </w:p>
    <w:p w14:paraId="3686E49C">
      <w:pPr>
        <w:pStyle w:val="7"/>
        <w:spacing w:before="0" w:beforeAutospacing="0" w:after="0" w:afterAutospacing="0" w:line="360" w:lineRule="auto"/>
        <w:jc w:val="left"/>
        <w:rPr>
          <w:rFonts w:ascii="Times New Roman" w:hAnsi="Times New Roman" w:cs="Times New Roman"/>
          <w:color w:val="auto"/>
        </w:rPr>
      </w:pPr>
      <w:r>
        <w:rPr>
          <w:rFonts w:ascii="Times New Roman" w:hAnsi="Times New Roman" w:cs="Times New Roman"/>
          <w:color w:val="auto"/>
        </w:rPr>
        <w:t xml:space="preserve">IGV genome browser view of SATB2 ChIP-seq signal (GSE167287) at the SELENBP1 locus in wild-type and Satb2-knockout colonic epithelium. </w:t>
      </w:r>
    </w:p>
    <w:p w14:paraId="7E14015F">
      <w:pPr>
        <w:pStyle w:val="7"/>
        <w:spacing w:before="0" w:beforeAutospacing="0" w:after="0" w:afterAutospacing="0" w:line="360" w:lineRule="auto"/>
        <w:jc w:val="left"/>
        <w:rPr>
          <w:rStyle w:val="10"/>
          <w:rFonts w:ascii="Times New Roman" w:hAnsi="Times New Roman" w:eastAsia="Songti SC Regular" w:cs="Times New Roman"/>
          <w:color w:val="auto"/>
          <w:lang w:bidi="ar"/>
          <w14:ligatures w14:val="standardContextual"/>
        </w:rPr>
      </w:pPr>
    </w:p>
    <w:p w14:paraId="33408BF9">
      <w:pPr>
        <w:pStyle w:val="7"/>
        <w:spacing w:before="0" w:beforeAutospacing="0" w:after="0" w:afterAutospacing="0" w:line="360" w:lineRule="auto"/>
        <w:jc w:val="left"/>
        <w:rPr>
          <w:rFonts w:ascii="Times New Roman" w:hAnsi="Times New Roman" w:cs="Times New Roman"/>
          <w:color w:val="auto"/>
          <w:lang w:bidi="ar"/>
        </w:rPr>
      </w:pPr>
      <w:r>
        <w:rPr>
          <w:rFonts w:ascii="Times New Roman" w:hAnsi="Times New Roman" w:cs="Times New Roman"/>
          <w:b/>
          <w:bCs/>
          <w:color w:val="auto"/>
        </w:rPr>
        <w:t>Supplementary Figure 2. Baseline colonic morphology in intestinal epithelial-specific Selenbp1 knockout mice before irradiation.</w:t>
      </w:r>
    </w:p>
    <w:p w14:paraId="06DA0479">
      <w:pPr>
        <w:pStyle w:val="7"/>
        <w:spacing w:before="0" w:beforeAutospacing="0" w:after="0" w:afterAutospacing="0" w:line="360" w:lineRule="auto"/>
        <w:jc w:val="left"/>
        <w:rPr>
          <w:rFonts w:ascii="Times New Roman" w:hAnsi="Times New Roman" w:cs="Times New Roman"/>
          <w:color w:val="auto"/>
        </w:rPr>
      </w:pPr>
      <w:r>
        <w:rPr>
          <w:rFonts w:ascii="Times New Roman" w:hAnsi="Times New Roman" w:cs="Times New Roman"/>
          <w:color w:val="auto"/>
          <w:lang w:bidi="ar"/>
        </w:rPr>
        <w:t xml:space="preserve">(A) Gross morphology of the colon from </w:t>
      </w:r>
      <w:r>
        <w:rPr>
          <w:rFonts w:ascii="Times New Roman" w:hAnsi="Times New Roman" w:eastAsia="Songti SC Regular" w:cs="Times New Roman"/>
          <w:color w:val="auto"/>
          <w:lang w:bidi="ar"/>
          <w14:ligatures w14:val="standardContextual"/>
        </w:rPr>
        <w:t>Selenbp1</w:t>
      </w:r>
      <w:r>
        <w:rPr>
          <w:rFonts w:ascii="Times New Roman" w:hAnsi="Times New Roman" w:eastAsia="Songti SC Regular" w:cs="Times New Roman"/>
          <w:color w:val="auto"/>
          <w:vertAlign w:val="superscript"/>
          <w:lang w:bidi="ar"/>
          <w14:ligatures w14:val="standardContextual"/>
        </w:rPr>
        <w:t>f/f</w:t>
      </w:r>
      <w:r>
        <w:rPr>
          <w:rFonts w:ascii="Times New Roman" w:hAnsi="Times New Roman" w:eastAsia="Songti SC Regular" w:cs="Times New Roman"/>
          <w:color w:val="auto"/>
          <w:lang w:bidi="ar"/>
          <w14:ligatures w14:val="standardContextual"/>
        </w:rPr>
        <w:t>;Vil</w:t>
      </w:r>
      <w:r>
        <w:rPr>
          <w:rFonts w:ascii="Times New Roman" w:hAnsi="Times New Roman" w:eastAsia="Songti SC Regular" w:cs="Times New Roman"/>
          <w:color w:val="auto"/>
          <w:vertAlign w:val="superscript"/>
          <w:lang w:bidi="ar"/>
          <w14:ligatures w14:val="standardContextual"/>
        </w:rPr>
        <w:t>creER</w:t>
      </w:r>
      <w:r>
        <w:rPr>
          <w:rFonts w:ascii="Times New Roman" w:hAnsi="Times New Roman" w:cs="Times New Roman"/>
          <w:color w:val="auto"/>
          <w:lang w:bidi="ar"/>
        </w:rPr>
        <w:t xml:space="preserve"> mice and control </w:t>
      </w:r>
      <w:r>
        <w:rPr>
          <w:rFonts w:ascii="Times New Roman" w:hAnsi="Times New Roman" w:eastAsia="Songti SC Regular" w:cs="Times New Roman"/>
          <w:color w:val="auto"/>
          <w:lang w:bidi="ar"/>
          <w14:ligatures w14:val="standardContextual"/>
        </w:rPr>
        <w:t>Selenbp1</w:t>
      </w:r>
      <w:r>
        <w:rPr>
          <w:rFonts w:ascii="Times New Roman" w:hAnsi="Times New Roman" w:eastAsia="Songti SC Regular" w:cs="Times New Roman"/>
          <w:color w:val="auto"/>
          <w:vertAlign w:val="superscript"/>
          <w:lang w:bidi="ar"/>
          <w14:ligatures w14:val="standardContextual"/>
        </w:rPr>
        <w:t xml:space="preserve">f/f </w:t>
      </w:r>
      <w:r>
        <w:rPr>
          <w:rFonts w:ascii="Times New Roman" w:hAnsi="Times New Roman" w:cs="Times New Roman"/>
          <w:color w:val="auto"/>
          <w:lang w:bidi="ar"/>
        </w:rPr>
        <w:t xml:space="preserve">mice before irradiation (0 dpi). All mice were male, 6-8 weeks of age. (B) Quantification of colon weight-to-length ratios in </w:t>
      </w:r>
      <w:r>
        <w:rPr>
          <w:rFonts w:ascii="Times New Roman" w:hAnsi="Times New Roman" w:eastAsia="Songti SC Regular" w:cs="Times New Roman"/>
          <w:color w:val="auto"/>
          <w:lang w:bidi="ar"/>
          <w14:ligatures w14:val="standardContextual"/>
        </w:rPr>
        <w:t>Selenbp1</w:t>
      </w:r>
      <w:r>
        <w:rPr>
          <w:rFonts w:ascii="Times New Roman" w:hAnsi="Times New Roman" w:eastAsia="Songti SC Regular" w:cs="Times New Roman"/>
          <w:color w:val="auto"/>
          <w:vertAlign w:val="superscript"/>
          <w:lang w:bidi="ar"/>
          <w14:ligatures w14:val="standardContextual"/>
        </w:rPr>
        <w:t>f/f</w:t>
      </w:r>
      <w:r>
        <w:rPr>
          <w:rFonts w:ascii="Times New Roman" w:hAnsi="Times New Roman" w:eastAsia="Songti SC Regular" w:cs="Times New Roman"/>
          <w:color w:val="auto"/>
          <w:lang w:bidi="ar"/>
          <w14:ligatures w14:val="standardContextual"/>
        </w:rPr>
        <w:t>;Vil</w:t>
      </w:r>
      <w:r>
        <w:rPr>
          <w:rFonts w:ascii="Times New Roman" w:hAnsi="Times New Roman" w:eastAsia="Songti SC Regular" w:cs="Times New Roman"/>
          <w:color w:val="auto"/>
          <w:vertAlign w:val="superscript"/>
          <w:lang w:bidi="ar"/>
          <w14:ligatures w14:val="standardContextual"/>
        </w:rPr>
        <w:t>creER</w:t>
      </w:r>
      <w:r>
        <w:rPr>
          <w:rFonts w:ascii="Times New Roman" w:hAnsi="Times New Roman" w:cs="Times New Roman"/>
          <w:color w:val="auto"/>
          <w:lang w:bidi="ar"/>
        </w:rPr>
        <w:t xml:space="preserve"> and control </w:t>
      </w:r>
      <w:r>
        <w:rPr>
          <w:rFonts w:ascii="Times New Roman" w:hAnsi="Times New Roman" w:eastAsia="Songti SC Regular" w:cs="Times New Roman"/>
          <w:color w:val="auto"/>
          <w:lang w:bidi="ar"/>
          <w14:ligatures w14:val="standardContextual"/>
        </w:rPr>
        <w:t>Selenbp1</w:t>
      </w:r>
      <w:r>
        <w:rPr>
          <w:rFonts w:ascii="Times New Roman" w:hAnsi="Times New Roman" w:eastAsia="Songti SC Regular" w:cs="Times New Roman"/>
          <w:color w:val="auto"/>
          <w:vertAlign w:val="superscript"/>
          <w:lang w:bidi="ar"/>
          <w14:ligatures w14:val="standardContextual"/>
        </w:rPr>
        <w:t xml:space="preserve">f/f </w:t>
      </w:r>
      <w:r>
        <w:rPr>
          <w:rFonts w:ascii="Times New Roman" w:hAnsi="Times New Roman" w:cs="Times New Roman"/>
          <w:color w:val="auto"/>
          <w:lang w:bidi="ar"/>
        </w:rPr>
        <w:t>mice at 0 dpi. Data are shown as mean ± SEM. (n = 3 per group; Mann–Whitney test, *</w:t>
      </w:r>
      <w:r>
        <w:rPr>
          <w:rFonts w:ascii="Times New Roman" w:hAnsi="Times New Roman" w:cs="Times New Roman"/>
          <w:i/>
          <w:iCs/>
          <w:color w:val="auto"/>
          <w:lang w:bidi="ar"/>
        </w:rPr>
        <w:t>P</w:t>
      </w:r>
      <w:r>
        <w:rPr>
          <w:rFonts w:ascii="Times New Roman" w:hAnsi="Times New Roman" w:cs="Times New Roman"/>
          <w:color w:val="auto"/>
          <w:lang w:bidi="ar"/>
        </w:rPr>
        <w:t xml:space="preserve"> &lt; 0.05).</w:t>
      </w:r>
    </w:p>
    <w:p w14:paraId="74EA5724">
      <w:pPr>
        <w:pStyle w:val="7"/>
        <w:spacing w:before="0" w:beforeAutospacing="0" w:after="0" w:afterAutospacing="0" w:line="360" w:lineRule="auto"/>
        <w:jc w:val="left"/>
        <w:rPr>
          <w:rFonts w:ascii="Times New Roman" w:hAnsi="Times New Roman" w:cs="Times New Roman"/>
          <w:color w:val="auto"/>
        </w:rPr>
      </w:pPr>
    </w:p>
    <w:p w14:paraId="597F5FBC">
      <w:pPr>
        <w:pStyle w:val="7"/>
        <w:spacing w:before="0" w:beforeAutospacing="0" w:after="0" w:afterAutospacing="0" w:line="360" w:lineRule="auto"/>
        <w:jc w:val="left"/>
        <w:rPr>
          <w:rFonts w:ascii="Times New Roman" w:hAnsi="Times New Roman" w:eastAsia="Songti SC Regular" w:cs="Times New Roman"/>
          <w:color w:val="auto"/>
          <w:kern w:val="0"/>
          <w:sz w:val="24"/>
          <w:lang w:bidi="ar"/>
          <w14:ligatures w14:val="standardContextual"/>
        </w:rPr>
      </w:pPr>
      <w:r>
        <w:rPr>
          <w:rFonts w:ascii="Times New Roman" w:hAnsi="Times New Roman" w:cs="Times New Roman"/>
          <w:b/>
          <w:bCs/>
          <w:color w:val="auto"/>
        </w:rPr>
        <w:t>Supplementary Figure 3. Analysis of Wnt target gene expression in colonic epithelial cells following Selenbp1 deletion.</w:t>
      </w:r>
    </w:p>
    <w:p w14:paraId="3E2C97BF">
      <w:pPr>
        <w:spacing w:line="360" w:lineRule="auto"/>
        <w:jc w:val="left"/>
        <w:rPr>
          <w:rStyle w:val="10"/>
          <w:rFonts w:ascii="Times New Roman" w:hAnsi="Times New Roman" w:eastAsia="Songti SC Regular" w:cs="Times New Roman"/>
          <w:b w:val="0"/>
          <w:bCs w:val="0"/>
          <w:color w:val="auto"/>
          <w:kern w:val="0"/>
          <w:sz w:val="24"/>
          <w:lang w:bidi="ar"/>
          <w14:ligatures w14:val="standardContextual"/>
        </w:rPr>
      </w:pPr>
      <w:r>
        <w:rPr>
          <w:rFonts w:ascii="Times New Roman" w:hAnsi="Times New Roman" w:eastAsia="Songti SC Regular" w:cs="Times New Roman"/>
          <w:color w:val="auto"/>
          <w:kern w:val="0"/>
          <w:sz w:val="24"/>
          <w:lang w:bidi="ar"/>
          <w14:ligatures w14:val="standardContextual"/>
        </w:rPr>
        <w:t>(A-B) RT-qPCR analysis of Wnt target gene expression (Sox9, Cyclin D1, Hopx, Lrig1, Axin2, Lgr5, Ascl2, and mTert) in the colonic mucosa of Selenbp1</w:t>
      </w:r>
      <w:r>
        <w:rPr>
          <w:rFonts w:ascii="Times New Roman" w:hAnsi="Times New Roman" w:eastAsia="Songti SC Regular" w:cs="Times New Roman"/>
          <w:color w:val="auto"/>
          <w:kern w:val="0"/>
          <w:sz w:val="24"/>
          <w:vertAlign w:val="superscript"/>
          <w:lang w:bidi="ar"/>
          <w14:ligatures w14:val="standardContextual"/>
        </w:rPr>
        <w:t>f/f</w:t>
      </w:r>
      <w:r>
        <w:rPr>
          <w:rFonts w:ascii="Times New Roman" w:hAnsi="Times New Roman" w:eastAsia="Songti SC Regular" w:cs="Times New Roman"/>
          <w:color w:val="auto"/>
          <w:kern w:val="0"/>
          <w:sz w:val="24"/>
          <w:lang w:bidi="ar"/>
          <w14:ligatures w14:val="standardContextual"/>
        </w:rPr>
        <w:t>;Vil</w:t>
      </w:r>
      <w:r>
        <w:rPr>
          <w:rFonts w:ascii="Times New Roman" w:hAnsi="Times New Roman" w:eastAsia="Songti SC Regular" w:cs="Times New Roman"/>
          <w:color w:val="auto"/>
          <w:kern w:val="0"/>
          <w:sz w:val="24"/>
          <w:vertAlign w:val="superscript"/>
          <w:lang w:bidi="ar"/>
          <w14:ligatures w14:val="standardContextual"/>
        </w:rPr>
        <w:t>creER</w:t>
      </w:r>
      <w:r>
        <w:rPr>
          <w:rStyle w:val="10"/>
          <w:rFonts w:ascii="Times New Roman" w:hAnsi="Times New Roman" w:eastAsia="Songti SC Regular" w:cs="Times New Roman"/>
          <w:b w:val="0"/>
          <w:bCs w:val="0"/>
          <w:color w:val="auto"/>
          <w:kern w:val="0"/>
          <w:sz w:val="24"/>
          <w:lang w:bidi="ar"/>
          <w14:ligatures w14:val="standardContextual"/>
        </w:rPr>
        <w:t xml:space="preserve"> and control mice at baseline (A) and 5 days post-irradiation (5 dpi) (B). Data are shown as mean ± SEM. (t test, *</w:t>
      </w:r>
      <w:r>
        <w:rPr>
          <w:rStyle w:val="10"/>
          <w:rFonts w:ascii="Times New Roman" w:hAnsi="Times New Roman" w:eastAsia="Songti SC Regular" w:cs="Times New Roman"/>
          <w:b w:val="0"/>
          <w:bCs w:val="0"/>
          <w:i/>
          <w:iCs/>
          <w:color w:val="auto"/>
          <w:kern w:val="0"/>
          <w:sz w:val="24"/>
          <w:lang w:bidi="ar"/>
          <w14:ligatures w14:val="standardContextual"/>
        </w:rPr>
        <w:t>P</w:t>
      </w:r>
      <w:r>
        <w:rPr>
          <w:rStyle w:val="10"/>
          <w:rFonts w:ascii="Times New Roman" w:hAnsi="Times New Roman" w:eastAsia="Songti SC Regular" w:cs="Times New Roman"/>
          <w:b w:val="0"/>
          <w:bCs w:val="0"/>
          <w:color w:val="auto"/>
          <w:kern w:val="0"/>
          <w:sz w:val="24"/>
          <w:lang w:bidi="ar"/>
          <w14:ligatures w14:val="standardContextual"/>
        </w:rPr>
        <w:t xml:space="preserve"> &lt; 0.05). (C) RT-qPCR analysis of the same Wnt target genes in irradiated colonic organoids derived from </w:t>
      </w:r>
      <w:r>
        <w:rPr>
          <w:rFonts w:ascii="Times New Roman" w:hAnsi="Times New Roman" w:eastAsia="Songti SC Regular" w:cs="Times New Roman"/>
          <w:color w:val="auto"/>
          <w:kern w:val="0"/>
          <w:sz w:val="24"/>
          <w:lang w:bidi="ar"/>
          <w14:ligatures w14:val="standardContextual"/>
        </w:rPr>
        <w:t>Selenbp1</w:t>
      </w:r>
      <w:r>
        <w:rPr>
          <w:rFonts w:ascii="Times New Roman" w:hAnsi="Times New Roman" w:eastAsia="Songti SC Regular" w:cs="Times New Roman"/>
          <w:color w:val="auto"/>
          <w:kern w:val="0"/>
          <w:sz w:val="24"/>
          <w:vertAlign w:val="superscript"/>
          <w:lang w:bidi="ar"/>
          <w14:ligatures w14:val="standardContextual"/>
        </w:rPr>
        <w:t>f/f</w:t>
      </w:r>
      <w:r>
        <w:rPr>
          <w:rFonts w:ascii="Times New Roman" w:hAnsi="Times New Roman" w:eastAsia="Songti SC Regular" w:cs="Times New Roman"/>
          <w:color w:val="auto"/>
          <w:kern w:val="0"/>
          <w:sz w:val="24"/>
          <w:lang w:bidi="ar"/>
          <w14:ligatures w14:val="standardContextual"/>
        </w:rPr>
        <w:t>;Vil</w:t>
      </w:r>
      <w:r>
        <w:rPr>
          <w:rFonts w:ascii="Times New Roman" w:hAnsi="Times New Roman" w:eastAsia="Songti SC Regular" w:cs="Times New Roman"/>
          <w:color w:val="auto"/>
          <w:kern w:val="0"/>
          <w:sz w:val="24"/>
          <w:vertAlign w:val="superscript"/>
          <w:lang w:bidi="ar"/>
          <w14:ligatures w14:val="standardContextual"/>
        </w:rPr>
        <w:t>creER</w:t>
      </w:r>
      <w:r>
        <w:rPr>
          <w:rStyle w:val="10"/>
          <w:rFonts w:ascii="Times New Roman" w:hAnsi="Times New Roman" w:eastAsia="Songti SC Regular" w:cs="Times New Roman"/>
          <w:b w:val="0"/>
          <w:bCs w:val="0"/>
          <w:color w:val="auto"/>
          <w:kern w:val="0"/>
          <w:sz w:val="24"/>
          <w:lang w:bidi="ar"/>
          <w14:ligatures w14:val="standardContextual"/>
        </w:rPr>
        <w:t xml:space="preserve"> and control mice at 10 days post-irradiation. Data are shown as mean ± SEM. (Mann–Whitney test, *</w:t>
      </w:r>
      <w:r>
        <w:rPr>
          <w:rStyle w:val="10"/>
          <w:rFonts w:ascii="Times New Roman" w:hAnsi="Times New Roman" w:eastAsia="Songti SC Regular" w:cs="Times New Roman"/>
          <w:b w:val="0"/>
          <w:bCs w:val="0"/>
          <w:i/>
          <w:iCs/>
          <w:color w:val="auto"/>
          <w:kern w:val="0"/>
          <w:sz w:val="24"/>
          <w:lang w:bidi="ar"/>
          <w14:ligatures w14:val="standardContextual"/>
        </w:rPr>
        <w:t>P</w:t>
      </w:r>
      <w:r>
        <w:rPr>
          <w:rStyle w:val="10"/>
          <w:rFonts w:ascii="Times New Roman" w:hAnsi="Times New Roman" w:eastAsia="Songti SC Regular" w:cs="Times New Roman"/>
          <w:b w:val="0"/>
          <w:bCs w:val="0"/>
          <w:color w:val="auto"/>
          <w:kern w:val="0"/>
          <w:sz w:val="24"/>
          <w:lang w:bidi="ar"/>
          <w14:ligatures w14:val="standardContextual"/>
        </w:rPr>
        <w:t xml:space="preserve"> &lt; 0.05).</w:t>
      </w:r>
    </w:p>
    <w:p w14:paraId="7950F617">
      <w:pPr>
        <w:spacing w:line="360" w:lineRule="auto"/>
        <w:jc w:val="left"/>
        <w:rPr>
          <w:rStyle w:val="10"/>
          <w:rFonts w:ascii="Times New Roman" w:hAnsi="Times New Roman" w:eastAsia="Songti SC Regular" w:cs="Times New Roman"/>
          <w:b w:val="0"/>
          <w:bCs w:val="0"/>
          <w:color w:val="auto"/>
          <w:kern w:val="0"/>
          <w:sz w:val="24"/>
          <w:lang w:bidi="ar"/>
          <w14:ligatures w14:val="standardContextual"/>
        </w:rPr>
      </w:pPr>
    </w:p>
    <w:p w14:paraId="4D930987">
      <w:pPr>
        <w:pStyle w:val="7"/>
        <w:spacing w:before="0" w:beforeAutospacing="0" w:after="0" w:afterAutospacing="0" w:line="360" w:lineRule="auto"/>
        <w:jc w:val="left"/>
        <w:rPr>
          <w:rStyle w:val="10"/>
          <w:rFonts w:ascii="Times New Roman" w:hAnsi="Times New Roman" w:eastAsia="Songti SC Regular" w:cs="Times New Roman"/>
          <w:color w:val="auto"/>
        </w:rPr>
      </w:pPr>
      <w:r>
        <w:rPr>
          <w:rStyle w:val="10"/>
          <w:rFonts w:ascii="Times New Roman" w:hAnsi="Times New Roman" w:eastAsia="Songti SC Regular" w:cs="Times New Roman"/>
          <w:color w:val="auto"/>
        </w:rPr>
        <w:t xml:space="preserve">Supplementary Figure 4. SELENBP1-depleted epithelial cells promote M1 polarization of THP-1-derived macrophages. </w:t>
      </w:r>
      <w:bookmarkStart w:id="0" w:name="_GoBack"/>
      <w:bookmarkEnd w:id="0"/>
    </w:p>
    <w:p w14:paraId="4FC649BC">
      <w:pPr>
        <w:pStyle w:val="7"/>
        <w:spacing w:before="0" w:beforeAutospacing="0" w:after="0" w:afterAutospacing="0" w:line="360" w:lineRule="auto"/>
        <w:jc w:val="left"/>
        <w:rPr>
          <w:rFonts w:ascii="Times New Roman" w:hAnsi="Times New Roman" w:cs="Times New Roman"/>
          <w:color w:val="auto"/>
        </w:rPr>
      </w:pPr>
      <w:r>
        <w:rPr>
          <w:rStyle w:val="10"/>
          <w:rFonts w:ascii="Times New Roman" w:hAnsi="Times New Roman" w:eastAsia="Songti SC Regular" w:cs="Times New Roman"/>
          <w:b w:val="0"/>
          <w:bCs w:val="0"/>
          <w:color w:val="auto"/>
        </w:rPr>
        <w:t>(A–B) Co-culture of SELENBP1-depleted SW480 or DLD-1 cells with THP-1-derived macrophages in a Transwell system, followed by RT-qPCR analysis of M1 markers (CD64, CD86) and M2 markers (CD163, CD206) (A) and Western blot analysis of CD64, CD86, CD163, and CD206 (B). RNA and protein were extracted exclusively from the macrophage fraction in the lower chamber. Data represent three independent biological replicates with three technical replicates each, shown as mean ± SEM. For Western blot, representative images from three independent experiments are shown. Molecular weight markers are indicated. (</w:t>
      </w:r>
      <w:r>
        <w:rPr>
          <w:rFonts w:ascii="Times New Roman" w:hAnsi="Times New Roman" w:cs="Times New Roman"/>
          <w:color w:val="auto"/>
        </w:rPr>
        <w:t>Mann–Whitney test, *</w:t>
      </w:r>
      <w:r>
        <w:rPr>
          <w:rFonts w:ascii="Times New Roman" w:hAnsi="Times New Roman" w:cs="Times New Roman"/>
          <w:i/>
          <w:iCs/>
          <w:color w:val="auto"/>
        </w:rPr>
        <w:t>P</w:t>
      </w:r>
      <w:r>
        <w:rPr>
          <w:rFonts w:ascii="Times New Roman" w:hAnsi="Times New Roman" w:cs="Times New Roman"/>
          <w:color w:val="auto"/>
        </w:rPr>
        <w:t xml:space="preserve"> &lt; 0.05).</w:t>
      </w:r>
    </w:p>
    <w:p w14:paraId="5B73EB83">
      <w:pPr>
        <w:pStyle w:val="7"/>
        <w:spacing w:before="0" w:beforeAutospacing="0" w:after="0" w:afterAutospacing="0" w:line="360" w:lineRule="auto"/>
        <w:jc w:val="left"/>
        <w:rPr>
          <w:rFonts w:ascii="Times New Roman" w:hAnsi="Times New Roman" w:cs="Times New Roman"/>
          <w:b/>
          <w:bCs/>
          <w:color w:val="auto"/>
        </w:rPr>
      </w:pPr>
    </w:p>
    <w:p w14:paraId="13CF1CA2">
      <w:pPr>
        <w:pStyle w:val="7"/>
        <w:spacing w:before="0" w:beforeAutospacing="0" w:after="0" w:afterAutospacing="0" w:line="360" w:lineRule="auto"/>
        <w:jc w:val="left"/>
        <w:rPr>
          <w:rFonts w:ascii="Times New Roman" w:hAnsi="Times New Roman" w:eastAsia="宋体" w:cs="Times New Roman"/>
          <w:color w:val="auto"/>
          <w:kern w:val="0"/>
          <w:sz w:val="24"/>
          <w:lang w:bidi="ar"/>
        </w:rPr>
      </w:pPr>
      <w:r>
        <w:rPr>
          <w:rFonts w:ascii="Times New Roman" w:hAnsi="Times New Roman" w:cs="Times New Roman"/>
          <w:b/>
          <w:bCs/>
          <w:color w:val="auto"/>
        </w:rPr>
        <w:t>Supplementary Figure 5. Histological changes of colonic mucosa after methionine dietary intervention.</w:t>
      </w:r>
    </w:p>
    <w:p w14:paraId="2CEC5459">
      <w:pPr>
        <w:widowControl/>
        <w:spacing w:line="360" w:lineRule="auto"/>
        <w:jc w:val="left"/>
        <w:rPr>
          <w:rFonts w:ascii="Times New Roman" w:hAnsi="Times New Roman" w:cs="Times New Roman"/>
          <w:color w:val="auto"/>
        </w:rPr>
      </w:pPr>
      <w:r>
        <w:rPr>
          <w:rFonts w:ascii="Times New Roman" w:hAnsi="Times New Roman" w:eastAsia="宋体" w:cs="Times New Roman"/>
          <w:color w:val="auto"/>
          <w:kern w:val="0"/>
          <w:sz w:val="24"/>
          <w:lang w:bidi="ar"/>
        </w:rPr>
        <w:t>(A-B) Representative H&amp;E images of colonic tissue from MS and MR mice before irradiation, with quantification of mucosal thickness. Data are shown as mean ± SEM. (t test; n = 8; *</w:t>
      </w:r>
      <w:r>
        <w:rPr>
          <w:rStyle w:val="11"/>
          <w:rFonts w:ascii="Times New Roman" w:hAnsi="Times New Roman" w:eastAsia="宋体" w:cs="Times New Roman"/>
          <w:color w:val="auto"/>
          <w:kern w:val="0"/>
          <w:sz w:val="24"/>
          <w:lang w:bidi="ar"/>
        </w:rPr>
        <w:t xml:space="preserve">P &lt; 0.05). </w:t>
      </w:r>
      <w:r>
        <w:rPr>
          <w:rStyle w:val="10"/>
          <w:rFonts w:ascii="Times New Roman" w:hAnsi="Times New Roman" w:cs="Times New Roman"/>
          <w:b w:val="0"/>
          <w:bCs w:val="0"/>
          <w:color w:val="auto"/>
          <w:sz w:val="24"/>
        </w:rPr>
        <w:t>(C)</w:t>
      </w:r>
      <w:r>
        <w:rPr>
          <w:rFonts w:ascii="Times New Roman" w:hAnsi="Times New Roman" w:cs="Times New Roman"/>
          <w:color w:val="auto"/>
          <w:sz w:val="24"/>
        </w:rPr>
        <w:t xml:space="preserve"> Representative H&amp;E images of colonic tissue from MS and MR mice at 3 dpi following irradiation (damage phase). Representative images from n = 3 mice per time point are shown.</w:t>
      </w:r>
      <w:r>
        <w:rPr>
          <w:rStyle w:val="10"/>
          <w:rFonts w:ascii="Times New Roman" w:hAnsi="Times New Roman" w:cs="Times New Roman"/>
          <w:b w:val="0"/>
          <w:bCs w:val="0"/>
          <w:color w:val="auto"/>
          <w:sz w:val="24"/>
        </w:rPr>
        <w:t xml:space="preserve"> (D)</w:t>
      </w:r>
      <w:r>
        <w:rPr>
          <w:rFonts w:ascii="Times New Roman" w:hAnsi="Times New Roman" w:cs="Times New Roman"/>
          <w:color w:val="auto"/>
          <w:sz w:val="24"/>
        </w:rPr>
        <w:t xml:space="preserve"> Representative H&amp;E images at 5 dpi (repair phase), showing goblet cell morphology and mucosal regeneration in MS and MR mice. Representative images from n = 3 mice per time point are shown. (scale bar: 50 μm).</w:t>
      </w:r>
    </w:p>
    <w:p w14:paraId="016CA065">
      <w:pPr>
        <w:pStyle w:val="7"/>
        <w:spacing w:before="0" w:beforeAutospacing="0" w:after="0" w:afterAutospacing="0" w:line="360" w:lineRule="auto"/>
        <w:jc w:val="left"/>
        <w:rPr>
          <w:rFonts w:ascii="Times New Roman" w:hAnsi="Times New Roman" w:cs="Times New Roman"/>
          <w:color w:val="auto"/>
        </w:rPr>
      </w:pPr>
    </w:p>
    <w:p w14:paraId="703F68CB">
      <w:pPr>
        <w:pStyle w:val="7"/>
        <w:spacing w:before="0" w:beforeAutospacing="0" w:after="0" w:afterAutospacing="0" w:line="360" w:lineRule="auto"/>
        <w:jc w:val="left"/>
        <w:rPr>
          <w:rStyle w:val="10"/>
          <w:rFonts w:ascii="Times New Roman" w:hAnsi="Times New Roman" w:cs="Times New Roman"/>
          <w:color w:val="auto"/>
        </w:rPr>
      </w:pPr>
      <w:r>
        <w:rPr>
          <w:rFonts w:ascii="Times New Roman" w:hAnsi="Times New Roman" w:cs="Times New Roman"/>
          <w:b/>
          <w:bCs/>
          <w:color w:val="auto"/>
        </w:rPr>
        <w:t>Supplementary Figure 6. RNA-seq analysis of colonic tissue after methionine dietary intervention.</w:t>
      </w:r>
    </w:p>
    <w:p w14:paraId="45694C49">
      <w:pPr>
        <w:pStyle w:val="7"/>
        <w:spacing w:before="0" w:beforeAutospacing="0" w:after="0" w:afterAutospacing="0" w:line="360" w:lineRule="auto"/>
        <w:jc w:val="left"/>
        <w:rPr>
          <w:rFonts w:ascii="Times New Roman" w:hAnsi="Times New Roman" w:cs="Times New Roman"/>
          <w:color w:val="auto"/>
        </w:rPr>
      </w:pPr>
      <w:r>
        <w:rPr>
          <w:rStyle w:val="10"/>
          <w:rFonts w:ascii="Times New Roman" w:hAnsi="Times New Roman" w:cs="Times New Roman"/>
          <w:b w:val="0"/>
          <w:bCs w:val="0"/>
          <w:color w:val="auto"/>
        </w:rPr>
        <w:t>(A)</w:t>
      </w:r>
      <w:r>
        <w:rPr>
          <w:rFonts w:ascii="Times New Roman" w:hAnsi="Times New Roman" w:cs="Times New Roman"/>
          <w:color w:val="auto"/>
        </w:rPr>
        <w:t xml:space="preserve"> Principal component analysis (PCA) of colonic epithelial RNA-seq data from MS and MR mice (n = 5 per group). </w:t>
      </w:r>
      <w:r>
        <w:rPr>
          <w:rStyle w:val="10"/>
          <w:rFonts w:ascii="Times New Roman" w:hAnsi="Times New Roman" w:cs="Times New Roman"/>
          <w:b w:val="0"/>
          <w:bCs w:val="0"/>
          <w:color w:val="auto"/>
        </w:rPr>
        <w:t>(B)</w:t>
      </w:r>
      <w:r>
        <w:rPr>
          <w:rFonts w:ascii="Times New Roman" w:hAnsi="Times New Roman" w:cs="Times New Roman"/>
          <w:color w:val="auto"/>
        </w:rPr>
        <w:t xml:space="preserve"> Volcano plot showing differentially expressed genes between MS and MR groups. Blue: downregulated; red: upregulated; gray: no significant change. </w:t>
      </w:r>
      <w:r>
        <w:rPr>
          <w:rStyle w:val="10"/>
          <w:rFonts w:ascii="Times New Roman" w:hAnsi="Times New Roman" w:cs="Times New Roman"/>
          <w:b w:val="0"/>
          <w:bCs w:val="0"/>
          <w:color w:val="auto"/>
        </w:rPr>
        <w:t>(C)</w:t>
      </w:r>
      <w:r>
        <w:rPr>
          <w:rFonts w:ascii="Times New Roman" w:hAnsi="Times New Roman" w:cs="Times New Roman"/>
          <w:color w:val="auto"/>
        </w:rPr>
        <w:t xml:space="preserve"> GO enrichment analysis of differentially expressed genes, highlighting significant enrichment in inflammatory response pathways (red boxes).</w:t>
      </w:r>
    </w:p>
    <w:p w14:paraId="73A07664">
      <w:pPr>
        <w:pStyle w:val="7"/>
        <w:spacing w:before="0" w:beforeAutospacing="0" w:after="0" w:afterAutospacing="0" w:line="360" w:lineRule="auto"/>
        <w:jc w:val="left"/>
        <w:rPr>
          <w:rFonts w:ascii="Times New Roman" w:hAnsi="Times New Roman" w:cs="Times New Roman"/>
          <w:color w:val="auto"/>
        </w:rPr>
      </w:pPr>
    </w:p>
    <w:p w14:paraId="4EF70FAD">
      <w:pPr>
        <w:pStyle w:val="7"/>
        <w:spacing w:before="0" w:beforeAutospacing="0" w:after="0" w:afterAutospacing="0" w:line="360" w:lineRule="auto"/>
        <w:jc w:val="left"/>
        <w:rPr>
          <w:rStyle w:val="10"/>
          <w:rFonts w:ascii="Times New Roman" w:hAnsi="Times New Roman" w:cs="Times New Roman"/>
          <w:color w:val="auto"/>
        </w:rPr>
      </w:pPr>
      <w:r>
        <w:rPr>
          <w:rFonts w:ascii="Times New Roman" w:hAnsi="Times New Roman" w:cs="Times New Roman"/>
          <w:b/>
          <w:bCs/>
          <w:color w:val="auto"/>
        </w:rPr>
        <w:t>Supplementary Figure 7. High methionine promotes pro-inflammatory responses in colonic epithelial cells.</w:t>
      </w:r>
    </w:p>
    <w:p w14:paraId="63D75BB5">
      <w:pPr>
        <w:pStyle w:val="7"/>
        <w:spacing w:before="0" w:beforeAutospacing="0" w:after="0" w:afterAutospacing="0" w:line="360" w:lineRule="auto"/>
        <w:jc w:val="left"/>
        <w:rPr>
          <w:rFonts w:ascii="Times New Roman" w:hAnsi="Times New Roman" w:cs="Times New Roman"/>
          <w:color w:val="auto"/>
        </w:rPr>
      </w:pPr>
      <w:r>
        <w:rPr>
          <w:rStyle w:val="10"/>
          <w:rFonts w:ascii="Times New Roman" w:hAnsi="Times New Roman" w:cs="Times New Roman"/>
          <w:b w:val="0"/>
          <w:bCs w:val="0"/>
          <w:color w:val="auto"/>
        </w:rPr>
        <w:t>(A-B)</w:t>
      </w:r>
      <w:r>
        <w:rPr>
          <w:rFonts w:ascii="Times New Roman" w:hAnsi="Times New Roman" w:cs="Times New Roman"/>
          <w:color w:val="auto"/>
        </w:rPr>
        <w:t xml:space="preserve"> RT-qPCR analysis of Selenbp1 (A) and TNF-α (B) mRNA in SW480 and DLD-1 cells cultured in complete medium (Ctrl) or supplemented with methionine (MS). Data are shown as mean ± SEM from three independent experiments. (t test, *</w:t>
      </w:r>
      <w:r>
        <w:rPr>
          <w:rFonts w:ascii="Times New Roman" w:hAnsi="Times New Roman" w:cs="Times New Roman"/>
          <w:i/>
          <w:iCs/>
          <w:color w:val="auto"/>
        </w:rPr>
        <w:t>P</w:t>
      </w:r>
      <w:r>
        <w:rPr>
          <w:rFonts w:ascii="Times New Roman" w:hAnsi="Times New Roman" w:cs="Times New Roman"/>
          <w:color w:val="auto"/>
        </w:rPr>
        <w:t xml:space="preserve"> &lt; 0.05).</w:t>
      </w:r>
      <w:r>
        <w:rPr>
          <w:rStyle w:val="10"/>
          <w:rFonts w:ascii="Times New Roman" w:hAnsi="Times New Roman" w:cs="Times New Roman"/>
          <w:b w:val="0"/>
          <w:bCs w:val="0"/>
          <w:color w:val="auto"/>
        </w:rPr>
        <w:t xml:space="preserve"> (C)</w:t>
      </w:r>
      <w:r>
        <w:rPr>
          <w:rFonts w:ascii="Times New Roman" w:hAnsi="Times New Roman" w:cs="Times New Roman"/>
          <w:bCs/>
          <w:color w:val="auto"/>
        </w:rPr>
        <w:t xml:space="preserve"> S</w:t>
      </w:r>
      <w:r>
        <w:rPr>
          <w:rFonts w:ascii="Times New Roman" w:hAnsi="Times New Roman" w:cs="Times New Roman"/>
          <w:color w:val="auto"/>
        </w:rPr>
        <w:t xml:space="preserve">W480 and DLD-1 cells cultured with MS medium and co-cultured with THP-1-derived M0 macrophages. RT-qPCR analysis of macrophage M1 markers (CD86, CD64) and M2 markers (CD206, CD163). Data are shown as mean ± SEM from three independent experiments. </w:t>
      </w:r>
    </w:p>
    <w:p w14:paraId="57E626DD">
      <w:pPr>
        <w:pStyle w:val="2"/>
        <w:spacing w:beforeAutospacing="0" w:afterAutospacing="0" w:line="360" w:lineRule="auto"/>
        <w:rPr>
          <w:rFonts w:hint="default" w:ascii="Times New Roman" w:hAnsi="Times New Roman"/>
          <w:color w:val="auto"/>
          <w:kern w:val="0"/>
          <w:sz w:val="24"/>
          <w:szCs w:val="24"/>
        </w:rPr>
      </w:pPr>
    </w:p>
    <w:p w14:paraId="0D919384">
      <w:pPr>
        <w:pStyle w:val="7"/>
        <w:spacing w:before="0" w:beforeAutospacing="0" w:after="0" w:afterAutospacing="0" w:line="360" w:lineRule="auto"/>
        <w:jc w:val="left"/>
        <w:rPr>
          <w:rFonts w:ascii="Times New Roman" w:hAnsi="Times New Roman" w:cs="Times New Roman"/>
          <w:color w:val="auto"/>
        </w:rPr>
      </w:pPr>
      <w:r>
        <w:rPr>
          <w:rFonts w:ascii="Times New Roman" w:hAnsi="Times New Roman" w:cs="Times New Roman"/>
          <w:b/>
          <w:bCs/>
          <w:color w:val="auto"/>
        </w:rPr>
        <w:t>Supplementary Figure 8. Temporal expression patterns of SUMO1 and SUMO2/3 during radiation-induced intestinal injury and repair.</w:t>
      </w:r>
    </w:p>
    <w:p w14:paraId="1650A00C">
      <w:pPr>
        <w:pStyle w:val="7"/>
        <w:spacing w:before="0" w:beforeAutospacing="0" w:after="0" w:afterAutospacing="0" w:line="360" w:lineRule="auto"/>
        <w:jc w:val="left"/>
        <w:rPr>
          <w:rFonts w:ascii="Times New Roman" w:hAnsi="Times New Roman" w:cs="Times New Roman"/>
          <w:color w:val="auto"/>
        </w:rPr>
      </w:pPr>
      <w:r>
        <w:rPr>
          <w:rFonts w:ascii="Times New Roman" w:hAnsi="Times New Roman" w:cs="Times New Roman"/>
          <w:color w:val="auto"/>
        </w:rPr>
        <w:t>Immunohistochemistry showing dynamic changes of SUMO1 and SUMO2/3 across homeostasis, injury (3 dpi), and repair (5 dpi). Representative images from n = 3 mice per time point are shown.</w:t>
      </w:r>
    </w:p>
    <w:p w14:paraId="2E18B87D">
      <w:pPr>
        <w:pStyle w:val="7"/>
        <w:spacing w:before="0" w:beforeAutospacing="0" w:after="0" w:afterAutospacing="0" w:line="360" w:lineRule="auto"/>
        <w:jc w:val="left"/>
        <w:rPr>
          <w:rFonts w:ascii="Times New Roman" w:hAnsi="Times New Roman" w:cs="Times New Roman"/>
          <w:color w:val="auto"/>
        </w:rPr>
      </w:pPr>
    </w:p>
    <w:p w14:paraId="7A9332EB">
      <w:pPr>
        <w:pStyle w:val="7"/>
        <w:spacing w:before="0" w:beforeAutospacing="0" w:after="0" w:afterAutospacing="0" w:line="360" w:lineRule="auto"/>
        <w:jc w:val="left"/>
        <w:rPr>
          <w:rFonts w:ascii="Times New Roman" w:hAnsi="Times New Roman" w:cs="Times New Roman"/>
          <w:b/>
          <w:bCs/>
          <w:color w:val="auto"/>
        </w:rPr>
      </w:pPr>
      <w:r>
        <w:rPr>
          <w:rFonts w:ascii="Times New Roman" w:hAnsi="Times New Roman" w:cs="Times New Roman"/>
          <w:b/>
          <w:bCs/>
          <w:color w:val="auto"/>
        </w:rPr>
        <w:t xml:space="preserve">Supplementary Figure 9. Immunohistochemical analysis of SATB2 expression in the colonic mucosa of mice subjected to methionine-supplemented or methionine-restricted diets in the irradiation-induced intestinal injury model. </w:t>
      </w:r>
    </w:p>
    <w:p w14:paraId="056A5BDF">
      <w:pPr>
        <w:pStyle w:val="7"/>
        <w:spacing w:before="0" w:beforeAutospacing="0" w:after="0" w:afterAutospacing="0" w:line="360" w:lineRule="auto"/>
        <w:jc w:val="left"/>
        <w:rPr>
          <w:rFonts w:ascii="Times New Roman" w:hAnsi="Times New Roman" w:cs="Times New Roman"/>
          <w:color w:val="auto"/>
        </w:rPr>
      </w:pPr>
      <w:r>
        <w:rPr>
          <w:rFonts w:ascii="Times New Roman" w:hAnsi="Times New Roman" w:cs="Times New Roman"/>
          <w:color w:val="auto"/>
        </w:rPr>
        <w:t xml:space="preserve">Representative images from n = 3 mice per group are shown. </w:t>
      </w:r>
    </w:p>
    <w:p w14:paraId="5C531FED">
      <w:pPr>
        <w:widowControl/>
        <w:spacing w:line="360" w:lineRule="auto"/>
        <w:jc w:val="left"/>
        <w:rPr>
          <w:rFonts w:ascii="Times New Roman" w:hAnsi="Times New Roman" w:eastAsia="宋体" w:cs="Times New Roman"/>
          <w:b/>
          <w:color w:val="auto"/>
          <w:kern w:val="0"/>
          <w:sz w:val="24"/>
          <w:lang w:bidi="ar"/>
        </w:rPr>
      </w:pPr>
    </w:p>
    <w:p w14:paraId="1157B85F">
      <w:pPr>
        <w:pStyle w:val="7"/>
        <w:spacing w:before="0" w:beforeAutospacing="0" w:after="0" w:afterAutospacing="0" w:line="360" w:lineRule="auto"/>
        <w:jc w:val="left"/>
        <w:rPr>
          <w:rFonts w:ascii="Times New Roman" w:hAnsi="Times New Roman" w:cs="Times New Roman"/>
          <w:b/>
          <w:bCs/>
          <w:color w:val="auto"/>
        </w:rPr>
      </w:pPr>
      <w:r>
        <w:rPr>
          <w:rFonts w:ascii="Times New Roman" w:hAnsi="Times New Roman" w:cs="Times New Roman"/>
          <w:b/>
          <w:bCs/>
          <w:color w:val="auto"/>
        </w:rPr>
        <w:t>Supplementary Figure 10. SELENBP1 expression is decreased in clinical radiation-induced colonic injury.</w:t>
      </w:r>
    </w:p>
    <w:p w14:paraId="7BFC9D7D">
      <w:pPr>
        <w:pStyle w:val="7"/>
        <w:spacing w:before="0" w:beforeAutospacing="0" w:after="0" w:afterAutospacing="0" w:line="360" w:lineRule="auto"/>
        <w:jc w:val="left"/>
        <w:rPr>
          <w:rFonts w:ascii="Times New Roman" w:hAnsi="Times New Roman" w:cs="Times New Roman"/>
          <w:color w:val="auto"/>
        </w:rPr>
      </w:pPr>
      <w:r>
        <w:rPr>
          <w:rFonts w:ascii="Times New Roman" w:hAnsi="Times New Roman" w:cs="Times New Roman"/>
          <w:color w:val="auto"/>
        </w:rPr>
        <w:t xml:space="preserve">Immunohistochemistry of SELENBP1 in normal colonic mucosa and radiation-induced colitis samples, and immunofluorescence analysis of SELENBP1 and MUC2 co-expression in radiation-injured mucosa. Representative images are shown. </w:t>
      </w:r>
    </w:p>
    <w:p w14:paraId="2532AECF">
      <w:pPr>
        <w:pStyle w:val="7"/>
        <w:spacing w:before="0" w:beforeAutospacing="0" w:after="0" w:afterAutospacing="0" w:line="360" w:lineRule="auto"/>
        <w:jc w:val="left"/>
        <w:rPr>
          <w:rFonts w:ascii="Times New Roman" w:hAnsi="Times New Roman" w:cs="Times New Roman"/>
          <w:color w:val="auto"/>
        </w:rPr>
      </w:pPr>
    </w:p>
    <w:p w14:paraId="549C26A9">
      <w:pPr>
        <w:pStyle w:val="7"/>
        <w:spacing w:before="0" w:beforeAutospacing="0" w:after="0" w:afterAutospacing="0" w:line="360" w:lineRule="auto"/>
        <w:jc w:val="left"/>
        <w:rPr>
          <w:rFonts w:ascii="Times New Roman" w:hAnsi="Times New Roman" w:eastAsia="Songti SC Regular" w:cs="Times New Roman"/>
          <w:color w:val="auto"/>
        </w:rPr>
      </w:pPr>
      <w:r>
        <w:rPr>
          <w:rFonts w:ascii="Times New Roman" w:hAnsi="Times New Roman" w:eastAsia="Songti SC Regular" w:cs="Times New Roman"/>
          <w:b/>
          <w:bCs/>
          <w:color w:val="auto"/>
        </w:rPr>
        <w:t xml:space="preserve">Supplementary Figure 11. Scatter plots showing the correlation between immunofluorescence staining intensity and the Nancy Histology Index in colonic biopsies from 26 ulcerative colitis patients. </w:t>
      </w:r>
    </w:p>
    <w:p w14:paraId="0D1D5125">
      <w:pPr>
        <w:pStyle w:val="7"/>
        <w:spacing w:before="0" w:beforeAutospacing="0" w:after="0" w:afterAutospacing="0" w:line="360" w:lineRule="auto"/>
        <w:jc w:val="left"/>
        <w:rPr>
          <w:rFonts w:ascii="Times New Roman" w:hAnsi="Times New Roman" w:eastAsia="Songti SC Regular" w:cs="Times New Roman"/>
          <w:color w:val="auto"/>
        </w:rPr>
      </w:pPr>
      <w:r>
        <w:rPr>
          <w:rFonts w:ascii="Times New Roman" w:hAnsi="Times New Roman" w:eastAsia="Songti SC Regular" w:cs="Times New Roman"/>
          <w:color w:val="auto"/>
        </w:rPr>
        <w:t>(</w:t>
      </w:r>
      <w:r>
        <w:rPr>
          <w:rFonts w:hint="default" w:ascii="Times New Roman" w:hAnsi="Times New Roman" w:eastAsia="Songti SC Regular" w:cs="Times New Roman"/>
          <w:color w:val="auto"/>
          <w:lang w:val="en-US"/>
        </w:rPr>
        <w:t>A</w:t>
      </w:r>
      <w:r>
        <w:rPr>
          <w:rFonts w:ascii="Times New Roman" w:hAnsi="Times New Roman" w:eastAsia="Songti SC Regular" w:cs="Times New Roman"/>
          <w:color w:val="auto"/>
        </w:rPr>
        <w:t>) SELENBP1/SATB2 co-staining intensity vs. NHI (r</w:t>
      </w:r>
      <w:r>
        <w:rPr>
          <w:rFonts w:hint="eastAsia" w:ascii="Times New Roman" w:hAnsi="Times New Roman" w:eastAsia="Songti SC Regular" w:cs="Times New Roman"/>
          <w:color w:val="auto"/>
        </w:rPr>
        <w:t>-squared</w:t>
      </w:r>
      <w:r>
        <w:rPr>
          <w:rFonts w:ascii="Times New Roman" w:hAnsi="Times New Roman" w:eastAsia="Songti SC Regular" w:cs="Times New Roman"/>
          <w:color w:val="auto"/>
        </w:rPr>
        <w:t xml:space="preserve"> = 0.869, P &lt; 0.05). (</w:t>
      </w:r>
      <w:r>
        <w:rPr>
          <w:rFonts w:hint="default" w:ascii="Times New Roman" w:hAnsi="Times New Roman" w:eastAsia="Songti SC Regular" w:cs="Times New Roman"/>
          <w:color w:val="auto"/>
          <w:lang w:val="en-US"/>
        </w:rPr>
        <w:t>B</w:t>
      </w:r>
      <w:r>
        <w:rPr>
          <w:rFonts w:ascii="Times New Roman" w:hAnsi="Times New Roman" w:eastAsia="Songti SC Regular" w:cs="Times New Roman"/>
          <w:color w:val="auto"/>
        </w:rPr>
        <w:t>) SATB2/SUMO2/3 co-staining intensity vs. NHI (r</w:t>
      </w:r>
      <w:r>
        <w:rPr>
          <w:rFonts w:hint="eastAsia" w:ascii="Times New Roman" w:hAnsi="Times New Roman" w:eastAsia="Songti SC Regular" w:cs="Times New Roman"/>
          <w:color w:val="auto"/>
        </w:rPr>
        <w:t>-squared</w:t>
      </w:r>
      <w:r>
        <w:rPr>
          <w:rFonts w:ascii="Times New Roman" w:hAnsi="Times New Roman" w:eastAsia="Songti SC Regular" w:cs="Times New Roman"/>
          <w:color w:val="auto"/>
        </w:rPr>
        <w:t xml:space="preserve"> = 0.786, P &lt; 0.05). Each dot represents one patient sample. Pearson correlation analysis.</w:t>
      </w:r>
    </w:p>
    <w:p w14:paraId="563F0C3B">
      <w:pPr>
        <w:pStyle w:val="7"/>
        <w:spacing w:before="0" w:beforeAutospacing="0" w:after="0" w:afterAutospacing="0" w:line="360" w:lineRule="auto"/>
        <w:jc w:val="left"/>
        <w:rPr>
          <w:rStyle w:val="10"/>
          <w:rFonts w:ascii="Times New Roman" w:hAnsi="Times New Roman" w:eastAsia="Songti SC Regular" w:cs="Times New Roman"/>
          <w:bCs w:val="0"/>
          <w:color w:va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Songti SC Regular">
    <w:panose1 w:val="02010800040101010101"/>
    <w:charset w:val="86"/>
    <w:family w:val="roman"/>
    <w:pitch w:val="default"/>
    <w:sig w:usb0="00000001" w:usb1="080F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MxMjUwZGE3ZmYwY2QzODRjNWQxMDk3NTRiYzAwZDMifQ=="/>
    <w:docVar w:name="EN.InstantFormat" w:val="&lt;ENInstantFormat&gt;&lt;Enabled&gt;1&lt;/Enabled&gt;&lt;ScanUnformatted&gt;1&lt;/ScanUnformatted&gt;&lt;ScanChanges&gt;1&lt;/ScanChanges&gt;&lt;Suspended&gt;0&lt;/Suspended&gt;&lt;/ENInstantFormat&gt;"/>
    <w:docVar w:name="EN.Layout" w:val="&lt;ENLayout&gt;&lt;Style&gt;Cellular Molec Gastroent Hepatol&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pffr902555vzuezsvlv9wptt2tef9farvww&quot;&gt;sbp1&lt;record-ids&gt;&lt;item&gt;1&lt;/item&gt;&lt;item&gt;2&lt;/item&gt;&lt;item&gt;6&lt;/item&gt;&lt;item&gt;8&lt;/item&gt;&lt;item&gt;9&lt;/item&gt;&lt;item&gt;11&lt;/item&gt;&lt;item&gt;12&lt;/item&gt;&lt;item&gt;13&lt;/item&gt;&lt;item&gt;14&lt;/item&gt;&lt;item&gt;18&lt;/item&gt;&lt;item&gt;21&lt;/item&gt;&lt;item&gt;23&lt;/item&gt;&lt;item&gt;24&lt;/item&gt;&lt;item&gt;27&lt;/item&gt;&lt;item&gt;29&lt;/item&gt;&lt;item&gt;30&lt;/item&gt;&lt;item&gt;31&lt;/item&gt;&lt;item&gt;33&lt;/item&gt;&lt;item&gt;34&lt;/item&gt;&lt;item&gt;35&lt;/item&gt;&lt;item&gt;36&lt;/item&gt;&lt;item&gt;37&lt;/item&gt;&lt;item&gt;38&lt;/item&gt;&lt;item&gt;40&lt;/item&gt;&lt;item&gt;41&lt;/item&gt;&lt;item&gt;42&lt;/item&gt;&lt;/record-ids&gt;&lt;/item&gt;&lt;/Libraries&gt;"/>
  </w:docVars>
  <w:rsids>
    <w:rsidRoot w:val="FFFE3FB1"/>
    <w:rsid w:val="00040A12"/>
    <w:rsid w:val="000B59EC"/>
    <w:rsid w:val="000D74E6"/>
    <w:rsid w:val="000E0F06"/>
    <w:rsid w:val="000E216D"/>
    <w:rsid w:val="0013723B"/>
    <w:rsid w:val="00161593"/>
    <w:rsid w:val="00190A40"/>
    <w:rsid w:val="001B2C63"/>
    <w:rsid w:val="001C7E24"/>
    <w:rsid w:val="001F33E2"/>
    <w:rsid w:val="00224658"/>
    <w:rsid w:val="00235ED0"/>
    <w:rsid w:val="002529B2"/>
    <w:rsid w:val="002F4894"/>
    <w:rsid w:val="003267AD"/>
    <w:rsid w:val="00365807"/>
    <w:rsid w:val="003A5522"/>
    <w:rsid w:val="003C25AC"/>
    <w:rsid w:val="003E0522"/>
    <w:rsid w:val="003F00DD"/>
    <w:rsid w:val="0040470C"/>
    <w:rsid w:val="00460CC7"/>
    <w:rsid w:val="00501CFE"/>
    <w:rsid w:val="00512143"/>
    <w:rsid w:val="005253F7"/>
    <w:rsid w:val="00591DB2"/>
    <w:rsid w:val="005D5AE1"/>
    <w:rsid w:val="005F1571"/>
    <w:rsid w:val="006113E7"/>
    <w:rsid w:val="006203FF"/>
    <w:rsid w:val="00641B08"/>
    <w:rsid w:val="00653ECF"/>
    <w:rsid w:val="006D36D3"/>
    <w:rsid w:val="006D55A4"/>
    <w:rsid w:val="006E4798"/>
    <w:rsid w:val="007037C5"/>
    <w:rsid w:val="00732043"/>
    <w:rsid w:val="007462A3"/>
    <w:rsid w:val="00760A1A"/>
    <w:rsid w:val="00776140"/>
    <w:rsid w:val="00793481"/>
    <w:rsid w:val="007B56E9"/>
    <w:rsid w:val="00812AE8"/>
    <w:rsid w:val="00821320"/>
    <w:rsid w:val="00855445"/>
    <w:rsid w:val="00900096"/>
    <w:rsid w:val="00973B1E"/>
    <w:rsid w:val="009B3CAE"/>
    <w:rsid w:val="009F6429"/>
    <w:rsid w:val="00A1521A"/>
    <w:rsid w:val="00A7006E"/>
    <w:rsid w:val="00A92538"/>
    <w:rsid w:val="00AA5ECE"/>
    <w:rsid w:val="00AA651C"/>
    <w:rsid w:val="00AD5F2C"/>
    <w:rsid w:val="00AF7D00"/>
    <w:rsid w:val="00B74231"/>
    <w:rsid w:val="00C158BF"/>
    <w:rsid w:val="00C21942"/>
    <w:rsid w:val="00C21AE6"/>
    <w:rsid w:val="00C96781"/>
    <w:rsid w:val="00D07357"/>
    <w:rsid w:val="00D130CA"/>
    <w:rsid w:val="00D24BCB"/>
    <w:rsid w:val="00D75E55"/>
    <w:rsid w:val="00D86676"/>
    <w:rsid w:val="00DB31FA"/>
    <w:rsid w:val="00DB649A"/>
    <w:rsid w:val="00DC653A"/>
    <w:rsid w:val="00DD78E6"/>
    <w:rsid w:val="00E679E0"/>
    <w:rsid w:val="00E811D6"/>
    <w:rsid w:val="00EA0A29"/>
    <w:rsid w:val="00EB3405"/>
    <w:rsid w:val="00EF6532"/>
    <w:rsid w:val="00F63BB8"/>
    <w:rsid w:val="00F808E6"/>
    <w:rsid w:val="00FC4EBD"/>
    <w:rsid w:val="00FC565B"/>
    <w:rsid w:val="00FD5443"/>
    <w:rsid w:val="00FD786A"/>
    <w:rsid w:val="078FEAFB"/>
    <w:rsid w:val="23DF012C"/>
    <w:rsid w:val="277FD872"/>
    <w:rsid w:val="296558BA"/>
    <w:rsid w:val="2EFE890E"/>
    <w:rsid w:val="377F4BBC"/>
    <w:rsid w:val="37FF8C5D"/>
    <w:rsid w:val="39FD38F0"/>
    <w:rsid w:val="3BB6FA89"/>
    <w:rsid w:val="3DA6D8FA"/>
    <w:rsid w:val="4FB7471F"/>
    <w:rsid w:val="4FC74196"/>
    <w:rsid w:val="55FE3D09"/>
    <w:rsid w:val="5CB7C819"/>
    <w:rsid w:val="5DF55C01"/>
    <w:rsid w:val="5EBAC7DC"/>
    <w:rsid w:val="65B74D35"/>
    <w:rsid w:val="6D7B6BD8"/>
    <w:rsid w:val="6FE7BC31"/>
    <w:rsid w:val="6FEF912A"/>
    <w:rsid w:val="757FF502"/>
    <w:rsid w:val="77DBE305"/>
    <w:rsid w:val="7B3F213D"/>
    <w:rsid w:val="7CFF888B"/>
    <w:rsid w:val="7DBE499A"/>
    <w:rsid w:val="7DEFEA83"/>
    <w:rsid w:val="7EB1E604"/>
    <w:rsid w:val="7EF5EFD3"/>
    <w:rsid w:val="7F9B8F2B"/>
    <w:rsid w:val="7FDAD9F7"/>
    <w:rsid w:val="7FE7B832"/>
    <w:rsid w:val="7FFB8AD0"/>
    <w:rsid w:val="7FFFB197"/>
    <w:rsid w:val="7FFFEBA7"/>
    <w:rsid w:val="97FEBF1F"/>
    <w:rsid w:val="BD6E1C66"/>
    <w:rsid w:val="D717A7BA"/>
    <w:rsid w:val="DCFBC65C"/>
    <w:rsid w:val="DFCE33CF"/>
    <w:rsid w:val="DFEE5542"/>
    <w:rsid w:val="DFF33625"/>
    <w:rsid w:val="E7E7E667"/>
    <w:rsid w:val="EFCE2897"/>
    <w:rsid w:val="F3CFB162"/>
    <w:rsid w:val="F3F7859F"/>
    <w:rsid w:val="F8E71E42"/>
    <w:rsid w:val="FA630F9F"/>
    <w:rsid w:val="FB5FA667"/>
    <w:rsid w:val="FB9AB620"/>
    <w:rsid w:val="FDF73879"/>
    <w:rsid w:val="FDFF2AC1"/>
    <w:rsid w:val="FEFE1E53"/>
    <w:rsid w:val="FF6E0D18"/>
    <w:rsid w:val="FF7F079D"/>
    <w:rsid w:val="FF7F6A1E"/>
    <w:rsid w:val="FFB7AA67"/>
    <w:rsid w:val="FFD71732"/>
    <w:rsid w:val="FFDA3002"/>
    <w:rsid w:val="FFFAE320"/>
    <w:rsid w:val="FFFE3FB1"/>
    <w:rsid w:val="FFFF0C80"/>
    <w:rsid w:val="FFFF657F"/>
    <w:rsid w:val="FFFFCB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next w:val="1"/>
    <w:qFormat/>
    <w:uiPriority w:val="0"/>
    <w:pPr>
      <w:spacing w:beforeAutospacing="1" w:afterAutospacing="1"/>
      <w:outlineLvl w:val="0"/>
    </w:pPr>
    <w:rPr>
      <w:rFonts w:hint="eastAsia" w:ascii="宋体" w:hAnsi="宋体" w:eastAsia="宋体" w:cs="Times New Roman"/>
      <w:b/>
      <w:bCs/>
      <w:kern w:val="44"/>
      <w:sz w:val="48"/>
      <w:szCs w:val="48"/>
      <w:lang w:val="en-US" w:eastAsia="zh-CN" w:bidi="ar-SA"/>
    </w:rPr>
  </w:style>
  <w:style w:type="paragraph" w:styleId="3">
    <w:name w:val="heading 2"/>
    <w:next w:val="1"/>
    <w:unhideWhenUsed/>
    <w:qFormat/>
    <w:uiPriority w:val="0"/>
    <w:pPr>
      <w:spacing w:beforeAutospacing="1" w:afterAutospacing="1"/>
      <w:outlineLvl w:val="1"/>
    </w:pPr>
    <w:rPr>
      <w:rFonts w:hint="eastAsia" w:ascii="宋体" w:hAnsi="宋体" w:eastAsia="宋体" w:cs="Times New Roman"/>
      <w:b/>
      <w:bCs/>
      <w:sz w:val="36"/>
      <w:szCs w:val="36"/>
      <w:lang w:val="en-US" w:eastAsia="zh-CN" w:bidi="ar-SA"/>
    </w:rPr>
  </w:style>
  <w:style w:type="paragraph" w:styleId="4">
    <w:name w:val="heading 3"/>
    <w:next w:val="1"/>
    <w:unhideWhenUsed/>
    <w:qFormat/>
    <w:uiPriority w:val="0"/>
    <w:pPr>
      <w:spacing w:beforeAutospacing="1" w:afterAutospacing="1"/>
      <w:outlineLvl w:val="2"/>
    </w:pPr>
    <w:rPr>
      <w:rFonts w:hint="eastAsia" w:ascii="宋体" w:hAnsi="宋体" w:eastAsia="宋体" w:cs="Times New Roman"/>
      <w:b/>
      <w:bCs/>
      <w:sz w:val="27"/>
      <w:szCs w:val="27"/>
      <w:lang w:val="en-US" w:eastAsia="zh-CN" w:bidi="ar-SA"/>
    </w:rPr>
  </w:style>
  <w:style w:type="character" w:default="1" w:styleId="9">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5">
    <w:name w:val="footer"/>
    <w:basedOn w:val="1"/>
    <w:link w:val="17"/>
    <w:uiPriority w:val="0"/>
    <w:pPr>
      <w:tabs>
        <w:tab w:val="center" w:pos="4153"/>
        <w:tab w:val="right" w:pos="8306"/>
      </w:tabs>
      <w:snapToGrid w:val="0"/>
      <w:jc w:val="left"/>
    </w:pPr>
    <w:rPr>
      <w:sz w:val="18"/>
      <w:szCs w:val="18"/>
    </w:rPr>
  </w:style>
  <w:style w:type="paragraph" w:styleId="6">
    <w:name w:val="header"/>
    <w:basedOn w:val="1"/>
    <w:link w:val="16"/>
    <w:uiPriority w:val="0"/>
    <w:pPr>
      <w:tabs>
        <w:tab w:val="center" w:pos="4153"/>
        <w:tab w:val="right" w:pos="8306"/>
      </w:tabs>
      <w:snapToGrid w:val="0"/>
      <w:jc w:val="center"/>
    </w:pPr>
    <w:rPr>
      <w:sz w:val="18"/>
      <w:szCs w:val="18"/>
    </w:rPr>
  </w:style>
  <w:style w:type="paragraph" w:styleId="7">
    <w:name w:val="Normal (Web)"/>
    <w:basedOn w:val="1"/>
    <w:unhideWhenUsed/>
    <w:qFormat/>
    <w:uiPriority w:val="99"/>
    <w:pPr>
      <w:widowControl/>
      <w:spacing w:before="100" w:beforeAutospacing="1" w:after="100" w:afterAutospacing="1"/>
    </w:pPr>
    <w:rPr>
      <w:rFonts w:ascii="宋体" w:hAnsi="宋体" w:eastAsia="宋体" w:cs="宋体"/>
      <w:kern w:val="0"/>
      <w:sz w:val="24"/>
    </w:rPr>
  </w:style>
  <w:style w:type="character" w:styleId="10">
    <w:name w:val="Strong"/>
    <w:basedOn w:val="9"/>
    <w:qFormat/>
    <w:uiPriority w:val="22"/>
    <w:rPr>
      <w:b/>
      <w:bCs/>
    </w:rPr>
  </w:style>
  <w:style w:type="character" w:styleId="11">
    <w:name w:val="Emphasis"/>
    <w:basedOn w:val="9"/>
    <w:qFormat/>
    <w:uiPriority w:val="20"/>
    <w:rPr>
      <w:i/>
      <w:iCs/>
    </w:rPr>
  </w:style>
  <w:style w:type="character" w:styleId="12">
    <w:name w:val="Hyperlink"/>
    <w:basedOn w:val="9"/>
    <w:qFormat/>
    <w:uiPriority w:val="0"/>
    <w:rPr>
      <w:color w:val="0000FF"/>
      <w:u w:val="single"/>
    </w:rPr>
  </w:style>
  <w:style w:type="paragraph" w:customStyle="1" w:styleId="13">
    <w:name w:val="EndNote Bibliography Title"/>
    <w:basedOn w:val="1"/>
    <w:qFormat/>
    <w:uiPriority w:val="0"/>
    <w:pPr>
      <w:jc w:val="center"/>
    </w:pPr>
    <w:rPr>
      <w:rFonts w:ascii="Calibri" w:hAnsi="Calibri"/>
      <w:sz w:val="20"/>
    </w:rPr>
  </w:style>
  <w:style w:type="paragraph" w:customStyle="1" w:styleId="14">
    <w:name w:val="EndNote Bibliography"/>
    <w:basedOn w:val="1"/>
    <w:qFormat/>
    <w:uiPriority w:val="0"/>
    <w:pPr>
      <w:jc w:val="left"/>
    </w:pPr>
    <w:rPr>
      <w:rFonts w:ascii="Calibri" w:hAnsi="Calibri"/>
      <w:sz w:val="20"/>
    </w:rPr>
  </w:style>
  <w:style w:type="paragraph" w:customStyle="1" w:styleId="15">
    <w:name w:val="Revision"/>
    <w:hidden/>
    <w:unhideWhenUsed/>
    <w:uiPriority w:val="99"/>
    <w:rPr>
      <w:rFonts w:asciiTheme="minorHAnsi" w:hAnsiTheme="minorHAnsi" w:eastAsiaTheme="minorEastAsia" w:cstheme="minorBidi"/>
      <w:kern w:val="2"/>
      <w:sz w:val="21"/>
      <w:szCs w:val="24"/>
      <w:lang w:val="en-US" w:eastAsia="zh-CN" w:bidi="ar-SA"/>
    </w:rPr>
  </w:style>
  <w:style w:type="character" w:customStyle="1" w:styleId="16">
    <w:name w:val="页眉 字符"/>
    <w:basedOn w:val="9"/>
    <w:link w:val="6"/>
    <w:uiPriority w:val="0"/>
    <w:rPr>
      <w:rFonts w:asciiTheme="minorHAnsi" w:hAnsiTheme="minorHAnsi" w:eastAsiaTheme="minorEastAsia" w:cstheme="minorBidi"/>
      <w:kern w:val="2"/>
      <w:sz w:val="18"/>
      <w:szCs w:val="18"/>
    </w:rPr>
  </w:style>
  <w:style w:type="character" w:customStyle="1" w:styleId="17">
    <w:name w:val="页脚 字符"/>
    <w:basedOn w:val="9"/>
    <w:link w:val="5"/>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788</Words>
  <Characters>4478</Characters>
  <Lines>87</Lines>
  <Paragraphs>17</Paragraphs>
  <TotalTime>0</TotalTime>
  <ScaleCrop>false</ScaleCrop>
  <LinksUpToDate>false</LinksUpToDate>
  <CharactersWithSpaces>5249</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2025-11-13T15:54:00Z</dcterms:created>
  <dc:creator>Yao Liu</dc:creator>
  <cp:lastModifiedBy>刘瑶</cp:lastModifiedBy>
  <dcterms:modified xsi:type="dcterms:W3CDTF">2026-10-09T10:52:02Z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A34E9A947266AB2143F70E6948D1DE9F_41</vt:lpwstr>
  </property>
</Properties>
</file>