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E3660">
      <w:pPr>
        <w:widowControl/>
        <w:spacing w:before="100" w:beforeAutospacing="1" w:after="100" w:afterAutospacing="1"/>
        <w:jc w:val="center"/>
        <w:outlineLvl w:val="0"/>
        <w:rPr>
          <w:rFonts w:ascii="Times New Roman" w:hAnsi="Times New Roman" w:eastAsia="宋体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kern w:val="36"/>
          <w:sz w:val="28"/>
          <w:szCs w:val="28"/>
        </w:rPr>
        <w:t>Appendix B. Summative Assessment Rubric A (LLM-Assisted Case Analysis)</w:t>
      </w:r>
    </w:p>
    <w:p w14:paraId="6D088261"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Purpose:</w:t>
      </w:r>
      <w:r>
        <w:rPr>
          <w:rFonts w:ascii="Times New Roman" w:hAnsi="Times New Roman" w:eastAsia="宋体" w:cs="Times New Roman"/>
          <w:kern w:val="0"/>
          <w:sz w:val="24"/>
        </w:rPr>
        <w:br w:type="textWrapping"/>
      </w:r>
      <w:r>
        <w:rPr>
          <w:rFonts w:ascii="Times New Roman" w:hAnsi="Times New Roman" w:eastAsia="宋体" w:cs="Times New Roman"/>
          <w:kern w:val="0"/>
          <w:sz w:val="24"/>
        </w:rPr>
        <w:t>To evaluate structured clinical reasoning, AI-assisted self-directed learning, and competency-related behaviors when LLM use is allowed under supervision.</w:t>
      </w:r>
    </w:p>
    <w:p w14:paraId="7A7EAD7C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B1. Clinical Reasoning and Problem-Solving Ability (0–20 points)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974"/>
        <w:gridCol w:w="2168"/>
        <w:gridCol w:w="1780"/>
      </w:tblGrid>
      <w:tr w14:paraId="6E48F0C2">
        <w:tc>
          <w:tcPr>
            <w:tcW w:w="2374" w:type="dxa"/>
          </w:tcPr>
          <w:p w14:paraId="3E056C4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Domain</w:t>
            </w:r>
          </w:p>
        </w:tc>
        <w:tc>
          <w:tcPr>
            <w:tcW w:w="5922" w:type="dxa"/>
            <w:gridSpan w:val="3"/>
            <w:vAlign w:val="center"/>
          </w:tcPr>
          <w:p w14:paraId="5D49AB99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>Scores</w:t>
            </w:r>
          </w:p>
        </w:tc>
      </w:tr>
      <w:tr w14:paraId="52B2D0C4">
        <w:tc>
          <w:tcPr>
            <w:tcW w:w="2374" w:type="dxa"/>
          </w:tcPr>
          <w:p w14:paraId="1142640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74" w:type="dxa"/>
          </w:tcPr>
          <w:p w14:paraId="3B03D5A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ncompetent</w:t>
            </w:r>
          </w:p>
        </w:tc>
        <w:tc>
          <w:tcPr>
            <w:tcW w:w="2168" w:type="dxa"/>
          </w:tcPr>
          <w:p w14:paraId="63AC0E57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Developing</w:t>
            </w:r>
          </w:p>
        </w:tc>
        <w:tc>
          <w:tcPr>
            <w:tcW w:w="1780" w:type="dxa"/>
          </w:tcPr>
          <w:p w14:paraId="1D294117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competent</w:t>
            </w:r>
          </w:p>
        </w:tc>
      </w:tr>
      <w:tr w14:paraId="34C4D9AA">
        <w:trPr>
          <w:trHeight w:val="912" w:hRule="atLeast"/>
        </w:trPr>
        <w:tc>
          <w:tcPr>
            <w:tcW w:w="2374" w:type="dxa"/>
            <w:vAlign w:val="center"/>
          </w:tcPr>
          <w:p w14:paraId="7F493D0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Problem identification &amp; prioritization</w:t>
            </w:r>
          </w:p>
        </w:tc>
        <w:tc>
          <w:tcPr>
            <w:tcW w:w="1974" w:type="dxa"/>
          </w:tcPr>
          <w:p w14:paraId="37B8489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68" w:type="dxa"/>
          </w:tcPr>
          <w:p w14:paraId="090B54E7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80" w:type="dxa"/>
          </w:tcPr>
          <w:p w14:paraId="33C557C4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6654F15A">
        <w:trPr>
          <w:trHeight w:val="991" w:hRule="atLeast"/>
        </w:trPr>
        <w:tc>
          <w:tcPr>
            <w:tcW w:w="2374" w:type="dxa"/>
            <w:vAlign w:val="center"/>
          </w:tcPr>
          <w:p w14:paraId="7EDF11F7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Diagnostic hypothesis generation &amp; ranking</w:t>
            </w:r>
          </w:p>
        </w:tc>
        <w:tc>
          <w:tcPr>
            <w:tcW w:w="1974" w:type="dxa"/>
          </w:tcPr>
          <w:p w14:paraId="4EC12E4F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68" w:type="dxa"/>
          </w:tcPr>
          <w:p w14:paraId="26C21844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80" w:type="dxa"/>
          </w:tcPr>
          <w:p w14:paraId="641A770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60C7BA2D">
        <w:trPr>
          <w:trHeight w:val="1058" w:hRule="atLeast"/>
        </w:trPr>
        <w:tc>
          <w:tcPr>
            <w:tcW w:w="2374" w:type="dxa"/>
            <w:vAlign w:val="center"/>
          </w:tcPr>
          <w:p w14:paraId="63BBF12B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Evidence integration &amp; interpretation</w:t>
            </w:r>
          </w:p>
        </w:tc>
        <w:tc>
          <w:tcPr>
            <w:tcW w:w="1974" w:type="dxa"/>
          </w:tcPr>
          <w:p w14:paraId="3C1FF8E8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68" w:type="dxa"/>
          </w:tcPr>
          <w:p w14:paraId="7F0DCC31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80" w:type="dxa"/>
          </w:tcPr>
          <w:p w14:paraId="319CA08B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16360EA7">
        <w:trPr>
          <w:trHeight w:val="1138" w:hRule="atLeast"/>
        </w:trPr>
        <w:tc>
          <w:tcPr>
            <w:tcW w:w="2374" w:type="dxa"/>
            <w:vAlign w:val="center"/>
          </w:tcPr>
          <w:p w14:paraId="693E4DB3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Differential diagnosis &amp; risk awareness</w:t>
            </w:r>
          </w:p>
        </w:tc>
        <w:tc>
          <w:tcPr>
            <w:tcW w:w="1974" w:type="dxa"/>
          </w:tcPr>
          <w:p w14:paraId="1637C7D0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68" w:type="dxa"/>
          </w:tcPr>
          <w:p w14:paraId="1BD55D68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80" w:type="dxa"/>
          </w:tcPr>
          <w:p w14:paraId="74F92CBC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  <w:tr w14:paraId="7496B222">
        <w:trPr>
          <w:trHeight w:val="1359" w:hRule="atLeast"/>
        </w:trPr>
        <w:tc>
          <w:tcPr>
            <w:tcW w:w="2374" w:type="dxa"/>
            <w:vAlign w:val="center"/>
          </w:tcPr>
          <w:p w14:paraId="062C32C3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Clinical decision-making &amp; safety</w:t>
            </w:r>
          </w:p>
        </w:tc>
        <w:tc>
          <w:tcPr>
            <w:tcW w:w="1974" w:type="dxa"/>
          </w:tcPr>
          <w:p w14:paraId="68A40827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2168" w:type="dxa"/>
          </w:tcPr>
          <w:p w14:paraId="6BC98F7B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780" w:type="dxa"/>
          </w:tcPr>
          <w:p w14:paraId="77D9AB8A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</w:tr>
    </w:tbl>
    <w:p w14:paraId="454F1366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B2. Quality of LLM-Assisted Learning (0–12 points)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1974"/>
        <w:gridCol w:w="2168"/>
        <w:gridCol w:w="1780"/>
      </w:tblGrid>
      <w:tr w14:paraId="754C4D5E">
        <w:tc>
          <w:tcPr>
            <w:tcW w:w="2374" w:type="dxa"/>
          </w:tcPr>
          <w:p w14:paraId="2203C7E6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bookmarkStart w:id="0" w:name="OLE_LINK9"/>
            <w:bookmarkStart w:id="1" w:name="OLE_LINK10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Domain</w:t>
            </w:r>
          </w:p>
        </w:tc>
        <w:tc>
          <w:tcPr>
            <w:tcW w:w="5922" w:type="dxa"/>
            <w:gridSpan w:val="3"/>
            <w:vAlign w:val="center"/>
          </w:tcPr>
          <w:p w14:paraId="06188253">
            <w:pPr>
              <w:widowControl/>
              <w:spacing w:before="100" w:beforeAutospacing="1" w:after="100" w:afterAutospacing="1"/>
              <w:jc w:val="center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>Scores</w:t>
            </w:r>
          </w:p>
        </w:tc>
      </w:tr>
      <w:tr w14:paraId="32DC7890">
        <w:tc>
          <w:tcPr>
            <w:tcW w:w="2374" w:type="dxa"/>
          </w:tcPr>
          <w:p w14:paraId="0B40F73A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</w:p>
        </w:tc>
        <w:tc>
          <w:tcPr>
            <w:tcW w:w="1974" w:type="dxa"/>
          </w:tcPr>
          <w:p w14:paraId="56592B1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  <w:t>I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ncompetent</w:t>
            </w:r>
          </w:p>
        </w:tc>
        <w:tc>
          <w:tcPr>
            <w:tcW w:w="2168" w:type="dxa"/>
          </w:tcPr>
          <w:p w14:paraId="35D6BB9E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Developing</w:t>
            </w:r>
          </w:p>
        </w:tc>
        <w:tc>
          <w:tcPr>
            <w:tcW w:w="1780" w:type="dxa"/>
          </w:tcPr>
          <w:p w14:paraId="09E860F6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competent</w:t>
            </w:r>
          </w:p>
        </w:tc>
      </w:tr>
      <w:tr w14:paraId="0243F858">
        <w:tc>
          <w:tcPr>
            <w:tcW w:w="2374" w:type="dxa"/>
            <w:vAlign w:val="center"/>
          </w:tcPr>
          <w:p w14:paraId="4F09F2D2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Prompt quality</w:t>
            </w:r>
          </w:p>
        </w:tc>
        <w:tc>
          <w:tcPr>
            <w:tcW w:w="1974" w:type="dxa"/>
            <w:vAlign w:val="center"/>
          </w:tcPr>
          <w:p w14:paraId="4BB5393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Requests direct answers</w:t>
            </w:r>
          </w:p>
        </w:tc>
        <w:tc>
          <w:tcPr>
            <w:tcW w:w="2168" w:type="dxa"/>
            <w:vAlign w:val="center"/>
          </w:tcPr>
          <w:p w14:paraId="026074B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General prompts</w:t>
            </w:r>
          </w:p>
        </w:tc>
        <w:tc>
          <w:tcPr>
            <w:tcW w:w="1780" w:type="dxa"/>
            <w:vAlign w:val="center"/>
          </w:tcPr>
          <w:p w14:paraId="4969FE0C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Specific, verifiable prompts</w:t>
            </w:r>
          </w:p>
        </w:tc>
      </w:tr>
      <w:tr w14:paraId="499CCC97">
        <w:tc>
          <w:tcPr>
            <w:tcW w:w="2374" w:type="dxa"/>
            <w:vAlign w:val="center"/>
          </w:tcPr>
          <w:p w14:paraId="049AF441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Boundary awareness</w:t>
            </w:r>
          </w:p>
        </w:tc>
        <w:tc>
          <w:tcPr>
            <w:tcW w:w="1974" w:type="dxa"/>
            <w:vAlign w:val="center"/>
          </w:tcPr>
          <w:p w14:paraId="47992281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Fully dependent on LLM</w:t>
            </w:r>
          </w:p>
        </w:tc>
        <w:tc>
          <w:tcPr>
            <w:tcW w:w="2168" w:type="dxa"/>
            <w:vAlign w:val="center"/>
          </w:tcPr>
          <w:p w14:paraId="58CD84DF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Partial dependence</w:t>
            </w:r>
          </w:p>
        </w:tc>
        <w:tc>
          <w:tcPr>
            <w:tcW w:w="1780" w:type="dxa"/>
            <w:vAlign w:val="center"/>
          </w:tcPr>
          <w:p w14:paraId="5F6F3DA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LLM used strictly as an assistive tool</w:t>
            </w:r>
          </w:p>
        </w:tc>
      </w:tr>
      <w:tr w14:paraId="62559F4A">
        <w:tc>
          <w:tcPr>
            <w:tcW w:w="2374" w:type="dxa"/>
            <w:vAlign w:val="center"/>
          </w:tcPr>
          <w:p w14:paraId="1F619B0B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Information filtering</w:t>
            </w:r>
          </w:p>
        </w:tc>
        <w:tc>
          <w:tcPr>
            <w:tcW w:w="1974" w:type="dxa"/>
            <w:vAlign w:val="center"/>
          </w:tcPr>
          <w:p w14:paraId="7E85B4D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Accepts all outputs</w:t>
            </w:r>
          </w:p>
        </w:tc>
        <w:tc>
          <w:tcPr>
            <w:tcW w:w="2168" w:type="dxa"/>
            <w:vAlign w:val="center"/>
          </w:tcPr>
          <w:p w14:paraId="6A77464A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Partial filtering</w:t>
            </w:r>
          </w:p>
        </w:tc>
        <w:tc>
          <w:tcPr>
            <w:tcW w:w="1780" w:type="dxa"/>
            <w:vAlign w:val="center"/>
          </w:tcPr>
          <w:p w14:paraId="7CD068E9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Actively rejects inappropriate content</w:t>
            </w:r>
          </w:p>
        </w:tc>
      </w:tr>
      <w:tr w14:paraId="3B875C0F">
        <w:tc>
          <w:tcPr>
            <w:tcW w:w="2374" w:type="dxa"/>
            <w:vAlign w:val="center"/>
          </w:tcPr>
          <w:p w14:paraId="09CCC269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Reflection and revision</w:t>
            </w:r>
          </w:p>
        </w:tc>
        <w:tc>
          <w:tcPr>
            <w:tcW w:w="1974" w:type="dxa"/>
            <w:vAlign w:val="center"/>
          </w:tcPr>
          <w:p w14:paraId="0F4AF889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None</w:t>
            </w:r>
          </w:p>
        </w:tc>
        <w:tc>
          <w:tcPr>
            <w:tcW w:w="2168" w:type="dxa"/>
            <w:vAlign w:val="center"/>
          </w:tcPr>
          <w:p w14:paraId="4A2D50B3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Descriptive only</w:t>
            </w:r>
          </w:p>
        </w:tc>
        <w:tc>
          <w:tcPr>
            <w:tcW w:w="1780" w:type="dxa"/>
            <w:vAlign w:val="center"/>
          </w:tcPr>
          <w:p w14:paraId="477DADF5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Meaningful revision of reasoning</w:t>
            </w:r>
          </w:p>
        </w:tc>
      </w:tr>
      <w:bookmarkEnd w:id="0"/>
      <w:bookmarkEnd w:id="1"/>
    </w:tbl>
    <w:p w14:paraId="7B7BECFC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B3. Competency-Related Faculty Ratings (0–10 points)</w:t>
      </w:r>
    </w:p>
    <w:p w14:paraId="212380D9">
      <w:pPr>
        <w:widowControl/>
        <w:jc w:val="left"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B3.1 Entrustable Professional Activity (EPA) Level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(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>1-5)</w:t>
      </w:r>
    </w:p>
    <w:tbl>
      <w:tblPr>
        <w:tblStyle w:val="5"/>
        <w:tblW w:w="8647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4"/>
        <w:gridCol w:w="5953"/>
      </w:tblGrid>
      <w:tr w14:paraId="641D6993">
        <w:trPr>
          <w:trHeight w:val="587" w:hRule="atLeast"/>
          <w:tblCellSpacing w:w="15" w:type="dxa"/>
        </w:trPr>
        <w:tc>
          <w:tcPr>
            <w:tcW w:w="2649" w:type="dxa"/>
            <w:vAlign w:val="center"/>
          </w:tcPr>
          <w:p w14:paraId="6A12D96D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Observation only</w:t>
            </w:r>
          </w:p>
        </w:tc>
        <w:tc>
          <w:tcPr>
            <w:tcW w:w="5908" w:type="dxa"/>
            <w:vAlign w:val="center"/>
          </w:tcPr>
          <w:p w14:paraId="702C073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Unable to perform the task independently; requires full guidance throughout the process; unable to formulate a coherent clinical assessment or decision plan</w:t>
            </w:r>
          </w:p>
        </w:tc>
      </w:tr>
      <w:tr w14:paraId="77924C6E">
        <w:trPr>
          <w:tblCellSpacing w:w="15" w:type="dxa"/>
        </w:trPr>
        <w:tc>
          <w:tcPr>
            <w:tcW w:w="2649" w:type="dxa"/>
            <w:vAlign w:val="center"/>
          </w:tcPr>
          <w:p w14:paraId="4CDB4929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Direct supervision required</w:t>
            </w:r>
          </w:p>
        </w:tc>
        <w:tc>
          <w:tcPr>
            <w:tcW w:w="5908" w:type="dxa"/>
            <w:vAlign w:val="center"/>
          </w:tcPr>
          <w:p w14:paraId="139288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Performs parts of the task but requires continuous, proactive supervision; frequent faculty corrections needed to ensure diagnostic accuracy and patient safety</w:t>
            </w:r>
          </w:p>
        </w:tc>
      </w:tr>
      <w:tr w14:paraId="7329A3EA">
        <w:trPr>
          <w:tblCellSpacing w:w="15" w:type="dxa"/>
        </w:trPr>
        <w:tc>
          <w:tcPr>
            <w:tcW w:w="2649" w:type="dxa"/>
            <w:vAlign w:val="center"/>
          </w:tcPr>
          <w:p w14:paraId="6C955BBA">
            <w:pPr>
              <w:pStyle w:val="12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Indirect supervision required</w:t>
            </w:r>
          </w:p>
        </w:tc>
        <w:tc>
          <w:tcPr>
            <w:tcW w:w="5908" w:type="dxa"/>
            <w:vAlign w:val="center"/>
          </w:tcPr>
          <w:p w14:paraId="38ECE5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Performs the task with acceptable structure; able to identify key clinical problems but requires intermittent guidance or confirmation for critical decisions</w:t>
            </w:r>
          </w:p>
        </w:tc>
      </w:tr>
      <w:tr w14:paraId="30824186">
        <w:trPr>
          <w:tblCellSpacing w:w="15" w:type="dxa"/>
        </w:trPr>
        <w:tc>
          <w:tcPr>
            <w:tcW w:w="2649" w:type="dxa"/>
            <w:vAlign w:val="center"/>
          </w:tcPr>
          <w:p w14:paraId="62D4400D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4 - Independent practice</w:t>
            </w:r>
          </w:p>
        </w:tc>
        <w:tc>
          <w:tcPr>
            <w:tcW w:w="5908" w:type="dxa"/>
            <w:vAlign w:val="center"/>
          </w:tcPr>
          <w:p w14:paraId="03AA1F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Performs the task independently and safely; demonstrates reliable clinical reasoning and decision-making; supervision is available but not required for routine cases</w:t>
            </w:r>
          </w:p>
        </w:tc>
      </w:tr>
      <w:tr w14:paraId="3926EFD6">
        <w:trPr>
          <w:tblCellSpacing w:w="15" w:type="dxa"/>
        </w:trPr>
        <w:tc>
          <w:tcPr>
            <w:tcW w:w="2649" w:type="dxa"/>
            <w:vAlign w:val="center"/>
          </w:tcPr>
          <w:p w14:paraId="18D29D4F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5 - Supervises others</w:t>
            </w:r>
          </w:p>
        </w:tc>
        <w:tc>
          <w:tcPr>
            <w:tcW w:w="5908" w:type="dxa"/>
            <w:vAlign w:val="center"/>
          </w:tcPr>
          <w:p w14:paraId="62E9A9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val="en-US" w:eastAsia="zh-CN" w:bidi="ar"/>
              </w:rPr>
              <w:t>Demonstrates advanced competence; able to supervise, guide, or teach junior learners in similar clinical tasks; articulates reasoning clearly and anticipates potential risks</w:t>
            </w:r>
          </w:p>
        </w:tc>
      </w:tr>
    </w:tbl>
    <w:p w14:paraId="5CC80C32">
      <w:pPr>
        <w:widowControl/>
        <w:jc w:val="left"/>
        <w:rPr>
          <w:rFonts w:ascii="Times New Roman" w:hAnsi="Times New Roman" w:eastAsia="宋体" w:cs="Times New Roman"/>
          <w:kern w:val="0"/>
          <w:sz w:val="24"/>
        </w:rPr>
      </w:pPr>
    </w:p>
    <w:p w14:paraId="4DFE6D86">
      <w:pPr>
        <w:widowControl/>
        <w:jc w:val="left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B3.2 Faculty Global Competency Rating</w:t>
      </w:r>
    </w:p>
    <w:tbl>
      <w:tblPr>
        <w:tblStyle w:val="5"/>
        <w:tblW w:w="8647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94"/>
        <w:gridCol w:w="5953"/>
      </w:tblGrid>
      <w:tr w14:paraId="031CD149">
        <w:trPr>
          <w:tblCellSpacing w:w="15" w:type="dxa"/>
        </w:trPr>
        <w:tc>
          <w:tcPr>
            <w:tcW w:w="2649" w:type="dxa"/>
            <w:vAlign w:val="center"/>
          </w:tcPr>
          <w:p w14:paraId="3EF2B47B">
            <w:pPr>
              <w:pStyle w:val="12"/>
              <w:widowControl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Not entrustable</w:t>
            </w:r>
          </w:p>
        </w:tc>
        <w:tc>
          <w:tcPr>
            <w:tcW w:w="5908" w:type="dxa"/>
            <w:vAlign w:val="center"/>
          </w:tcPr>
          <w:p w14:paraId="0002B66B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Performance is unsafe or disorganized; lacks essential clinical reasoning and decision-making ability; unable to integrate clinical information coherently</w:t>
            </w:r>
          </w:p>
        </w:tc>
      </w:tr>
      <w:tr w14:paraId="06AEE9ED">
        <w:trPr>
          <w:tblCellSpacing w:w="15" w:type="dxa"/>
        </w:trPr>
        <w:tc>
          <w:tcPr>
            <w:tcW w:w="2649" w:type="dxa"/>
            <w:vAlign w:val="center"/>
          </w:tcPr>
          <w:p w14:paraId="039589A8">
            <w:pPr>
              <w:pStyle w:val="12"/>
              <w:widowControl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Marginally entrustable</w:t>
            </w:r>
          </w:p>
        </w:tc>
        <w:tc>
          <w:tcPr>
            <w:tcW w:w="5908" w:type="dxa"/>
            <w:vAlign w:val="center"/>
          </w:tcPr>
          <w:p w14:paraId="1ACEB2D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Performance shows major gaps in reasoning or prioritization; frequent faculty intervention required to prevent diagnostic or management errors</w:t>
            </w:r>
          </w:p>
        </w:tc>
      </w:tr>
      <w:tr w14:paraId="6654CF1F">
        <w:trPr>
          <w:tblCellSpacing w:w="15" w:type="dxa"/>
        </w:trPr>
        <w:tc>
          <w:tcPr>
            <w:tcW w:w="2649" w:type="dxa"/>
            <w:vAlign w:val="center"/>
          </w:tcPr>
          <w:p w14:paraId="7F50CF15">
            <w:pPr>
              <w:pStyle w:val="12"/>
              <w:widowControl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Conditionally entrustable</w:t>
            </w:r>
          </w:p>
        </w:tc>
        <w:tc>
          <w:tcPr>
            <w:tcW w:w="5908" w:type="dxa"/>
            <w:vAlign w:val="center"/>
          </w:tcPr>
          <w:p w14:paraId="5A255C5A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Performance is generally acceptable but lacks consistency; able to complete tasks under supervision; oversight required to ensure patient safety</w:t>
            </w:r>
          </w:p>
        </w:tc>
      </w:tr>
      <w:tr w14:paraId="7ACFB256">
        <w:trPr>
          <w:tblCellSpacing w:w="15" w:type="dxa"/>
        </w:trPr>
        <w:tc>
          <w:tcPr>
            <w:tcW w:w="2649" w:type="dxa"/>
            <w:vAlign w:val="center"/>
          </w:tcPr>
          <w:p w14:paraId="5E9ABDB7">
            <w:pPr>
              <w:pStyle w:val="12"/>
              <w:widowControl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Entrustable</w:t>
            </w:r>
          </w:p>
        </w:tc>
        <w:tc>
          <w:tcPr>
            <w:tcW w:w="5908" w:type="dxa"/>
            <w:vAlign w:val="center"/>
          </w:tcPr>
          <w:p w14:paraId="716CED12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Performance is reliable, organized, and safe; demonstrates sound clinical judgment; capable of independent practice in routine cases</w:t>
            </w:r>
          </w:p>
        </w:tc>
      </w:tr>
      <w:tr w14:paraId="0AF75173">
        <w:trPr>
          <w:tblCellSpacing w:w="15" w:type="dxa"/>
        </w:trPr>
        <w:tc>
          <w:tcPr>
            <w:tcW w:w="2649" w:type="dxa"/>
            <w:vAlign w:val="center"/>
          </w:tcPr>
          <w:p w14:paraId="0CF9958A">
            <w:pPr>
              <w:pStyle w:val="12"/>
              <w:widowControl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Highly entrustable</w:t>
            </w:r>
          </w:p>
        </w:tc>
        <w:tc>
          <w:tcPr>
            <w:tcW w:w="5908" w:type="dxa"/>
            <w:vAlign w:val="center"/>
          </w:tcPr>
          <w:p w14:paraId="5DEA9231">
            <w:pPr>
              <w:widowControl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val="en-US" w:eastAsia="zh-CN"/>
              </w:rPr>
              <w:t>Performance is consistently excellent; demonstrates mature clinical judgment, strong risk awareness, and high professional reliability; faculty would confidently entrust independent management</w:t>
            </w:r>
            <w:bookmarkStart w:id="3" w:name="_GoBack"/>
            <w:bookmarkEnd w:id="3"/>
          </w:p>
        </w:tc>
      </w:tr>
    </w:tbl>
    <w:p w14:paraId="4D25946C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 w14:paraId="23B3C029">
      <w:pPr>
        <w:widowControl/>
        <w:spacing w:before="100" w:beforeAutospacing="1" w:after="100" w:afterAutospacing="1"/>
        <w:jc w:val="left"/>
        <w:outlineLvl w:val="1"/>
        <w:rPr>
          <w:rFonts w:ascii="Times New Roman" w:hAnsi="Times New Roman" w:eastAsia="宋体" w:cs="Times New Roman"/>
          <w:b/>
          <w:bCs/>
          <w:kern w:val="0"/>
          <w:sz w:val="24"/>
        </w:rPr>
      </w:pPr>
    </w:p>
    <w:p w14:paraId="3B8EB30B">
      <w:pPr>
        <w:widowControl/>
        <w:spacing w:before="100" w:beforeAutospacing="1" w:after="100" w:afterAutospacing="1"/>
        <w:jc w:val="left"/>
        <w:outlineLvl w:val="1"/>
        <w:rPr>
          <w:rFonts w:hint="eastAsia" w:ascii="Times New Roman" w:hAnsi="Times New Roman" w:eastAsia="宋体" w:cs="Times New Roman"/>
          <w:b/>
          <w:bCs/>
          <w:kern w:val="0"/>
          <w:sz w:val="24"/>
        </w:rPr>
      </w:pPr>
    </w:p>
    <w:tbl>
      <w:tblPr>
        <w:tblStyle w:val="5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61"/>
        <w:gridCol w:w="649"/>
      </w:tblGrid>
      <w:tr w14:paraId="471C2DB6">
        <w:trPr>
          <w:tblHeader/>
          <w:tblCellSpacing w:w="15" w:type="dxa"/>
        </w:trPr>
        <w:tc>
          <w:tcPr>
            <w:tcW w:w="0" w:type="auto"/>
            <w:vAlign w:val="center"/>
          </w:tcPr>
          <w:p w14:paraId="5C3F7ACD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Domain</w:t>
            </w:r>
          </w:p>
        </w:tc>
        <w:tc>
          <w:tcPr>
            <w:tcW w:w="0" w:type="auto"/>
            <w:vAlign w:val="center"/>
          </w:tcPr>
          <w:p w14:paraId="0A570309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</w:rPr>
              <w:t>Score</w:t>
            </w:r>
          </w:p>
        </w:tc>
      </w:tr>
      <w:tr w14:paraId="56B9D14C">
        <w:trPr>
          <w:tblCellSpacing w:w="15" w:type="dxa"/>
        </w:trPr>
        <w:tc>
          <w:tcPr>
            <w:tcW w:w="0" w:type="auto"/>
            <w:vAlign w:val="center"/>
          </w:tcPr>
          <w:p w14:paraId="1F1276DC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bookmarkStart w:id="2" w:name="_Hlk217060879"/>
            <w:r>
              <w:rPr>
                <w:rFonts w:ascii="Times New Roman" w:hAnsi="Times New Roman" w:eastAsia="宋体" w:cs="Times New Roman"/>
                <w:kern w:val="0"/>
                <w:sz w:val="24"/>
              </w:rPr>
              <w:t>Entrustable Professional Activity (EPA) level</w:t>
            </w:r>
          </w:p>
        </w:tc>
        <w:tc>
          <w:tcPr>
            <w:tcW w:w="0" w:type="auto"/>
            <w:vAlign w:val="center"/>
          </w:tcPr>
          <w:p w14:paraId="2266A44D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1–5</w:t>
            </w:r>
          </w:p>
        </w:tc>
      </w:tr>
      <w:bookmarkEnd w:id="2"/>
      <w:tr w14:paraId="32A08A71">
        <w:trPr>
          <w:tblCellSpacing w:w="15" w:type="dxa"/>
        </w:trPr>
        <w:tc>
          <w:tcPr>
            <w:tcW w:w="0" w:type="auto"/>
            <w:vAlign w:val="center"/>
          </w:tcPr>
          <w:p w14:paraId="319F3AB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Faculty global competency rating</w:t>
            </w:r>
          </w:p>
        </w:tc>
        <w:tc>
          <w:tcPr>
            <w:tcW w:w="0" w:type="auto"/>
            <w:vAlign w:val="center"/>
          </w:tcPr>
          <w:p w14:paraId="449C1363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1–5</w:t>
            </w:r>
          </w:p>
        </w:tc>
      </w:tr>
    </w:tbl>
    <w:p w14:paraId="53EBE3D8"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Total score (Summative Assessment A): 0–42</w:t>
      </w:r>
    </w:p>
    <w:p w14:paraId="2E368A69">
      <w:pPr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Lantinghei TC Extralight">
    <w:panose1 w:val="03000509000000000000"/>
    <w:charset w:val="88"/>
    <w:family w:val="auto"/>
    <w:pitch w:val="default"/>
    <w:sig w:usb0="00000001" w:usb1="080E0000" w:usb2="00000000" w:usb3="00000000" w:csb0="00100000" w:csb1="00000000"/>
  </w:font>
  <w:font w:name="STHeiti Light">
    <w:panose1 w:val="02010600040101010101"/>
    <w:charset w:val="86"/>
    <w:family w:val="auto"/>
    <w:pitch w:val="default"/>
    <w:sig w:usb0="00000287" w:usb1="080F0000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D76B7"/>
    <w:multiLevelType w:val="multilevel"/>
    <w:tmpl w:val="011D76B7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B9D1E0F"/>
    <w:multiLevelType w:val="multilevel"/>
    <w:tmpl w:val="4B9D1E0F"/>
    <w:lvl w:ilvl="0" w:tentative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CE"/>
    <w:rsid w:val="00003D92"/>
    <w:rsid w:val="000056ED"/>
    <w:rsid w:val="0003772B"/>
    <w:rsid w:val="00050A73"/>
    <w:rsid w:val="00050D3B"/>
    <w:rsid w:val="00052784"/>
    <w:rsid w:val="00080156"/>
    <w:rsid w:val="0008635F"/>
    <w:rsid w:val="00093AF6"/>
    <w:rsid w:val="000C6C0E"/>
    <w:rsid w:val="00107E0C"/>
    <w:rsid w:val="001337DA"/>
    <w:rsid w:val="00136A5D"/>
    <w:rsid w:val="00160B30"/>
    <w:rsid w:val="00180717"/>
    <w:rsid w:val="001D777B"/>
    <w:rsid w:val="001F4EB8"/>
    <w:rsid w:val="0020598B"/>
    <w:rsid w:val="002321B1"/>
    <w:rsid w:val="002A70AC"/>
    <w:rsid w:val="002B7CEC"/>
    <w:rsid w:val="002D22E7"/>
    <w:rsid w:val="002D7879"/>
    <w:rsid w:val="002E5623"/>
    <w:rsid w:val="002F3A14"/>
    <w:rsid w:val="00320DB7"/>
    <w:rsid w:val="00332F4A"/>
    <w:rsid w:val="00344754"/>
    <w:rsid w:val="00366230"/>
    <w:rsid w:val="003E155E"/>
    <w:rsid w:val="003F47B4"/>
    <w:rsid w:val="00402F20"/>
    <w:rsid w:val="00442DB6"/>
    <w:rsid w:val="004A3ECE"/>
    <w:rsid w:val="004E0C1C"/>
    <w:rsid w:val="004E1A11"/>
    <w:rsid w:val="004F66B9"/>
    <w:rsid w:val="004F6B5F"/>
    <w:rsid w:val="00502D65"/>
    <w:rsid w:val="00514585"/>
    <w:rsid w:val="005379C6"/>
    <w:rsid w:val="005A0DE6"/>
    <w:rsid w:val="005A51E2"/>
    <w:rsid w:val="005E5834"/>
    <w:rsid w:val="00607D69"/>
    <w:rsid w:val="006116EA"/>
    <w:rsid w:val="00616E95"/>
    <w:rsid w:val="0064057A"/>
    <w:rsid w:val="00655356"/>
    <w:rsid w:val="00657B67"/>
    <w:rsid w:val="006649A2"/>
    <w:rsid w:val="006A1131"/>
    <w:rsid w:val="006E218F"/>
    <w:rsid w:val="006F647F"/>
    <w:rsid w:val="00700BC3"/>
    <w:rsid w:val="00723E83"/>
    <w:rsid w:val="007252D6"/>
    <w:rsid w:val="007B357B"/>
    <w:rsid w:val="007C4466"/>
    <w:rsid w:val="007F2234"/>
    <w:rsid w:val="00814B78"/>
    <w:rsid w:val="00815E1B"/>
    <w:rsid w:val="008203AB"/>
    <w:rsid w:val="00846837"/>
    <w:rsid w:val="008B4DDE"/>
    <w:rsid w:val="008D0629"/>
    <w:rsid w:val="008F7677"/>
    <w:rsid w:val="009152F0"/>
    <w:rsid w:val="00947BF4"/>
    <w:rsid w:val="00970050"/>
    <w:rsid w:val="00984E04"/>
    <w:rsid w:val="009977E5"/>
    <w:rsid w:val="009B769F"/>
    <w:rsid w:val="009D5B49"/>
    <w:rsid w:val="009E01E7"/>
    <w:rsid w:val="00A01755"/>
    <w:rsid w:val="00A15269"/>
    <w:rsid w:val="00A15B5B"/>
    <w:rsid w:val="00A23097"/>
    <w:rsid w:val="00A23107"/>
    <w:rsid w:val="00A40AAD"/>
    <w:rsid w:val="00A47E3F"/>
    <w:rsid w:val="00A63793"/>
    <w:rsid w:val="00A64203"/>
    <w:rsid w:val="00AC2F4C"/>
    <w:rsid w:val="00AD5BE7"/>
    <w:rsid w:val="00AE1FC4"/>
    <w:rsid w:val="00B25B63"/>
    <w:rsid w:val="00B4264B"/>
    <w:rsid w:val="00B42F5E"/>
    <w:rsid w:val="00B65EAF"/>
    <w:rsid w:val="00B71BC8"/>
    <w:rsid w:val="00B859A7"/>
    <w:rsid w:val="00B86ABD"/>
    <w:rsid w:val="00B94163"/>
    <w:rsid w:val="00BE773A"/>
    <w:rsid w:val="00BE7A7F"/>
    <w:rsid w:val="00C25C0C"/>
    <w:rsid w:val="00C26AD5"/>
    <w:rsid w:val="00C30B36"/>
    <w:rsid w:val="00C61C69"/>
    <w:rsid w:val="00C92DF9"/>
    <w:rsid w:val="00CB4A15"/>
    <w:rsid w:val="00CC54FF"/>
    <w:rsid w:val="00CD1CE9"/>
    <w:rsid w:val="00CD5BA8"/>
    <w:rsid w:val="00CE48B4"/>
    <w:rsid w:val="00D216EE"/>
    <w:rsid w:val="00D32EFF"/>
    <w:rsid w:val="00D9535A"/>
    <w:rsid w:val="00D964E2"/>
    <w:rsid w:val="00DC1F5D"/>
    <w:rsid w:val="00E16EB9"/>
    <w:rsid w:val="00E34D25"/>
    <w:rsid w:val="00E6331D"/>
    <w:rsid w:val="00E67D3A"/>
    <w:rsid w:val="00E77E0A"/>
    <w:rsid w:val="00E95032"/>
    <w:rsid w:val="00EA5AA8"/>
    <w:rsid w:val="00EB1842"/>
    <w:rsid w:val="00F2719B"/>
    <w:rsid w:val="00F83BB3"/>
    <w:rsid w:val="00F87731"/>
    <w:rsid w:val="00FA301B"/>
    <w:rsid w:val="00FD5336"/>
    <w:rsid w:val="5FD7D25F"/>
    <w:rsid w:val="D75C3691"/>
    <w:rsid w:val="DDFD1A59"/>
    <w:rsid w:val="FF38F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标题 1 字符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标题 2 字符"/>
    <w:basedOn w:val="7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386</Words>
  <Characters>2205</Characters>
  <Lines>18</Lines>
  <Paragraphs>5</Paragraphs>
  <TotalTime>135</TotalTime>
  <ScaleCrop>false</ScaleCrop>
  <LinksUpToDate>false</LinksUpToDate>
  <CharactersWithSpaces>2586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2025-12-19T19:41:00Z</dcterms:created>
  <dc:creator>WPR</dc:creator>
  <cp:lastModifiedBy>Blau</cp:lastModifiedBy>
  <dcterms:modified xsi:type="dcterms:W3CDTF">2025-12-22T10:52:47Z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2C78F73DCFAF5141377C47698FBB4935_42</vt:lpwstr>
  </property>
</Properties>
</file>