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FC13">
      <w:pPr>
        <w:keepNext/>
        <w:keepLines/>
        <w:spacing w:before="340" w:after="330" w:line="576" w:lineRule="auto"/>
        <w:outlineLvl w:val="0"/>
        <w:rPr>
          <w:rFonts w:ascii="Times New Roman" w:hAnsi="Times New Roman" w:eastAsia="微软雅黑" w:cs="Times New Roman"/>
          <w:b/>
          <w:bCs/>
          <w:color w:val="000000"/>
          <w:kern w:val="44"/>
          <w:sz w:val="32"/>
          <w:szCs w:val="24"/>
          <w:lang w:val="en-US" w:eastAsia="zh-CN" w:bidi="ar-SA"/>
        </w:rPr>
      </w:pPr>
      <w:r>
        <w:rPr>
          <w:rFonts w:ascii="Times New Roman" w:hAnsi="Times New Roman" w:eastAsia="微软雅黑" w:cs="Times New Roman"/>
          <w:b/>
          <w:bCs/>
          <w:color w:val="000000"/>
          <w:kern w:val="44"/>
          <w:sz w:val="32"/>
          <w:szCs w:val="24"/>
          <w:lang w:val="en-US" w:eastAsia="zh-CN" w:bidi="ar-SA"/>
        </w:rPr>
        <w:t>Appendix</w:t>
      </w:r>
    </w:p>
    <w:p w14:paraId="4757AA14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Table S1.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Key Variables and Equations of the Coupled Processes in the Water-Sediment-Ecology-Socioeconomic Model</w:t>
      </w:r>
    </w:p>
    <w:tbl>
      <w:tblPr>
        <w:tblStyle w:val="7"/>
        <w:tblpPr w:leftFromText="180" w:rightFromText="180" w:vertAnchor="text" w:horzAnchor="page" w:tblpX="920" w:tblpY="117"/>
        <w:tblOverlap w:val="never"/>
        <w:tblW w:w="9858" w:type="dxa"/>
        <w:tblInd w:w="0" w:type="dxa"/>
        <w:tblBorders>
          <w:top w:val="none" w:color="auto" w:sz="0" w:space="0"/>
          <w:left w:val="none" w:color="auto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355"/>
        <w:gridCol w:w="1802"/>
        <w:gridCol w:w="5038"/>
      </w:tblGrid>
      <w:tr w14:paraId="54D66B0F">
        <w:tblPrEx>
          <w:tblBorders>
            <w:top w:val="none" w:color="auto" w:sz="0" w:space="0"/>
            <w:left w:val="none" w:color="auto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3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2163F270">
            <w:pPr>
              <w:jc w:val="center"/>
              <w:rPr>
                <w:rFonts w:hint="default" w:ascii="Times New Roman" w:hAnsi="Times New Roman" w:eastAsia="仿宋" w:cs="Times New Roman"/>
                <w:spacing w:val="-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Cs w:val="21"/>
                <w:lang w:val="en-US" w:eastAsia="zh-CN"/>
              </w:rPr>
              <w:t>No.</w:t>
            </w:r>
          </w:p>
        </w:tc>
        <w:tc>
          <w:tcPr>
            <w:tcW w:w="235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558E497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Parameter/Variable</w:t>
            </w:r>
          </w:p>
        </w:tc>
        <w:tc>
          <w:tcPr>
            <w:tcW w:w="1802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3A1C9C6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503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1209F99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Equation/Value</w:t>
            </w:r>
          </w:p>
        </w:tc>
      </w:tr>
      <w:tr w14:paraId="0C3B74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63" w:type="dxa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2C66BFC0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68A1F206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Birth Rate</w:t>
            </w:r>
          </w:p>
        </w:tc>
        <w:tc>
          <w:tcPr>
            <w:tcW w:w="1802" w:type="dxa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6B9D46F9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persons/year</w:t>
            </w:r>
          </w:p>
        </w:tc>
        <w:tc>
          <w:tcPr>
            <w:tcW w:w="5038" w:type="dxa"/>
            <w:tcBorders>
              <w:top w:val="single" w:color="000000" w:sz="4" w:space="0"/>
              <w:bottom w:val="nil"/>
            </w:tcBorders>
            <w:shd w:val="clear" w:color="auto" w:fill="FFFFFF"/>
            <w:vAlign w:val="center"/>
          </w:tcPr>
          <w:p w14:paraId="5FFBFC4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Population Policy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kcl_Birth_Rate(Time)</w:t>
            </w:r>
          </w:p>
        </w:tc>
      </w:tr>
      <w:tr w14:paraId="678563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F2274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2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58AD8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Death Rate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77401">
            <w:pPr>
              <w:jc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persons/year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4FCF8E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lk_Death_Rate(Time)</w:t>
            </w:r>
          </w:p>
        </w:tc>
      </w:tr>
      <w:tr w14:paraId="065FA7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B56FA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3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86C06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Rural Population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C463E">
            <w:pPr>
              <w:jc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10⁴ persons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D7DA50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Total Population - Urban Population</w:t>
            </w:r>
          </w:p>
        </w:tc>
      </w:tr>
      <w:tr w14:paraId="2193D5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1618D4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4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CD7B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Number of Births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2B0A2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10⁴ persons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B77063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Total Population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Birth Rate</w:t>
            </w:r>
          </w:p>
        </w:tc>
      </w:tr>
      <w:tr w14:paraId="499311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BC57B1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5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3AE9D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Number of Deaths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BCF77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10⁴ persons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9FE9A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Total Population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Death Rate</w:t>
            </w:r>
          </w:p>
        </w:tc>
      </w:tr>
      <w:tr w14:paraId="60C81E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34645D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6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B5512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Total Population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739DC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10⁴ persons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F67EC7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INTEG (Number of Births - Number of Deaths + Net In-migration) </w:t>
            </w:r>
          </w:p>
        </w:tc>
      </w:tr>
      <w:tr w14:paraId="61C830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702C1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7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C2E32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Watershed GDP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0233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B48E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Primary Industry Added Value + Tertiary Industry Added Value + Secondary Industry Added Value</w:t>
            </w:r>
          </w:p>
        </w:tc>
      </w:tr>
      <w:tr w14:paraId="0E4894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6CAA1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8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46EF5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Primary Industry Added Value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1A637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03C46D">
            <w:pPr>
              <w:jc w:val="center"/>
              <w:textAlignment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Forestry Value / Industrial Ratio</w:t>
            </w:r>
          </w:p>
        </w:tc>
      </w:tr>
      <w:tr w14:paraId="6A0EE3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B3557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9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BB085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Secondary Industry Added Value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D96CFC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88CAB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lk_Secondary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(Time)</w:t>
            </w:r>
          </w:p>
        </w:tc>
      </w:tr>
      <w:tr w14:paraId="369730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9FCD8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10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D4086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Tertiary Industry Added Value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507BA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75EBD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lk_Tertiary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(Time)</w:t>
            </w:r>
          </w:p>
        </w:tc>
      </w:tr>
      <w:tr w14:paraId="17C5EC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40AF7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11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5AA529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Forestry Value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B2304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4D5D1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0.0245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Forest Area + 3.067</w:t>
            </w:r>
          </w:p>
        </w:tc>
      </w:tr>
      <w:tr w14:paraId="4756E7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B2C57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12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182D6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Investment in FF&amp;AF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E833D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F43D0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Investment in Water &amp; Environment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Grain for Green Policy</w:t>
            </w:r>
          </w:p>
        </w:tc>
      </w:tr>
      <w:tr w14:paraId="775587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6A7BFA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13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C65CE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Investment in Water &amp; Environment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9AC6C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D6771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Public Utility Investment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Investment Ratio</w:t>
            </w:r>
          </w:p>
        </w:tc>
      </w:tr>
      <w:tr w14:paraId="2C2921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A2A2C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14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5A808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Investment in RG&amp;AF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E151D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CNY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1877E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Investment in Water &amp; Environment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Grain for Green Policy</w:t>
            </w:r>
          </w:p>
        </w:tc>
      </w:tr>
      <w:tr w14:paraId="4BBD9F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B153D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15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2B6F5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Increment in Forest Area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A8DED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FB427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Forest Area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Forest Area Growth Rate</w:t>
            </w:r>
          </w:p>
        </w:tc>
      </w:tr>
      <w:tr w14:paraId="2247EB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4138AA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16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AE243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Cultivated Land Area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92A49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6887E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lk_Cultivated_Land_Area(Time)</w:t>
            </w:r>
          </w:p>
        </w:tc>
      </w:tr>
      <w:tr w14:paraId="12232E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E678B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17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320F99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Grassland Area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F039C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DA978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INTE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GIncrement in Grassland Area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+ 225.679</w:t>
            </w:r>
          </w:p>
        </w:tc>
      </w:tr>
      <w:tr w14:paraId="32CAB9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22EE55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18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C0436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Forest Area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2FEA11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4558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INTEG(Increment in Forest Area + Farmland-to-Forest Area) + 65.945</w:t>
            </w:r>
          </w:p>
        </w:tc>
      </w:tr>
      <w:tr w14:paraId="211CB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534CF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19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AC123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Increment in Grassland Area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95728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1BEB2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Grassland Area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 xml:space="preserve"> Grassland Area Growth Rate</w:t>
            </w:r>
          </w:p>
        </w:tc>
      </w:tr>
      <w:tr w14:paraId="43A6D6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BC273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20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D567F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Forest &amp; Grassland Area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1FB142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541BE5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Forest Area + Grassland Area</w:t>
            </w:r>
          </w:p>
        </w:tc>
      </w:tr>
      <w:tr w14:paraId="658E9C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5F8A45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21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B49BE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Vegetation Cover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6B28A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hectares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6F8AEC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Forest &amp; Grassland Area + Cultivated Land Area</w:t>
            </w:r>
          </w:p>
        </w:tc>
      </w:tr>
      <w:tr w14:paraId="0366A8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39F813F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9E0A5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Runoff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33265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m³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B09EA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30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Precipitation-0.01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4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Vegetation Cover-0.021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1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Domestic Water Demand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+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0.00013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5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(Precipitation^2)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+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6.86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7</w:t>
            </w:r>
          </w:p>
        </w:tc>
      </w:tr>
      <w:tr w14:paraId="5C5587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5898D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23</w:t>
            </w: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A74F9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Precipitation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DD659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m³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009B3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lk_Precipitation(Time)</w:t>
            </w:r>
          </w:p>
        </w:tc>
      </w:tr>
      <w:tr w14:paraId="292EAE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8850920">
            <w:pPr>
              <w:kinsoku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2"/>
                <w:szCs w:val="21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7707B98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Sediment Load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0C444ED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10⁸ tons</w:t>
            </w:r>
          </w:p>
        </w:tc>
        <w:tc>
          <w:tcPr>
            <w:tcW w:w="50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2C63518">
            <w:pPr>
              <w:jc w:val="center"/>
              <w:textAlignment w:val="center"/>
              <w:rPr>
                <w:rFonts w:ascii="Times New Roman" w:hAnsi="Times New Roman" w:eastAsia="仿宋" w:cs="Times New Roman"/>
                <w:spacing w:val="-2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3.70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0.546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Runoff+0.00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3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Precipitation-0.004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Vegetation Cover+0.03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 xml:space="preserve">8 ×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(Runoff^2)</w:t>
            </w:r>
          </w:p>
        </w:tc>
      </w:tr>
    </w:tbl>
    <w:p w14:paraId="711EF803">
      <w:pPr>
        <w:jc w:val="center"/>
        <w:rPr>
          <w:rFonts w:ascii="Times New Roman" w:hAnsi="Times New Roman" w:eastAsia="宋体" w:cs="Times New Roman"/>
        </w:rPr>
      </w:pPr>
    </w:p>
    <w:p w14:paraId="1A087502"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Figure S1.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Precipitation projections from different climate models under the SSP2-4.5 scenario. Under the medium-emission SSP2-4.5 scenario, models including MIROC6, ACCESS-CM2, CAMS-CSM1-0, and CMCC-CM2-SR5 all project positive trends (with slopes of 0.569, 1.194, 0.693, and 0.440, respectively), while BCC-CSM2-MR exhibits a slight negative trend (slope of -0.282). The intercepts vary substantially among models, ranging from 736.766 for BCC-CSM2-MR to -2252.875 for ACCESS-CM2, indicating considerable inconsistency in the estimated baseline precipitation state across different models. Furthermore, the CAMS-CSM1-0 model shows relatively smaller parameter estimation errors (slope error ±0.694, intercept error ±1406.066), suggesting slightly higher internal consistency for this model under this specific scenario. Overall, long-term precipitation projections under the SSP2-4.5 scenario are significantly influenced by inter-model variability and parameter uncertainty. Consequently, employing a multi-model ensemble mean for assessment helps to offset biases inherent in any single model, thereby providing a more robust scientific basis for climate change adaptation and water resources planning.</w:t>
      </w:r>
    </w:p>
    <w:p w14:paraId="0FE11036">
      <w:pPr>
        <w:jc w:val="center"/>
        <w:rPr>
          <w:rFonts w:ascii="Times New Roman" w:hAnsi="Times New Roman" w:eastAsia="宋体" w:cs="Times New Roman"/>
        </w:rPr>
      </w:pPr>
    </w:p>
    <w:p w14:paraId="405B6702">
      <w:pPr>
        <w:jc w:val="center"/>
        <w:rPr>
          <w:rFonts w:ascii="Times New Roman" w:hAnsi="Times New Roman" w:eastAsia="等线" w:cs="Times New Roman"/>
          <w:color w:val="000000"/>
          <w:sz w:val="22"/>
          <w:szCs w:val="22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4140200" cy="5862320"/>
            <wp:effectExtent l="0" t="0" r="5080" b="5080"/>
            <wp:docPr id="31208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898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58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66582">
      <w:pPr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Figure S1.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Precipitation Projections from Different Modeling Institutions under the SSP2-4.5 Scenario</w:t>
      </w:r>
    </w:p>
    <w:p w14:paraId="2D8317F9"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Figure S2.</w:t>
      </w:r>
      <w:r>
        <w:rPr>
          <w:rFonts w:hint="eastAsia" w:ascii="Times New Roman" w:hAnsi="Times New Roman" w:eastAsia="宋体" w:cs="Times New Roman"/>
          <w:sz w:val="24"/>
        </w:rPr>
        <w:t xml:space="preserve"> P</w:t>
      </w:r>
      <w:r>
        <w:rPr>
          <w:rFonts w:ascii="Times New Roman" w:hAnsi="Times New Roman" w:eastAsia="宋体" w:cs="Times New Roman"/>
          <w:sz w:val="24"/>
        </w:rPr>
        <w:t>recipitation projections from different climate models under the SSP3-7.0 scenario. Under the high-emission SSP3-7.0 scenario, among the listed models, MIROC6, CanESM5, and ACCESS-CM2 all exhibit clear positive trends (with slopes of 0.368, 1.045, and 0.392, respectively). CAMS-CSM1-0 shows a weak negative trend, while the trends for CMCC-CM2-SR5 and BCC-CSM2-MR are close to zero (with slopes of 0.001 and 0.062, respectively), indicating that their projected long-term changes are extremely insignificant. The intercepts vary dramatically among the models, ranging from -1951.132 for CanESM5 to 162.780 for CMCC-CM2-SR5, highlighting fundamental disagreements in the estimated historical baseline precipitation across different models. Furthermore, the BCC-CSM2-MR model has the relatively narrowest parameter estimation error ranges (slope error ±0.575, intercept error ±1164.739), indicating a higher degree of internal consistency for this model under this specific scenario. In summary, although most models project increasing precipitation under the SSP3-7.0 scenario, the substantial inter-model variability and parameter uncertainty still dominate the long-term projections. Therefore, employing a multi-model ensemble mean for comprehensive assessment is particularly crucial to reduce reliance on any single model, obtain more robust estimates of future hydrological changes, and provide a reliable basis for climate risk adaptation under a high-emission pathway.</w:t>
      </w:r>
    </w:p>
    <w:p w14:paraId="1E04CD8B">
      <w:pPr>
        <w:rPr>
          <w:rFonts w:ascii="Times New Roman" w:hAnsi="Times New Roman" w:eastAsia="宋体" w:cs="Times New Roman"/>
          <w:sz w:val="24"/>
        </w:rPr>
      </w:pPr>
    </w:p>
    <w:p w14:paraId="785F83D6">
      <w:pPr>
        <w:tabs>
          <w:tab w:val="left" w:pos="885"/>
        </w:tabs>
        <w:rPr>
          <w:rFonts w:ascii="Times New Roman" w:hAnsi="Times New Roman" w:eastAsia="仿宋_GB2312" w:cs="Times New Roman"/>
          <w:sz w:val="24"/>
        </w:rPr>
      </w:pPr>
    </w:p>
    <w:p w14:paraId="002A959E">
      <w:pPr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drawing>
          <wp:inline distT="0" distB="0" distL="0" distR="0">
            <wp:extent cx="4140200" cy="5904865"/>
            <wp:effectExtent l="0" t="0" r="5080" b="8255"/>
            <wp:docPr id="1546711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1147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590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BE2D">
      <w:pPr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Figure S2.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Precipitation Projections from Different Modeling Institutions under the SSP3-7.0 Scenario</w:t>
      </w:r>
    </w:p>
    <w:p w14:paraId="54644970"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Figure S3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presents precipitation projection data from different climate models under the SSP5-8.5 scenario. Among the listed models, most indicate an increasing precipitation trend, includin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>g MIROC6 (slope 0.613), CanESM5 (slope 0.880), ACCESS-CM2 (slope 0.214), CMCC-CM2-SR5 (slope 1.250), and BCC-CSM2-MR (slope 0.961). In contrast, CAMS-CSM1-0 exhibits a pronounced negative trend (slope -1.105). Furthermore, the CMCC-CM2-SR5 model shows relatively smaller parameter estimation error ranges (slope error ±0.737), indicating a certain degree of internal consistency under this high-forcing scenario. In summary, although precipitation projections under the SSP5-8.5 scenario generally lean toward an increase, issues of inconsistent directional trends among models and high parameter uncertainty remain prominent. Therefore, employing a multi-model ensemble approach for comprehensive analysis helps integrate signals from different models, reduce prediction bias under extreme scenarios, and provide a more robust basis for decision-making in response to high climate risks.</w:t>
      </w:r>
    </w:p>
    <w:p w14:paraId="2A0C346F">
      <w:pPr>
        <w:ind w:firstLine="480" w:firstLineChars="200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仿宋_GB2312" w:cs="Times New Roman"/>
          <w:sz w:val="24"/>
        </w:rPr>
        <w:drawing>
          <wp:inline distT="0" distB="0" distL="0" distR="0">
            <wp:extent cx="4011295" cy="578802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57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E091">
      <w:pPr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Figure S3.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Precipitation Projections from Different Modeling Institutions under the SSP5-8.5 Scenario</w:t>
      </w:r>
    </w:p>
    <w:p w14:paraId="13C9E43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608F"/>
    <w:rsid w:val="1716691C"/>
    <w:rsid w:val="3A057993"/>
    <w:rsid w:val="414670D0"/>
    <w:rsid w:val="5B4812AC"/>
    <w:rsid w:val="6304127B"/>
    <w:rsid w:val="70A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827</Words>
  <Characters>5274</Characters>
  <Lines>0</Lines>
  <Paragraphs>0</Paragraphs>
  <TotalTime>2</TotalTime>
  <ScaleCrop>false</ScaleCrop>
  <LinksUpToDate>false</LinksUpToDate>
  <CharactersWithSpaces>5993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2026-02-03T08:17:00Z</dcterms:created>
  <dc:creator>brand</dc:creator>
  <cp:lastModifiedBy>Geng NIU</cp:lastModifiedBy>
  <dcterms:modified xsi:type="dcterms:W3CDTF">2026-02-07T15:17:11Z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eyJoZGlkIjoiYmMxNWQzN2FkOTU2YmRjNTNlMTE3MzZkZjVhYzcwOWUiLCJ1c2VySWQiOiIxNDEzMDI2Mzk0In0=</vt:lpwstr>
  </property>
  <property fmtid="{D5CDD505-2E9C-101B-9397-08002B2CF9AE}" pid="4" name="ICV">
    <vt:lpwstr>8B3694CD309748F680B436E984A57151_12</vt:lpwstr>
  </property>
</Properties>
</file>