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8057B" w14:textId="77777777" w:rsidR="001C1B37" w:rsidRDefault="001C1B37" w:rsidP="001C1B37">
      <w:pPr>
        <w:pStyle w:val="Heading1"/>
      </w:pPr>
      <w:r>
        <w:t>Appendices</w:t>
      </w:r>
    </w:p>
    <w:p w14:paraId="24B73912" w14:textId="77777777" w:rsidR="001C1B37" w:rsidRDefault="001C1B37" w:rsidP="001C1B37">
      <w:pPr>
        <w:pStyle w:val="Heading2"/>
      </w:pPr>
      <w:r>
        <w:t>Appendix A: List of Sample Companies</w:t>
      </w:r>
    </w:p>
    <w:p w14:paraId="241524E8" w14:textId="77777777" w:rsidR="001C1B37" w:rsidRDefault="001C1B37" w:rsidP="001C1B37">
      <w:r>
        <w:t>Table A1 presents the complete list of 28 NSE-listed companies included in this study, organized by sector with their respective market capitalization categories.</w:t>
      </w:r>
    </w:p>
    <w:p w14:paraId="5A35A90D" w14:textId="77777777" w:rsidR="001C1B37" w:rsidRDefault="001C1B37" w:rsidP="001C1B37">
      <w:pPr>
        <w:pStyle w:val="Heading2"/>
      </w:pPr>
      <w:r>
        <w:t>Appendix B: List of Abbreviations</w:t>
      </w:r>
    </w:p>
    <w:p w14:paraId="57A35095" w14:textId="77777777" w:rsidR="001C1B37" w:rsidRDefault="001C1B37" w:rsidP="001C1B37">
      <w:r>
        <w:t>BRR - Business Responsibility Report</w:t>
      </w:r>
    </w:p>
    <w:p w14:paraId="2F573D72" w14:textId="77777777" w:rsidR="001C1B37" w:rsidRDefault="001C1B37" w:rsidP="001C1B37">
      <w:r>
        <w:t>BRSR - Business Responsibility and Sustainability Reporting</w:t>
      </w:r>
    </w:p>
    <w:p w14:paraId="40DD05AC" w14:textId="77777777" w:rsidR="001C1B37" w:rsidRDefault="001C1B37" w:rsidP="001C1B37">
      <w:r>
        <w:t>CRISIL - Credit Rating Information Services of India Limited</w:t>
      </w:r>
    </w:p>
    <w:p w14:paraId="7A2F675B" w14:textId="77777777" w:rsidR="001C1B37" w:rsidRDefault="001C1B37" w:rsidP="001C1B37">
      <w:r>
        <w:t>E-S-G - Environmental-Social-Governance</w:t>
      </w:r>
    </w:p>
    <w:p w14:paraId="079D0007" w14:textId="77777777" w:rsidR="001C1B37" w:rsidRDefault="001C1B37" w:rsidP="001C1B37">
      <w:r>
        <w:t>ESG - Environmental, Social, and Governance</w:t>
      </w:r>
    </w:p>
    <w:p w14:paraId="2D16CAA9" w14:textId="77777777" w:rsidR="001C1B37" w:rsidRDefault="001C1B37" w:rsidP="001C1B37">
      <w:r>
        <w:t>FY - Financial Year</w:t>
      </w:r>
    </w:p>
    <w:p w14:paraId="5E697F1F" w14:textId="77777777" w:rsidR="001C1B37" w:rsidRDefault="001C1B37" w:rsidP="001C1B37">
      <w:r>
        <w:t>ICAI - Institute of Chartered Accountants of India</w:t>
      </w:r>
    </w:p>
    <w:p w14:paraId="103EBE47" w14:textId="77777777" w:rsidR="001C1B37" w:rsidRDefault="001C1B37" w:rsidP="001C1B37">
      <w:r>
        <w:t>MCA - Ministry of Corporate Affairs</w:t>
      </w:r>
    </w:p>
    <w:p w14:paraId="5216607D" w14:textId="77777777" w:rsidR="001C1B37" w:rsidRDefault="001C1B37" w:rsidP="001C1B37">
      <w:r>
        <w:t>NSE - National Stock Exchange of India</w:t>
      </w:r>
    </w:p>
    <w:p w14:paraId="3F808C2D" w14:textId="77777777" w:rsidR="001C1B37" w:rsidRDefault="001C1B37" w:rsidP="001C1B37">
      <w:r>
        <w:t>SEBI - Securities and Exchange Board of India</w:t>
      </w:r>
    </w:p>
    <w:p w14:paraId="418E8259" w14:textId="77777777" w:rsidR="001C1B37" w:rsidRDefault="001C1B37" w:rsidP="001C1B37">
      <w:r>
        <w:t>SRMM - Sustainability Reporting Maturity Model</w:t>
      </w:r>
    </w:p>
    <w:p w14:paraId="132B6EAB" w14:textId="77777777" w:rsidR="001C1B37" w:rsidRDefault="001C1B37" w:rsidP="001C1B37">
      <w:pPr>
        <w:pStyle w:val="Heading2"/>
      </w:pPr>
      <w:r>
        <w:t>Appendix C: ICAI SRMM 2.0 Detailed Scoring Rubric</w:t>
      </w:r>
    </w:p>
    <w:p w14:paraId="044163E7" w14:textId="77777777" w:rsidR="001C1B37" w:rsidRDefault="001C1B37" w:rsidP="001C1B37">
      <w:r>
        <w:t>The complete scoring rubric shows all 300 points distributed across Environmental (100), Social (100), and Governance (100) dimensions, with sub-component weightings and scoring criteria for each indicator.</w:t>
      </w:r>
    </w:p>
    <w:p w14:paraId="5BA236DC" w14:textId="77777777" w:rsidR="001C1B37" w:rsidRDefault="001C1B37" w:rsidP="001C1B37">
      <w:pPr>
        <w:pStyle w:val="Heading2"/>
      </w:pPr>
      <w:r>
        <w:lastRenderedPageBreak/>
        <w:t>Appendix D: Statistical Calculations and Formulas</w:t>
      </w:r>
    </w:p>
    <w:p w14:paraId="791F7A9F" w14:textId="77777777" w:rsidR="001C1B37" w:rsidRDefault="001C1B37" w:rsidP="001C1B37">
      <w:pPr>
        <w:pStyle w:val="Heading3"/>
      </w:pPr>
      <w:r>
        <w:t>D.1 ICAI SRMM 2.0 Scoring Formula</w:t>
      </w:r>
    </w:p>
    <w:p w14:paraId="47B02AC2" w14:textId="77777777" w:rsidR="001C1B37" w:rsidRDefault="001C1B37" w:rsidP="001C1B37">
      <w:r>
        <w:t>Overall BRSR Score (%) = (Total Points Achieved / Maximum Possible Points) × 100</w:t>
      </w:r>
    </w:p>
    <w:p w14:paraId="4C653E33" w14:textId="77777777" w:rsidR="001C1B37" w:rsidRDefault="001C1B37" w:rsidP="001C1B37">
      <w:r>
        <w:t>Where Maximum Possible Points = 300</w:t>
      </w:r>
    </w:p>
    <w:p w14:paraId="63100FAE" w14:textId="77777777" w:rsidR="001C1B37" w:rsidRDefault="001C1B37" w:rsidP="001C1B37">
      <w:pPr>
        <w:pStyle w:val="Heading3"/>
      </w:pPr>
      <w:r>
        <w:t>D.2 Descriptive Statistics</w:t>
      </w:r>
    </w:p>
    <w:p w14:paraId="7A36684A" w14:textId="77777777" w:rsidR="001C1B37" w:rsidRDefault="001C1B37" w:rsidP="001C1B37">
      <w:r>
        <w:t>Mean: μ = (Σxi) / n</w:t>
      </w:r>
    </w:p>
    <w:p w14:paraId="144BD62C" w14:textId="77777777" w:rsidR="001C1B37" w:rsidRDefault="001C1B37" w:rsidP="001C1B37">
      <w:r>
        <w:t>Standard Deviation: σ = √[Σ(xi - μ)² / n]</w:t>
      </w:r>
    </w:p>
    <w:p w14:paraId="3C64100E" w14:textId="77777777" w:rsidR="001C1B37" w:rsidRDefault="001C1B37" w:rsidP="001C1B37">
      <w:r>
        <w:t>Coefficient of Variation: CV = (σ / μ) × 100%</w:t>
      </w:r>
    </w:p>
    <w:p w14:paraId="65C8BA28" w14:textId="77777777" w:rsidR="001C1B37" w:rsidRDefault="001C1B37" w:rsidP="001C1B37">
      <w:pPr>
        <w:pStyle w:val="Heading3"/>
      </w:pPr>
      <w:r>
        <w:t>D.3 Correlation Analysis</w:t>
      </w:r>
    </w:p>
    <w:p w14:paraId="609A7EE6" w14:textId="77777777" w:rsidR="001C1B37" w:rsidRDefault="001C1B37" w:rsidP="001C1B37">
      <w:r>
        <w:t>Pearson Correlation Coefficient: r = Σ[(xi - x̄)(yi - ȳ)] / √[Σ(xi - x̄)² × Σ(yi - ȳ)²]</w:t>
      </w:r>
    </w:p>
    <w:p w14:paraId="22032CC0" w14:textId="77777777" w:rsidR="001C1B37" w:rsidRDefault="001C1B37" w:rsidP="001C1B37">
      <w:r>
        <w:t>Coefficient of Determination: R² = r²</w:t>
      </w:r>
    </w:p>
    <w:p w14:paraId="6ED88A81" w14:textId="77777777" w:rsidR="001C1B37" w:rsidRDefault="001C1B37" w:rsidP="001C1B37">
      <w:pPr>
        <w:pStyle w:val="Heading3"/>
      </w:pPr>
      <w:r>
        <w:t>D.4 Hypothesis Testing</w:t>
      </w:r>
    </w:p>
    <w:p w14:paraId="04465F05" w14:textId="77777777" w:rsidR="001C1B37" w:rsidRDefault="001C1B37" w:rsidP="001C1B37">
      <w:r>
        <w:t>Paired t-test: t = (x̄D) / (sD / √n)</w:t>
      </w:r>
    </w:p>
    <w:p w14:paraId="1AB7E284" w14:textId="77777777" w:rsidR="001C1B37" w:rsidRDefault="001C1B37" w:rsidP="001C1B37">
      <w:r>
        <w:t>Cohen's d Effect Size: d = (M1 - M2) / SD_pooled</w:t>
      </w:r>
    </w:p>
    <w:p w14:paraId="1B798F10" w14:textId="77777777" w:rsidR="001C1B37" w:rsidRDefault="001C1B37" w:rsidP="001C1B37">
      <w:r>
        <w:t>ANOVA F-statistic: F = MS_between / MS_within</w:t>
      </w:r>
    </w:p>
    <w:p w14:paraId="217219A1" w14:textId="77777777" w:rsidR="001C1B37" w:rsidRDefault="001C1B37" w:rsidP="001C1B37">
      <w:pPr>
        <w:pStyle w:val="Heading2"/>
      </w:pPr>
      <w:r>
        <w:t>Appendix E: Inter-Rater Reliability Statistics</w:t>
      </w:r>
    </w:p>
    <w:p w14:paraId="314DED89" w14:textId="77777777" w:rsidR="001C1B37" w:rsidRDefault="001C1B37" w:rsidP="001C1B37">
      <w:r>
        <w:t>Inter-Rater Reliability Results: Overall Kappa (κ): 0.89 (Strong Agreement); Environmental Dimension: κ = 0.87; Social Dimension: κ = 0.91; Governance Dimension: κ = 0.89</w:t>
      </w:r>
    </w:p>
    <w:p w14:paraId="159E7584" w14:textId="77777777" w:rsidR="001C1B37" w:rsidRDefault="001C1B37" w:rsidP="001C1B37">
      <w:pPr>
        <w:pStyle w:val="Heading2"/>
      </w:pPr>
      <w:r>
        <w:t>Appendix F: Sectoral ANOVA Detailed Results</w:t>
      </w:r>
    </w:p>
    <w:p w14:paraId="7B0F0D22" w14:textId="77777777" w:rsidR="001C1B37" w:rsidRDefault="001C1B37" w:rsidP="001C1B37">
      <w:r>
        <w:t>Complete ANOVA results for sectoral performance differences: F(7, 20) = 8.45, p &lt; 0.001, η² = 0.75 (large effect)</w:t>
      </w:r>
    </w:p>
    <w:p w14:paraId="0B77DCCC" w14:textId="77777777" w:rsidR="001C1B37" w:rsidRDefault="001C1B37" w:rsidP="001C1B37">
      <w:pPr>
        <w:pStyle w:val="Heading2"/>
      </w:pPr>
      <w:r>
        <w:lastRenderedPageBreak/>
        <w:t>Appendix G: CRISIL ESG Rating Validation - Detailed Analysis</w:t>
      </w:r>
    </w:p>
    <w:p w14:paraId="105E32F0" w14:textId="77777777" w:rsidR="001C1B37" w:rsidRDefault="001C1B37" w:rsidP="001C1B37">
      <w:r>
        <w:t>CRISIL ESG Rating Methodology Overview and correlation analysis by financial year: FY 2021-22 (r = 0.901), FY 2022-23 (r = 0.928), FY 2023-24 (r = 0.944)</w:t>
      </w:r>
    </w:p>
    <w:p w14:paraId="08D4D6D7" w14:textId="77777777" w:rsidR="001C1B37" w:rsidRDefault="001C1B37" w:rsidP="001C1B37">
      <w:pPr>
        <w:pStyle w:val="Heading2"/>
      </w:pPr>
      <w:r>
        <w:t>Appendix H: Critical Disclosure Gaps - Detailed Analysis</w:t>
      </w:r>
    </w:p>
    <w:p w14:paraId="6842ABAD" w14:textId="77777777" w:rsidR="001C1B37" w:rsidRDefault="001C1B37" w:rsidP="001C1B37">
      <w:r>
        <w:t>Comprehensive breakdown of five critical disclosure gaps: Scope 3 Emissions (70% lacking), Materiality Assessment (65% inadequate), Climate Transition Planning (80% insufficient), Third-Party Assurance (25% only), ESG-Remuneration Linkage (35% only)</w:t>
      </w:r>
    </w:p>
    <w:p w14:paraId="60C1072E" w14:textId="77777777" w:rsidR="001C1B37" w:rsidRDefault="001C1B37" w:rsidP="001C1B37">
      <w:pPr>
        <w:pStyle w:val="Heading1"/>
      </w:pPr>
      <w:r>
        <w:t>Competing Interests</w:t>
      </w:r>
    </w:p>
    <w:p w14:paraId="683D48CC" w14:textId="77777777" w:rsidR="001C1B37" w:rsidRDefault="001C1B37" w:rsidP="001C1B37">
      <w:r>
        <w:t>The authors declare that they have no known competing financial interests or personal relationships that could have appeared to influence the work reported in this paper.</w:t>
      </w:r>
    </w:p>
    <w:p w14:paraId="121EB931" w14:textId="77777777" w:rsidR="001C1B37" w:rsidRDefault="001C1B37" w:rsidP="001C1B37">
      <w:pPr>
        <w:pStyle w:val="Heading1"/>
      </w:pPr>
      <w:r>
        <w:t>Funding</w:t>
      </w:r>
    </w:p>
    <w:p w14:paraId="3FB342AD" w14:textId="77777777" w:rsidR="001C1B37" w:rsidRDefault="001C1B37" w:rsidP="001C1B37">
      <w:r>
        <w:t>This research did not receive any specific grant from funding agencies in the public, commercial, or not-for-profit sectors.</w:t>
      </w:r>
    </w:p>
    <w:p w14:paraId="5B11B153" w14:textId="77777777" w:rsidR="001C1B37" w:rsidRDefault="001C1B37" w:rsidP="001C1B37">
      <w:pPr>
        <w:pStyle w:val="Heading1"/>
      </w:pPr>
      <w:r>
        <w:t>Data Availability</w:t>
      </w:r>
    </w:p>
    <w:p w14:paraId="50CCAC1F" w14:textId="77777777" w:rsidR="001C1B37" w:rsidRDefault="001C1B37" w:rsidP="001C1B37">
      <w:r>
        <w:t>The data that support the findings of this study are available from the corresponding author upon reasonable request. All company BRSR reports analyzed in this study are publicly available through the NSE and BSE websites.</w:t>
      </w:r>
    </w:p>
    <w:p w14:paraId="56F3FB79" w14:textId="77777777" w:rsidR="001C1B37" w:rsidRDefault="001C1B37" w:rsidP="001C1B37">
      <w:pPr>
        <w:pStyle w:val="Heading1"/>
      </w:pPr>
      <w:r>
        <w:t>AI Tools Disclosure</w:t>
      </w:r>
    </w:p>
    <w:p w14:paraId="69034578" w14:textId="77777777" w:rsidR="001C1B37" w:rsidRDefault="001C1B37" w:rsidP="001C1B37">
      <w:r>
        <w:t xml:space="preserve">The authors declare that AI and AI-assisted technologies were used in the preparation of this manuscript as follows: AI tools (specifically Claude by Anthropic) were utilized for literature review organization, language editing, grammatical corrections, and formatting assistance. All </w:t>
      </w:r>
      <w:r>
        <w:lastRenderedPageBreak/>
        <w:t>research design, data collection, analysis, interpretation, and substantive content are the original work of the authors.</w:t>
      </w:r>
    </w:p>
    <w:p w14:paraId="37AB94B2"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B37"/>
    <w:rsid w:val="001C1B37"/>
    <w:rsid w:val="00341BFF"/>
    <w:rsid w:val="005C0D39"/>
    <w:rsid w:val="0070406C"/>
    <w:rsid w:val="00724754"/>
    <w:rsid w:val="00C321FA"/>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01074"/>
  <w15:chartTrackingRefBased/>
  <w15:docId w15:val="{9E4A24C9-41EF-45DB-B52C-A722EB761B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C1B37"/>
    <w:pPr>
      <w:spacing w:after="200" w:line="480" w:lineRule="auto"/>
      <w:jc w:val="both"/>
    </w:pPr>
    <w:rPr>
      <w:rFonts w:ascii="Times New Roman" w:eastAsiaTheme="minorEastAsia" w:hAnsi="Times New Roman"/>
      <w:kern w:val="0"/>
      <w:szCs w:val="22"/>
      <w:lang w:val="en-US"/>
      <w14:ligatures w14:val="none"/>
    </w:rPr>
  </w:style>
  <w:style w:type="paragraph" w:styleId="Heading1">
    <w:name w:val="heading 1"/>
    <w:basedOn w:val="Normal"/>
    <w:next w:val="Normal"/>
    <w:link w:val="Heading1Char"/>
    <w:uiPriority w:val="9"/>
    <w:qFormat/>
    <w:rsid w:val="001C1B37"/>
    <w:pPr>
      <w:keepNext/>
      <w:keepLines/>
      <w:spacing w:before="360" w:after="80" w:line="278" w:lineRule="auto"/>
      <w:jc w:val="left"/>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unhideWhenUsed/>
    <w:qFormat/>
    <w:rsid w:val="001C1B37"/>
    <w:pPr>
      <w:keepNext/>
      <w:keepLines/>
      <w:spacing w:before="160" w:after="80" w:line="278" w:lineRule="auto"/>
      <w:jc w:val="left"/>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unhideWhenUsed/>
    <w:qFormat/>
    <w:rsid w:val="001C1B37"/>
    <w:pPr>
      <w:keepNext/>
      <w:keepLines/>
      <w:spacing w:before="160" w:after="80" w:line="278" w:lineRule="auto"/>
      <w:jc w:val="left"/>
      <w:outlineLvl w:val="2"/>
    </w:pPr>
    <w:rPr>
      <w:rFonts w:asciiTheme="minorHAnsi" w:eastAsiaTheme="majorEastAsia" w:hAnsiTheme="minorHAnsi"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1C1B37"/>
    <w:pPr>
      <w:keepNext/>
      <w:keepLines/>
      <w:spacing w:before="80" w:after="40" w:line="278" w:lineRule="auto"/>
      <w:jc w:val="left"/>
      <w:outlineLvl w:val="3"/>
    </w:pPr>
    <w:rPr>
      <w:rFonts w:asciiTheme="minorHAnsi" w:eastAsiaTheme="majorEastAsia" w:hAnsiTheme="minorHAnsi" w:cstheme="majorBidi"/>
      <w:i/>
      <w:iCs/>
      <w:color w:val="0F4761" w:themeColor="accent1" w:themeShade="BF"/>
      <w:kern w:val="2"/>
      <w:szCs w:val="24"/>
      <w:lang w:val="en-IN"/>
      <w14:ligatures w14:val="standardContextual"/>
    </w:rPr>
  </w:style>
  <w:style w:type="paragraph" w:styleId="Heading5">
    <w:name w:val="heading 5"/>
    <w:basedOn w:val="Normal"/>
    <w:next w:val="Normal"/>
    <w:link w:val="Heading5Char"/>
    <w:uiPriority w:val="9"/>
    <w:semiHidden/>
    <w:unhideWhenUsed/>
    <w:qFormat/>
    <w:rsid w:val="001C1B37"/>
    <w:pPr>
      <w:keepNext/>
      <w:keepLines/>
      <w:spacing w:before="80" w:after="40" w:line="278" w:lineRule="auto"/>
      <w:jc w:val="left"/>
      <w:outlineLvl w:val="4"/>
    </w:pPr>
    <w:rPr>
      <w:rFonts w:asciiTheme="minorHAnsi" w:eastAsiaTheme="majorEastAsia" w:hAnsiTheme="minorHAnsi" w:cstheme="majorBidi"/>
      <w:color w:val="0F4761" w:themeColor="accent1" w:themeShade="BF"/>
      <w:kern w:val="2"/>
      <w:szCs w:val="24"/>
      <w:lang w:val="en-IN"/>
      <w14:ligatures w14:val="standardContextual"/>
    </w:rPr>
  </w:style>
  <w:style w:type="paragraph" w:styleId="Heading6">
    <w:name w:val="heading 6"/>
    <w:basedOn w:val="Normal"/>
    <w:next w:val="Normal"/>
    <w:link w:val="Heading6Char"/>
    <w:uiPriority w:val="9"/>
    <w:semiHidden/>
    <w:unhideWhenUsed/>
    <w:qFormat/>
    <w:rsid w:val="001C1B37"/>
    <w:pPr>
      <w:keepNext/>
      <w:keepLines/>
      <w:spacing w:before="40" w:after="0" w:line="278" w:lineRule="auto"/>
      <w:jc w:val="left"/>
      <w:outlineLvl w:val="5"/>
    </w:pPr>
    <w:rPr>
      <w:rFonts w:asciiTheme="minorHAnsi" w:eastAsiaTheme="majorEastAsia" w:hAnsiTheme="minorHAnsi" w:cstheme="majorBidi"/>
      <w:i/>
      <w:iCs/>
      <w:color w:val="595959" w:themeColor="text1" w:themeTint="A6"/>
      <w:kern w:val="2"/>
      <w:szCs w:val="24"/>
      <w:lang w:val="en-IN"/>
      <w14:ligatures w14:val="standardContextual"/>
    </w:rPr>
  </w:style>
  <w:style w:type="paragraph" w:styleId="Heading7">
    <w:name w:val="heading 7"/>
    <w:basedOn w:val="Normal"/>
    <w:next w:val="Normal"/>
    <w:link w:val="Heading7Char"/>
    <w:uiPriority w:val="9"/>
    <w:semiHidden/>
    <w:unhideWhenUsed/>
    <w:qFormat/>
    <w:rsid w:val="001C1B37"/>
    <w:pPr>
      <w:keepNext/>
      <w:keepLines/>
      <w:spacing w:before="40" w:after="0" w:line="278" w:lineRule="auto"/>
      <w:jc w:val="left"/>
      <w:outlineLvl w:val="6"/>
    </w:pPr>
    <w:rPr>
      <w:rFonts w:asciiTheme="minorHAnsi" w:eastAsiaTheme="majorEastAsia" w:hAnsiTheme="minorHAnsi" w:cstheme="majorBidi"/>
      <w:color w:val="595959" w:themeColor="text1" w:themeTint="A6"/>
      <w:kern w:val="2"/>
      <w:szCs w:val="24"/>
      <w:lang w:val="en-IN"/>
      <w14:ligatures w14:val="standardContextual"/>
    </w:rPr>
  </w:style>
  <w:style w:type="paragraph" w:styleId="Heading8">
    <w:name w:val="heading 8"/>
    <w:basedOn w:val="Normal"/>
    <w:next w:val="Normal"/>
    <w:link w:val="Heading8Char"/>
    <w:uiPriority w:val="9"/>
    <w:semiHidden/>
    <w:unhideWhenUsed/>
    <w:qFormat/>
    <w:rsid w:val="001C1B37"/>
    <w:pPr>
      <w:keepNext/>
      <w:keepLines/>
      <w:spacing w:after="0" w:line="278" w:lineRule="auto"/>
      <w:jc w:val="left"/>
      <w:outlineLvl w:val="7"/>
    </w:pPr>
    <w:rPr>
      <w:rFonts w:asciiTheme="minorHAnsi" w:eastAsiaTheme="majorEastAsia" w:hAnsiTheme="minorHAnsi" w:cstheme="majorBidi"/>
      <w:i/>
      <w:iCs/>
      <w:color w:val="272727" w:themeColor="text1" w:themeTint="D8"/>
      <w:kern w:val="2"/>
      <w:szCs w:val="24"/>
      <w:lang w:val="en-IN"/>
      <w14:ligatures w14:val="standardContextual"/>
    </w:rPr>
  </w:style>
  <w:style w:type="paragraph" w:styleId="Heading9">
    <w:name w:val="heading 9"/>
    <w:basedOn w:val="Normal"/>
    <w:next w:val="Normal"/>
    <w:link w:val="Heading9Char"/>
    <w:uiPriority w:val="9"/>
    <w:semiHidden/>
    <w:unhideWhenUsed/>
    <w:qFormat/>
    <w:rsid w:val="001C1B37"/>
    <w:pPr>
      <w:keepNext/>
      <w:keepLines/>
      <w:spacing w:after="0" w:line="278" w:lineRule="auto"/>
      <w:jc w:val="left"/>
      <w:outlineLvl w:val="8"/>
    </w:pPr>
    <w:rPr>
      <w:rFonts w:asciiTheme="minorHAnsi" w:eastAsiaTheme="majorEastAsia" w:hAnsiTheme="minorHAnsi" w:cstheme="majorBidi"/>
      <w:color w:val="272727" w:themeColor="text1" w:themeTint="D8"/>
      <w:kern w:val="2"/>
      <w:szCs w:val="24"/>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1B3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C1B3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1C1B3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1B3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1B3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1B3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1B3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1B3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1B37"/>
    <w:rPr>
      <w:rFonts w:eastAsiaTheme="majorEastAsia" w:cstheme="majorBidi"/>
      <w:color w:val="272727" w:themeColor="text1" w:themeTint="D8"/>
    </w:rPr>
  </w:style>
  <w:style w:type="paragraph" w:styleId="Title">
    <w:name w:val="Title"/>
    <w:basedOn w:val="Normal"/>
    <w:next w:val="Normal"/>
    <w:link w:val="TitleChar"/>
    <w:uiPriority w:val="10"/>
    <w:qFormat/>
    <w:rsid w:val="001C1B37"/>
    <w:pPr>
      <w:spacing w:after="80" w:line="240" w:lineRule="auto"/>
      <w:contextualSpacing/>
      <w:jc w:val="left"/>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1C1B3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1B37"/>
    <w:pPr>
      <w:numPr>
        <w:ilvl w:val="1"/>
      </w:numPr>
      <w:spacing w:after="160" w:line="278" w:lineRule="auto"/>
      <w:jc w:val="left"/>
    </w:pPr>
    <w:rPr>
      <w:rFonts w:asciiTheme="minorHAnsi" w:eastAsiaTheme="majorEastAsia" w:hAnsiTheme="minorHAnsi"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1C1B3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1B37"/>
    <w:pPr>
      <w:spacing w:before="160" w:after="160" w:line="278" w:lineRule="auto"/>
      <w:jc w:val="center"/>
    </w:pPr>
    <w:rPr>
      <w:rFonts w:asciiTheme="minorHAnsi" w:eastAsiaTheme="minorHAnsi" w:hAnsiTheme="minorHAnsi"/>
      <w:i/>
      <w:iCs/>
      <w:color w:val="404040" w:themeColor="text1" w:themeTint="BF"/>
      <w:kern w:val="2"/>
      <w:szCs w:val="24"/>
      <w:lang w:val="en-IN"/>
      <w14:ligatures w14:val="standardContextual"/>
    </w:rPr>
  </w:style>
  <w:style w:type="character" w:customStyle="1" w:styleId="QuoteChar">
    <w:name w:val="Quote Char"/>
    <w:basedOn w:val="DefaultParagraphFont"/>
    <w:link w:val="Quote"/>
    <w:uiPriority w:val="29"/>
    <w:rsid w:val="001C1B37"/>
    <w:rPr>
      <w:i/>
      <w:iCs/>
      <w:color w:val="404040" w:themeColor="text1" w:themeTint="BF"/>
    </w:rPr>
  </w:style>
  <w:style w:type="paragraph" w:styleId="ListParagraph">
    <w:name w:val="List Paragraph"/>
    <w:basedOn w:val="Normal"/>
    <w:uiPriority w:val="34"/>
    <w:qFormat/>
    <w:rsid w:val="001C1B37"/>
    <w:pPr>
      <w:spacing w:after="160" w:line="278" w:lineRule="auto"/>
      <w:ind w:left="720"/>
      <w:contextualSpacing/>
      <w:jc w:val="left"/>
    </w:pPr>
    <w:rPr>
      <w:rFonts w:asciiTheme="minorHAnsi" w:eastAsiaTheme="minorHAnsi" w:hAnsiTheme="minorHAnsi"/>
      <w:kern w:val="2"/>
      <w:szCs w:val="24"/>
      <w:lang w:val="en-IN"/>
      <w14:ligatures w14:val="standardContextual"/>
    </w:rPr>
  </w:style>
  <w:style w:type="character" w:styleId="IntenseEmphasis">
    <w:name w:val="Intense Emphasis"/>
    <w:basedOn w:val="DefaultParagraphFont"/>
    <w:uiPriority w:val="21"/>
    <w:qFormat/>
    <w:rsid w:val="001C1B37"/>
    <w:rPr>
      <w:i/>
      <w:iCs/>
      <w:color w:val="0F4761" w:themeColor="accent1" w:themeShade="BF"/>
    </w:rPr>
  </w:style>
  <w:style w:type="paragraph" w:styleId="IntenseQuote">
    <w:name w:val="Intense Quote"/>
    <w:basedOn w:val="Normal"/>
    <w:next w:val="Normal"/>
    <w:link w:val="IntenseQuoteChar"/>
    <w:uiPriority w:val="30"/>
    <w:qFormat/>
    <w:rsid w:val="001C1B37"/>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i/>
      <w:iCs/>
      <w:color w:val="0F4761" w:themeColor="accent1" w:themeShade="BF"/>
      <w:kern w:val="2"/>
      <w:szCs w:val="24"/>
      <w:lang w:val="en-IN"/>
      <w14:ligatures w14:val="standardContextual"/>
    </w:rPr>
  </w:style>
  <w:style w:type="character" w:customStyle="1" w:styleId="IntenseQuoteChar">
    <w:name w:val="Intense Quote Char"/>
    <w:basedOn w:val="DefaultParagraphFont"/>
    <w:link w:val="IntenseQuote"/>
    <w:uiPriority w:val="30"/>
    <w:rsid w:val="001C1B37"/>
    <w:rPr>
      <w:i/>
      <w:iCs/>
      <w:color w:val="0F4761" w:themeColor="accent1" w:themeShade="BF"/>
    </w:rPr>
  </w:style>
  <w:style w:type="character" w:styleId="IntenseReference">
    <w:name w:val="Intense Reference"/>
    <w:basedOn w:val="DefaultParagraphFont"/>
    <w:uiPriority w:val="32"/>
    <w:qFormat/>
    <w:rsid w:val="001C1B37"/>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467</Words>
  <Characters>3049</Characters>
  <Application>Microsoft Office Word</Application>
  <DocSecurity>0</DocSecurity>
  <Lines>82</Lines>
  <Paragraphs>53</Paragraphs>
  <ScaleCrop>false</ScaleCrop>
  <Company/>
  <LinksUpToDate>false</LinksUpToDate>
  <CharactersWithSpaces>3463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2026-02-10T07:20:00Z</dcterms:created>
  <dcterms:modified xsi:type="dcterms:W3CDTF">2026-02-10T07:21:00Z</dcterms:modified>
</cp:coreProperties>
</file>