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6CC52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Hlk171928693"/>
      <w:bookmarkEnd w:id="0"/>
      <w:bookmarkStart w:id="1" w:name="_Hlk126160553"/>
      <w:bookmarkStart w:id="2" w:name="_Hlk87863416"/>
      <w:bookmarkStart w:id="3" w:name="_Hlk120092913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Material: </w:t>
      </w:r>
    </w:p>
    <w:bookmarkEnd w:id="1"/>
    <w:bookmarkEnd w:id="2"/>
    <w:bookmarkEnd w:id="3"/>
    <w:p w14:paraId="2E9953EF">
      <w:pPr>
        <w:pStyle w:val="2"/>
        <w:spacing w:before="0" w:after="0" w:line="360" w:lineRule="auto"/>
        <w:jc w:val="both"/>
        <w:rPr>
          <w:rFonts w:hint="default" w:ascii="Times New Roman" w:hAnsi="Times New Roman" w:cs="Times New Roman"/>
          <w:kern w:val="2"/>
          <w:sz w:val="24"/>
          <w:szCs w:val="24"/>
        </w:rPr>
      </w:pPr>
      <w:bookmarkStart w:id="5" w:name="_GoBack"/>
      <w:bookmarkEnd w:id="5"/>
      <w:r>
        <w:rPr>
          <w:rFonts w:hint="default" w:ascii="Times New Roman" w:hAnsi="Times New Roman" w:cs="Times New Roman"/>
          <w:kern w:val="2"/>
          <w:sz w:val="24"/>
          <w:szCs w:val="24"/>
        </w:rPr>
        <w:t>A clinicopathological nomogram integrating hormone receptor status to predict overall survival in high-grade serous ovarian carcinoma</w:t>
      </w:r>
    </w:p>
    <w:p w14:paraId="4B35D21D">
      <w:pPr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Chengcheng Zhu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1,†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Hengliang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Sun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2,</w:t>
      </w:r>
      <w:r>
        <w:rPr>
          <w:rFonts w:hint="default" w:ascii="Times New Roman" w:hAnsi="Times New Roman" w:cs="Times New Roman"/>
          <w:b/>
          <w:color w:val="auto"/>
          <w:kern w:val="0"/>
          <w:sz w:val="24"/>
          <w:szCs w:val="24"/>
          <w:highlight w:val="none"/>
          <w:vertAlign w:val="superscript"/>
          <w:lang w:eastAsia="de-DE" w:bidi="en-US"/>
        </w:rPr>
        <w:t>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, Yonghong Luo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bookmarkStart w:id="4" w:name="OLE_LINK32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Dandan Ge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, Shun Yao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, Yi Wang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, Meng Yan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Yuanyuan Lyu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1,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#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bidi="en-US"/>
        </w:rPr>
        <w:t xml:space="preserve">, </w:t>
      </w:r>
      <w:bookmarkEnd w:id="4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Jiangli Liu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 xml:space="preserve"> 1,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>#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bidi="en-US"/>
        </w:rPr>
        <w:t xml:space="preserve">   </w:t>
      </w:r>
    </w:p>
    <w:p w14:paraId="6ACA77A7">
      <w:pPr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Department of Obstetrics and Gynecology, The First Affiliated Hospital of Wannan Medical College, Wuhu, Anhui 241001, China</w:t>
      </w:r>
    </w:p>
    <w:p w14:paraId="745D28B1">
      <w:pPr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Department of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Surgery, Second People’s Hospital of Wuhu City, Wuhu, Anhui 241001, China</w:t>
      </w:r>
    </w:p>
    <w:p w14:paraId="34EF0537">
      <w:pPr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Department of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Medical Record Management Department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, The First Affiliated Hospital of Wannan Medical College, Wuhu, Anhui 241001, China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</w:p>
    <w:p w14:paraId="77CFDCDD">
      <w:pPr>
        <w:spacing w:line="360" w:lineRule="auto"/>
        <w:ind w:left="120" w:hanging="120" w:hangingChars="5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vertAlign w:val="superscript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Wannan Medical College, Wuhu, Anhui 241001, China</w:t>
      </w:r>
    </w:p>
    <w:p w14:paraId="7C590B75">
      <w:pPr>
        <w:widowControl/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kern w:val="0"/>
          <w:sz w:val="24"/>
          <w:szCs w:val="24"/>
          <w:highlight w:val="none"/>
          <w:vertAlign w:val="superscript"/>
          <w:lang w:eastAsia="de-DE" w:bidi="en-US"/>
        </w:rPr>
        <w:t>†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Chengcheng Zhu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and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Hengliang Sun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contributed equally to this work.</w:t>
      </w:r>
    </w:p>
    <w:p w14:paraId="7F198D66">
      <w:pPr>
        <w:widowControl/>
        <w:spacing w:line="360" w:lineRule="auto"/>
        <w:jc w:val="both"/>
        <w:outlineLvl w:val="0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vertAlign w:val="superscript"/>
        </w:rPr>
        <w:t xml:space="preserve">#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</w:rPr>
        <w:t>Corresponding Authors:</w:t>
      </w:r>
    </w:p>
    <w:p w14:paraId="125272AD">
      <w:pPr>
        <w:spacing w:line="360" w:lineRule="auto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Yuanyuan Lyu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Department of Obstetrics and Gynecology, The First Affiliated Hospital of Wannan Medical College, Wuhu, Anhui 241001, China; Email: 20181109@wnmc.edu.cn</w:t>
      </w:r>
    </w:p>
    <w:p w14:paraId="00060AA1">
      <w:pPr>
        <w:spacing w:line="360" w:lineRule="auto"/>
        <w:jc w:val="both"/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Jiangli Liu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Department of Obstetrics and Gynecology, The First Affiliated Hospital of Wannan Medical College, Wuhu, Anhui 241001, China</w:t>
      </w:r>
      <w:r>
        <w:rPr>
          <w:rFonts w:hint="default" w:ascii="Times New Roman" w:hAnsi="Times New Roman" w:eastAsia="等线" w:cs="Times New Roman"/>
          <w:color w:val="auto"/>
          <w:sz w:val="24"/>
          <w:szCs w:val="24"/>
          <w:highlight w:val="none"/>
        </w:rPr>
        <w:t>;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Email: </w:t>
      </w:r>
      <w:r>
        <w:rPr>
          <w:rFonts w:hint="default" w:ascii="Times New Roman" w:hAnsi="Times New Roman" w:cs="Times New Roman"/>
          <w:color w:val="auto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highlight w:val="none"/>
        </w:rPr>
        <w:instrText xml:space="preserve"> HYPERLINK "mailto:liujiangli@wnmc.edu.cn" </w:instrText>
      </w:r>
      <w:r>
        <w:rPr>
          <w:rFonts w:hint="default" w:ascii="Times New Roman" w:hAnsi="Times New Roman" w:cs="Times New Roman"/>
          <w:color w:val="auto"/>
          <w:highlight w:val="none"/>
        </w:rPr>
        <w:fldChar w:fldCharType="separate"/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highlight w:val="none"/>
        </w:rPr>
        <w:t>20201207@wnmc.edu.cn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end"/>
      </w:r>
    </w:p>
    <w:p w14:paraId="6A697A5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* This study was supported by the Clinical and Translational Research Project of Anhui Province（No: 202427b10020084, 202427b10020096）and the Anhui Province University Middle-aged and Young Teachers' Training Action Project (No:YQYB2025017)）</w:t>
      </w:r>
    </w:p>
    <w:p w14:paraId="02D26350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5C38969B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01F695B1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6BD95F58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0D2BAE15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5FC21074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</w:p>
    <w:p w14:paraId="32FE0E27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404040"/>
          <w:szCs w:val="21"/>
          <w:shd w:val="clear" w:color="auto" w:fill="FFFFFF"/>
        </w:rPr>
        <w:drawing>
          <wp:inline distT="0" distB="0" distL="114300" distR="114300">
            <wp:extent cx="5459730" cy="3274695"/>
            <wp:effectExtent l="0" t="0" r="1270" b="1905"/>
            <wp:docPr id="1" name="图片 1" descr="风险比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风险比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1CA1B">
      <w:pPr>
        <w:jc w:val="both"/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  <w:t xml:space="preserve">Supplementary Fig. 1 </w:t>
      </w:r>
      <w:r>
        <w:rPr>
          <w:rFonts w:hint="default" w:ascii="Times New Roman" w:hAnsi="Times New Roman" w:eastAsia="宋体" w:cs="Times New Roman"/>
          <w:szCs w:val="21"/>
          <w:shd w:val="clear" w:color="auto" w:fill="FFFFFF"/>
        </w:rPr>
        <w:t>Plot of Schoenfeld residuals for the multivariable Cox model.</w:t>
      </w:r>
    </w:p>
    <w:p w14:paraId="436342C7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5205A562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3DA67951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  <w:t xml:space="preserve">Supplementary Table. 1 </w:t>
      </w:r>
      <w:r>
        <w:rPr>
          <w:rFonts w:hint="default" w:ascii="Times New Roman" w:hAnsi="Times New Roman" w:eastAsia="宋体" w:cs="Times New Roman"/>
          <w:szCs w:val="21"/>
          <w:shd w:val="clear" w:color="auto" w:fill="FFFFFF"/>
        </w:rPr>
        <w:t>Propensity score matching of baseline data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1411"/>
        <w:gridCol w:w="1320"/>
        <w:gridCol w:w="795"/>
        <w:gridCol w:w="1134"/>
        <w:gridCol w:w="1104"/>
        <w:gridCol w:w="1011"/>
      </w:tblGrid>
      <w:tr w14:paraId="670E8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81" w:type="dxa"/>
            <w:vMerge w:val="restart"/>
            <w:tcBorders>
              <w:top w:val="single" w:color="000000" w:sz="6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F4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73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E8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Before PSM</w:t>
            </w:r>
          </w:p>
        </w:tc>
        <w:tc>
          <w:tcPr>
            <w:tcW w:w="795" w:type="dxa"/>
            <w:vMerge w:val="restart"/>
            <w:tcBorders>
              <w:top w:val="single" w:color="000000" w:sz="6" w:space="0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34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2238" w:type="dxa"/>
            <w:gridSpan w:val="2"/>
            <w:tcBorders>
              <w:top w:val="single" w:color="000000" w:sz="6" w:space="0"/>
              <w:bottom w:val="single" w:color="auto" w:sz="4" w:space="0"/>
            </w:tcBorders>
            <w:shd w:val="clear" w:color="auto" w:fill="FFFFFF"/>
          </w:tcPr>
          <w:p w14:paraId="2BB51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After PSM</w:t>
            </w:r>
          </w:p>
        </w:tc>
        <w:tc>
          <w:tcPr>
            <w:tcW w:w="1011" w:type="dxa"/>
            <w:vMerge w:val="restart"/>
            <w:tcBorders>
              <w:top w:val="single" w:color="000000" w:sz="6" w:space="0"/>
              <w:left w:val="nil"/>
              <w:right w:val="nil"/>
            </w:tcBorders>
            <w:shd w:val="clear" w:color="auto" w:fill="FFFFFF"/>
            <w:vAlign w:val="center"/>
          </w:tcPr>
          <w:p w14:paraId="5E3660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 value</w:t>
            </w:r>
          </w:p>
        </w:tc>
      </w:tr>
      <w:tr w14:paraId="1AA73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81" w:type="dxa"/>
            <w:vMerge w:val="continue"/>
            <w:tcBorders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5F5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411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A6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ER(+)/PR(+)</w:t>
            </w:r>
          </w:p>
        </w:tc>
        <w:tc>
          <w:tcPr>
            <w:tcW w:w="132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53A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ER(-)/PR(-)</w:t>
            </w:r>
          </w:p>
        </w:tc>
        <w:tc>
          <w:tcPr>
            <w:tcW w:w="795" w:type="dxa"/>
            <w:vMerge w:val="continue"/>
            <w:tcBorders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8F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139334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ER(+)/PR(+)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115D37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ER(-)/PR(-)</w:t>
            </w:r>
          </w:p>
        </w:tc>
        <w:tc>
          <w:tcPr>
            <w:tcW w:w="1011" w:type="dxa"/>
            <w:vMerge w:val="continue"/>
            <w:tcBorders>
              <w:left w:val="nil"/>
              <w:bottom w:val="single" w:color="000000" w:sz="6" w:space="0"/>
              <w:right w:val="nil"/>
            </w:tcBorders>
            <w:shd w:val="clear" w:color="auto" w:fill="FFFFFF"/>
          </w:tcPr>
          <w:p w14:paraId="401C59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3E40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40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B9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2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D2D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9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D0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0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9DA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211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067E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E7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Age(years),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6E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BCB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1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DF1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445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49A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0.793</w:t>
            </w:r>
          </w:p>
        </w:tc>
      </w:tr>
      <w:tr w14:paraId="70204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CC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＜60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3D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44 (47.8%)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3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19 (20.7%)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B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3B8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20 (32.3%)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AEE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19 (30.6%)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9A6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237B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E9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≥60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9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17 (18.5%)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73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 (13%)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7B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103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11 (17.7%)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34F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 (19.4%)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0BB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F1A8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2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Pathologic.stage,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DD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F2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5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8CF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2CE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44A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0.555</w:t>
            </w:r>
          </w:p>
        </w:tc>
      </w:tr>
      <w:tr w14:paraId="76719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E3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D1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11 (12%)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B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AC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BCA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 (6.5%)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F6B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 (6.5%)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CD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8BEF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15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BD0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(9.8%)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39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 (4.3%)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AA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908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25 (40.3%)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3C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23 (37.1%)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911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35DB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FF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52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39 (42.4%)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25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23 (25%)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53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CD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(3.2%)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D28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(3.2%)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75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12D2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BD4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E44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B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(2.2%)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A4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49B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C1E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 (3.2%)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FEE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B2C0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90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tumor size（cm）,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CE8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9A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26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61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46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DF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0.374</w:t>
            </w:r>
          </w:p>
        </w:tc>
      </w:tr>
      <w:tr w14:paraId="116EA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8B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≤5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E2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13 (14.1%)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B2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(9.8%)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A9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87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 (9.7%)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3A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(14.5%)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C2B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6407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8D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＞5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C7D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48 (52.2%)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68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(23.9%)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B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29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25 (40.3%)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ADC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(35.5%)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E76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405F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5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cancer emboli,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B6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94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42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262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367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7B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0.783</w:t>
            </w:r>
          </w:p>
        </w:tc>
      </w:tr>
      <w:tr w14:paraId="2CDF0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62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C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37 (40.2%)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5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(9.8%)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8A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13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 (16.1%)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99C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(14.5%)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CFF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4314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0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4CA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24 (26.1%)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0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(23.9%)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4B9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15B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21 (33.9%)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A7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(35.5%)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1AE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172F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CFF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Ascites,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FC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66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B7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EC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4BA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F1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0.611</w:t>
            </w:r>
          </w:p>
        </w:tc>
      </w:tr>
      <w:tr w14:paraId="69FF8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8F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53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33 (35.9%)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3F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17 (18.5%)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B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27D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15 (24.2%)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193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17 (27.4%)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2D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4725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0E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45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28 (30.4%)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A9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14 (15.2%)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8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154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16 (25.8%)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A0E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14 (22.6%)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4F9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89DD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91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P53,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D2A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D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29B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604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2D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5D5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0.430</w:t>
            </w:r>
          </w:p>
        </w:tc>
      </w:tr>
      <w:tr w14:paraId="0DF7C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D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336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21 (22.8%)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34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 (10.9%)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FE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20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18 (29%)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D2C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21 (33.9%)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B83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156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DD7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965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40 (43.5%)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B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21 (22.8%)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6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9AC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13 (21%)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7C1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 (16.1%)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770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AA48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286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Ki67, n (%)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07C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8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5E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8BC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40E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798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0.119</w:t>
            </w:r>
          </w:p>
        </w:tc>
      </w:tr>
      <w:tr w14:paraId="65CB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A5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B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7 (7.6%)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8AA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(9.8%)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27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5CB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 (6.5%)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D7C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 (14.5%)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D0D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7D7A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07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1D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54 (58.7%)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55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(23.9%)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F6B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106791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27 (43.5%)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7046E4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22 (35.5%)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vAlign w:val="center"/>
          </w:tcPr>
          <w:p w14:paraId="6AAA71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178BA18D">
      <w:pPr>
        <w:jc w:val="both"/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</w:pPr>
    </w:p>
    <w:p w14:paraId="62C167BA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30B52BAE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  <w:t xml:space="preserve">Supplementary Table. 2 </w:t>
      </w:r>
      <w:r>
        <w:rPr>
          <w:rFonts w:hint="default" w:ascii="Times New Roman" w:hAnsi="Times New Roman" w:eastAsia="宋体" w:cs="Times New Roman"/>
          <w:szCs w:val="21"/>
          <w:shd w:val="clear" w:color="auto" w:fill="FFFFFF"/>
        </w:rPr>
        <w:t>Univariate and multivariate Cox regression analysis after propensity score matching.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92"/>
        <w:gridCol w:w="1016"/>
        <w:gridCol w:w="461"/>
        <w:gridCol w:w="2292"/>
        <w:gridCol w:w="1016"/>
      </w:tblGrid>
      <w:tr w14:paraId="5482B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4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7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C7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8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E5D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E2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color="000000" w:sz="6" w:space="0"/>
              <w:left w:val="nil"/>
              <w:bottom w:val="single" w:color="666666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2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14:paraId="4D11D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4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16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54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92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EE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9E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6C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73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color="666666" w:sz="8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BA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 value</w:t>
            </w:r>
          </w:p>
        </w:tc>
      </w:tr>
      <w:tr w14:paraId="6DA80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A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Age(years)</w:t>
            </w:r>
          </w:p>
        </w:tc>
        <w:tc>
          <w:tcPr>
            <w:tcW w:w="106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09E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960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3B0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CE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33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1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F82A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E3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≥60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B1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96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A5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F6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49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8C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580F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C4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＜60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39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BD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1.180 (0.643 - 2.166)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9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B0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90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F5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84E1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D3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Pathologic.stage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CC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80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88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12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B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B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1CDA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2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 or Stage II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DA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1A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14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0B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B2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9A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FA43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BB4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Stage III or Stage IV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2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FC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4.264 (1.315 - 13.823)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8C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1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A9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9.240 (2.301 - 37.098)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7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14:paraId="434D6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D2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tumor size（cm）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E5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78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0F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47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B56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15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7429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5E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≤5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48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E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0C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2EE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18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B3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292C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EED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＞5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360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60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1.961 (0.913 - 4.210)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A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62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8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4.712 (1.560 - 14.229)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F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0.006</w:t>
            </w:r>
          </w:p>
        </w:tc>
      </w:tr>
      <w:tr w14:paraId="106D7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06D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cancer emboli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CC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67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21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F3B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6C2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71B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C2CD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F1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3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56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F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8D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1B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82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501C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21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D2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59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2.428 (1.199 - 4.915)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2F0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31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E2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1.586 (0.725 - 3.471)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74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0.248</w:t>
            </w:r>
          </w:p>
        </w:tc>
      </w:tr>
      <w:tr w14:paraId="689E4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C6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Ascites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B2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B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F83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2A1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C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87A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4E5F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13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30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E70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42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48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155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47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668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724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8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01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1.046 (0.586 - 1.868)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8F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F67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D1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39E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AD78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DB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P53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53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5E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98C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3F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0D6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A2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9E91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98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2E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EC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5C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20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97E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6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FC36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59A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43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FE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3.022 (1.572 - 5.807)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6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5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AA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5.476 (2.419 - 12.393)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5D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14:paraId="346B8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E7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Ki67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3F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8B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AB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760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D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B1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B83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84B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74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2A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92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7B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67B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5E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575E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795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ED8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A9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3.430 (1.350 - 8.714)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3F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E5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75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2.325 (0.741 - 7.292)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9B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0.148</w:t>
            </w:r>
          </w:p>
        </w:tc>
      </w:tr>
      <w:tr w14:paraId="343D7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83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2A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25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3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C57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8D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16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F86D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871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ER(+)/PR(+)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E3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C1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8CE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CD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EAA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A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78C2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78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ER(-)/PR(-)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90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19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A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2.850 (1.570 - 5.177)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63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D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95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12.684 (5.335 - 30.158)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1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</w:tbl>
    <w:p w14:paraId="017F520F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0C7BCB04">
      <w:pPr>
        <w:jc w:val="both"/>
        <w:rPr>
          <w:rFonts w:hint="default" w:ascii="Times New Roman" w:hAnsi="Times New Roman" w:eastAsia="宋体" w:cs="Times New Roman"/>
          <w:b/>
          <w:bCs/>
          <w:sz w:val="24"/>
          <w:szCs w:val="24"/>
          <w:shd w:val="clear" w:color="auto" w:fill="FFFFFF"/>
        </w:rPr>
      </w:pPr>
    </w:p>
    <w:p w14:paraId="04280976">
      <w:pPr>
        <w:jc w:val="both"/>
        <w:rPr>
          <w:rFonts w:hint="default" w:ascii="Times New Roman" w:hAnsi="Times New Roman" w:eastAsia="宋体" w:cs="Times New Roman"/>
          <w:color w:val="1B1B1B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1B1B1B"/>
          <w:sz w:val="31"/>
          <w:szCs w:val="31"/>
          <w:shd w:val="clear" w:color="auto" w:fill="FFFFFF"/>
        </w:rPr>
        <w:drawing>
          <wp:inline distT="0" distB="0" distL="114300" distR="114300">
            <wp:extent cx="5111750" cy="3195320"/>
            <wp:effectExtent l="0" t="0" r="6350" b="5080"/>
            <wp:docPr id="2" name="图片 1" descr="PMS后生存曲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PMS后生存曲线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B156">
      <w:pPr>
        <w:jc w:val="both"/>
        <w:rPr>
          <w:rFonts w:hint="default" w:ascii="Times New Roman" w:hAnsi="Times New Roman" w:eastAsia="等线" w:cs="Times New Roman"/>
          <w:b/>
          <w:bCs/>
          <w:shd w:val="clear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Cs w:val="21"/>
          <w:shd w:val="clear" w:color="auto" w:fill="FFFFFF"/>
        </w:rPr>
        <w:t xml:space="preserve">Supplementary Fig. 2 </w:t>
      </w:r>
      <w:r>
        <w:rPr>
          <w:rFonts w:hint="default" w:ascii="Times New Roman" w:hAnsi="Times New Roman" w:eastAsia="宋体" w:cs="Times New Roman"/>
          <w:szCs w:val="21"/>
          <w:shd w:val="clear" w:color="auto" w:fill="FFFFFF"/>
        </w:rPr>
        <w:t>Survival differences between ER(+)/PR(+) and ER(−)/PR(−) after propensity score matching.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68F5"/>
    <w:multiLevelType w:val="multilevel"/>
    <w:tmpl w:val="18B468F5"/>
    <w:lvl w:ilvl="0" w:tentative="0">
      <w:start w:val="1"/>
      <w:numFmt w:val="decimal"/>
      <w:pStyle w:val="46"/>
      <w:lvlText w:val="%1."/>
      <w:lvlJc w:val="left"/>
      <w:pPr>
        <w:ind w:left="425" w:hanging="425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C6F5D"/>
    <w:multiLevelType w:val="multilevel"/>
    <w:tmpl w:val="1E0C6F5D"/>
    <w:lvl w:ilvl="0" w:tentative="0">
      <w:start w:val="1"/>
      <w:numFmt w:val="bullet"/>
      <w:pStyle w:val="31"/>
      <w:lvlText w:val=""/>
      <w:lvlJc w:val="left"/>
      <w:pPr>
        <w:ind w:left="3033" w:hanging="425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2">
    <w:nsid w:val="52E2771B"/>
    <w:multiLevelType w:val="multilevel"/>
    <w:tmpl w:val="52E2771B"/>
    <w:lvl w:ilvl="0" w:tentative="0">
      <w:start w:val="1"/>
      <w:numFmt w:val="decimal"/>
      <w:pStyle w:val="45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75B53"/>
    <w:multiLevelType w:val="multilevel"/>
    <w:tmpl w:val="54075B53"/>
    <w:lvl w:ilvl="0" w:tentative="0">
      <w:start w:val="1"/>
      <w:numFmt w:val="decimal"/>
      <w:pStyle w:val="30"/>
      <w:lvlText w:val="%1."/>
      <w:lvlJc w:val="left"/>
      <w:pPr>
        <w:ind w:left="3033" w:hanging="425"/>
      </w:pPr>
    </w:lvl>
    <w:lvl w:ilvl="1" w:tentative="0">
      <w:start w:val="1"/>
      <w:numFmt w:val="lowerLetter"/>
      <w:lvlText w:val="%2."/>
      <w:lvlJc w:val="left"/>
      <w:pPr>
        <w:ind w:left="3691" w:hanging="360"/>
      </w:pPr>
    </w:lvl>
    <w:lvl w:ilvl="2" w:tentative="0">
      <w:start w:val="1"/>
      <w:numFmt w:val="lowerRoman"/>
      <w:lvlText w:val="%3."/>
      <w:lvlJc w:val="right"/>
      <w:pPr>
        <w:ind w:left="4411" w:hanging="180"/>
      </w:pPr>
    </w:lvl>
    <w:lvl w:ilvl="3" w:tentative="0">
      <w:start w:val="1"/>
      <w:numFmt w:val="decimal"/>
      <w:lvlText w:val="%4."/>
      <w:lvlJc w:val="left"/>
      <w:pPr>
        <w:ind w:left="5131" w:hanging="360"/>
      </w:pPr>
    </w:lvl>
    <w:lvl w:ilvl="4" w:tentative="0">
      <w:start w:val="1"/>
      <w:numFmt w:val="lowerLetter"/>
      <w:lvlText w:val="%5."/>
      <w:lvlJc w:val="left"/>
      <w:pPr>
        <w:ind w:left="5851" w:hanging="360"/>
      </w:pPr>
    </w:lvl>
    <w:lvl w:ilvl="5" w:tentative="0">
      <w:start w:val="1"/>
      <w:numFmt w:val="lowerRoman"/>
      <w:lvlText w:val="%6."/>
      <w:lvlJc w:val="right"/>
      <w:pPr>
        <w:ind w:left="6571" w:hanging="180"/>
      </w:pPr>
    </w:lvl>
    <w:lvl w:ilvl="6" w:tentative="0">
      <w:start w:val="1"/>
      <w:numFmt w:val="decimal"/>
      <w:lvlText w:val="%7."/>
      <w:lvlJc w:val="left"/>
      <w:pPr>
        <w:ind w:left="7291" w:hanging="360"/>
      </w:pPr>
    </w:lvl>
    <w:lvl w:ilvl="7" w:tentative="0">
      <w:start w:val="1"/>
      <w:numFmt w:val="lowerLetter"/>
      <w:lvlText w:val="%8."/>
      <w:lvlJc w:val="left"/>
      <w:pPr>
        <w:ind w:left="8011" w:hanging="360"/>
      </w:pPr>
    </w:lvl>
    <w:lvl w:ilvl="8" w:tentative="0">
      <w:start w:val="1"/>
      <w:numFmt w:val="lowerRoman"/>
      <w:lvlText w:val="%9."/>
      <w:lvlJc w:val="right"/>
      <w:pPr>
        <w:ind w:left="873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zMzI0NzQ1MLEwMDRQ0lEKTi0uzszPAykwqQUAuv1aFywAAAA="/>
    <w:docVar w:name="commondata" w:val="eyJoZGlkIjoiMmMzYTMyNTY2ZmVjZDVjMjVhYWNiNzRlMWI0OWY3M2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gen Biomat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r59taacsxdf3ep29u5wd9g5adrzd5zzvzw&quot;&gt;My EndNote Library&lt;record-ids&gt;&lt;item&gt;263&lt;/item&gt;&lt;item&gt;278&lt;/item&gt;&lt;item&gt;297&lt;/item&gt;&lt;item&gt;308&lt;/item&gt;&lt;/record-ids&gt;&lt;/item&gt;&lt;/Libraries&gt;"/>
  </w:docVars>
  <w:rsids>
    <w:rsidRoot w:val="00A20359"/>
    <w:rsid w:val="00007BEC"/>
    <w:rsid w:val="00067A07"/>
    <w:rsid w:val="0007054C"/>
    <w:rsid w:val="000F06F6"/>
    <w:rsid w:val="0010606F"/>
    <w:rsid w:val="00106DBF"/>
    <w:rsid w:val="00107910"/>
    <w:rsid w:val="001442FB"/>
    <w:rsid w:val="00172FDC"/>
    <w:rsid w:val="00190323"/>
    <w:rsid w:val="00197D30"/>
    <w:rsid w:val="001D036D"/>
    <w:rsid w:val="001D2463"/>
    <w:rsid w:val="001F3CCB"/>
    <w:rsid w:val="00200D31"/>
    <w:rsid w:val="00217263"/>
    <w:rsid w:val="002460E1"/>
    <w:rsid w:val="00270D23"/>
    <w:rsid w:val="002B677C"/>
    <w:rsid w:val="002C7915"/>
    <w:rsid w:val="00326C1F"/>
    <w:rsid w:val="00330FDE"/>
    <w:rsid w:val="00336912"/>
    <w:rsid w:val="0036217D"/>
    <w:rsid w:val="00377F2C"/>
    <w:rsid w:val="00385461"/>
    <w:rsid w:val="003D01A6"/>
    <w:rsid w:val="0043751D"/>
    <w:rsid w:val="00454858"/>
    <w:rsid w:val="004561FA"/>
    <w:rsid w:val="00467574"/>
    <w:rsid w:val="00493841"/>
    <w:rsid w:val="004968DE"/>
    <w:rsid w:val="004B6C6A"/>
    <w:rsid w:val="00501971"/>
    <w:rsid w:val="005127BD"/>
    <w:rsid w:val="00523415"/>
    <w:rsid w:val="00601603"/>
    <w:rsid w:val="00605DC8"/>
    <w:rsid w:val="006121E6"/>
    <w:rsid w:val="00622A77"/>
    <w:rsid w:val="00624F7B"/>
    <w:rsid w:val="00627A05"/>
    <w:rsid w:val="0064774F"/>
    <w:rsid w:val="00652BB2"/>
    <w:rsid w:val="00691E3D"/>
    <w:rsid w:val="006A576D"/>
    <w:rsid w:val="006C015E"/>
    <w:rsid w:val="006C06E5"/>
    <w:rsid w:val="006E0809"/>
    <w:rsid w:val="006E4F53"/>
    <w:rsid w:val="00703E38"/>
    <w:rsid w:val="0071731B"/>
    <w:rsid w:val="0072647B"/>
    <w:rsid w:val="00745815"/>
    <w:rsid w:val="007464AC"/>
    <w:rsid w:val="007634B8"/>
    <w:rsid w:val="007667C9"/>
    <w:rsid w:val="007F0E60"/>
    <w:rsid w:val="00800000"/>
    <w:rsid w:val="008215C5"/>
    <w:rsid w:val="00831F31"/>
    <w:rsid w:val="00843967"/>
    <w:rsid w:val="0086692C"/>
    <w:rsid w:val="00870DC8"/>
    <w:rsid w:val="008849F1"/>
    <w:rsid w:val="008904A7"/>
    <w:rsid w:val="008C26D1"/>
    <w:rsid w:val="00930528"/>
    <w:rsid w:val="0094103F"/>
    <w:rsid w:val="00952787"/>
    <w:rsid w:val="00985CE9"/>
    <w:rsid w:val="009C1F92"/>
    <w:rsid w:val="00A03D9B"/>
    <w:rsid w:val="00A14307"/>
    <w:rsid w:val="00A20359"/>
    <w:rsid w:val="00A270EE"/>
    <w:rsid w:val="00AB700F"/>
    <w:rsid w:val="00AD3964"/>
    <w:rsid w:val="00AF2DC8"/>
    <w:rsid w:val="00B0332F"/>
    <w:rsid w:val="00B12ACF"/>
    <w:rsid w:val="00B1637E"/>
    <w:rsid w:val="00B53538"/>
    <w:rsid w:val="00BA39BF"/>
    <w:rsid w:val="00BF65F6"/>
    <w:rsid w:val="00C06974"/>
    <w:rsid w:val="00C25310"/>
    <w:rsid w:val="00C36CD5"/>
    <w:rsid w:val="00C5495E"/>
    <w:rsid w:val="00C631ED"/>
    <w:rsid w:val="00CC2A4D"/>
    <w:rsid w:val="00CF52B1"/>
    <w:rsid w:val="00D03F9F"/>
    <w:rsid w:val="00D12794"/>
    <w:rsid w:val="00D242AE"/>
    <w:rsid w:val="00D307B1"/>
    <w:rsid w:val="00D31410"/>
    <w:rsid w:val="00D57D50"/>
    <w:rsid w:val="00D93CD7"/>
    <w:rsid w:val="00DA28F6"/>
    <w:rsid w:val="00DB79BE"/>
    <w:rsid w:val="00E05F70"/>
    <w:rsid w:val="00E0637F"/>
    <w:rsid w:val="00E2354B"/>
    <w:rsid w:val="00E330BB"/>
    <w:rsid w:val="00E86369"/>
    <w:rsid w:val="00E976C3"/>
    <w:rsid w:val="00ED354B"/>
    <w:rsid w:val="00EF6C6A"/>
    <w:rsid w:val="00F1450D"/>
    <w:rsid w:val="00FF57E8"/>
    <w:rsid w:val="076241A0"/>
    <w:rsid w:val="0C0B7503"/>
    <w:rsid w:val="1B495A57"/>
    <w:rsid w:val="1D9D72B5"/>
    <w:rsid w:val="212E5E1B"/>
    <w:rsid w:val="23104B4F"/>
    <w:rsid w:val="23F11A2F"/>
    <w:rsid w:val="29D21B8E"/>
    <w:rsid w:val="2EA31C8E"/>
    <w:rsid w:val="327D4796"/>
    <w:rsid w:val="33F6497F"/>
    <w:rsid w:val="38930637"/>
    <w:rsid w:val="39E44198"/>
    <w:rsid w:val="44C55076"/>
    <w:rsid w:val="4AAE5753"/>
    <w:rsid w:val="4E995B1E"/>
    <w:rsid w:val="500F29B4"/>
    <w:rsid w:val="698E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6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6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9">
    <w:name w:val="line number"/>
    <w:basedOn w:val="8"/>
    <w:semiHidden/>
    <w:unhideWhenUsed/>
    <w:qFormat/>
    <w:uiPriority w:val="99"/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MDPI_1.1_article_type"/>
    <w:next w:val="1"/>
    <w:qFormat/>
    <w:uiPriority w:val="0"/>
    <w:pPr>
      <w:adjustRightInd w:val="0"/>
      <w:snapToGrid w:val="0"/>
      <w:spacing w:before="240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12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13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4">
    <w:name w:val="MDPI_1.4_history"/>
    <w:basedOn w:val="1"/>
    <w:next w:val="1"/>
    <w:qFormat/>
    <w:uiPriority w:val="0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hAnsi="Palatino Linotype" w:eastAsia="Times New Roman" w:cs="Times New Roman"/>
      <w:color w:val="000000"/>
      <w:kern w:val="0"/>
      <w:sz w:val="14"/>
      <w:szCs w:val="20"/>
      <w:lang w:eastAsia="de-DE" w:bidi="en-US"/>
    </w:rPr>
  </w:style>
  <w:style w:type="paragraph" w:customStyle="1" w:styleId="15">
    <w:name w:val="MDPI_1.5_academic_editor"/>
    <w:qFormat/>
    <w:uiPriority w:val="0"/>
    <w:pPr>
      <w:adjustRightInd w:val="0"/>
      <w:snapToGrid w:val="0"/>
      <w:spacing w:before="240" w:line="240" w:lineRule="atLeast"/>
      <w:ind w:right="113"/>
    </w:pPr>
    <w:rPr>
      <w:rFonts w:ascii="Palatino Linotype" w:hAnsi="Palatino Linotype" w:eastAsia="Times New Roman" w:cs="Times New Roman"/>
      <w:color w:val="000000"/>
      <w:sz w:val="14"/>
      <w:szCs w:val="22"/>
      <w:lang w:val="en-US" w:eastAsia="de-DE" w:bidi="en-US"/>
    </w:rPr>
  </w:style>
  <w:style w:type="paragraph" w:customStyle="1" w:styleId="16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17">
    <w:name w:val="MDPI_1.7_abstract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paragraph" w:customStyle="1" w:styleId="18">
    <w:name w:val="MDPI_1.8_keywords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19">
    <w:name w:val="MDPI_1.9_classification"/>
    <w:qFormat/>
    <w:uiPriority w:val="0"/>
    <w:pPr>
      <w:spacing w:before="240" w:line="260" w:lineRule="atLeast"/>
      <w:ind w:left="113"/>
      <w:jc w:val="both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20">
    <w:name w:val="MDPI_1.9_line"/>
    <w:qFormat/>
    <w:uiPriority w:val="0"/>
    <w:pPr>
      <w:pBdr>
        <w:bottom w:val="single" w:color="auto" w:sz="6" w:space="1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hAnsi="Palatino Linotype" w:eastAsia="Times New Roman" w:cs="Cordia New"/>
      <w:color w:val="000000"/>
      <w:szCs w:val="24"/>
      <w:lang w:val="en-US" w:eastAsia="de-DE" w:bidi="en-US"/>
    </w:rPr>
  </w:style>
  <w:style w:type="paragraph" w:customStyle="1" w:styleId="21">
    <w:name w:val="MDPI_2.1_heading1"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22">
    <w:name w:val="MDPI_2.2_heading2"/>
    <w:qFormat/>
    <w:uiPriority w:val="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23">
    <w:name w:val="MDPI_2.3_heading3"/>
    <w:qFormat/>
    <w:uiPriority w:val="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4">
    <w:name w:val="MDPI_3.1_tex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5">
    <w:name w:val="MDPI_3.2_text_no_indent"/>
    <w:basedOn w:val="24"/>
    <w:qFormat/>
    <w:uiPriority w:val="0"/>
    <w:pPr>
      <w:ind w:firstLine="0"/>
    </w:pPr>
  </w:style>
  <w:style w:type="paragraph" w:customStyle="1" w:styleId="26">
    <w:name w:val="MDPI_3.3_text_space_after"/>
    <w:qFormat/>
    <w:uiPriority w:val="0"/>
    <w:pPr>
      <w:adjustRightInd w:val="0"/>
      <w:snapToGrid w:val="0"/>
      <w:spacing w:after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7">
    <w:name w:val="MDPI_3.4_text_space_before"/>
    <w:qFormat/>
    <w:uiPriority w:val="0"/>
    <w:pPr>
      <w:adjustRightInd w:val="0"/>
      <w:snapToGrid w:val="0"/>
      <w:spacing w:before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8">
    <w:name w:val="MDPI_3.5_text_before_lis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29">
    <w:name w:val="MDPI_3.6_text_after_list"/>
    <w:qFormat/>
    <w:uiPriority w:val="0"/>
    <w:pPr>
      <w:adjustRightInd w:val="0"/>
      <w:snapToGrid w:val="0"/>
      <w:spacing w:before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0">
    <w:name w:val="MDPI_3.7_itemize"/>
    <w:qFormat/>
    <w:uiPriority w:val="0"/>
    <w:pPr>
      <w:numPr>
        <w:ilvl w:val="0"/>
        <w:numId w:val="1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31">
    <w:name w:val="MDPI_3.8_bullet"/>
    <w:qFormat/>
    <w:uiPriority w:val="0"/>
    <w:pPr>
      <w:numPr>
        <w:ilvl w:val="0"/>
        <w:numId w:val="2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32">
    <w:name w:val="MDPI_3.9_equation"/>
    <w:qFormat/>
    <w:uiPriority w:val="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3">
    <w:name w:val="MDPI_3.a_equation_number"/>
    <w:qFormat/>
    <w:uiPriority w:val="0"/>
    <w:pPr>
      <w:spacing w:before="120" w:after="120"/>
      <w:jc w:val="right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4">
    <w:name w:val="MDPI_4.1.1_one_tabl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Cordia New"/>
      <w:color w:val="000000"/>
      <w:sz w:val="18"/>
      <w:szCs w:val="22"/>
      <w:lang w:val="en-US" w:eastAsia="zh-CN" w:bidi="en-US"/>
    </w:rPr>
  </w:style>
  <w:style w:type="paragraph" w:customStyle="1" w:styleId="35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table" w:customStyle="1" w:styleId="36">
    <w:name w:val="MDPI_4.1_three_line_table"/>
    <w:basedOn w:val="7"/>
    <w:qFormat/>
    <w:uiPriority w:val="9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paragraph" w:customStyle="1" w:styleId="37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38">
    <w:name w:val="MDPI_4.3_table_footer"/>
    <w:next w:val="24"/>
    <w:qFormat/>
    <w:uiPriority w:val="0"/>
    <w:pPr>
      <w:adjustRightInd w:val="0"/>
      <w:snapToGrid w:val="0"/>
      <w:spacing w:line="228" w:lineRule="auto"/>
      <w:ind w:left="2608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39">
    <w:name w:val="MDPI_5.1.1_one_figur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Times New Roman"/>
      <w:color w:val="000000"/>
      <w:sz w:val="18"/>
      <w:lang w:val="en-US" w:eastAsia="zh-CN" w:bidi="en-US"/>
    </w:rPr>
  </w:style>
  <w:style w:type="paragraph" w:customStyle="1" w:styleId="40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41">
    <w:name w:val="MDPI_5.2_figure"/>
    <w:qFormat/>
    <w:uiPriority w:val="0"/>
    <w:pPr>
      <w:adjustRightInd w:val="0"/>
      <w:snapToGrid w:val="0"/>
      <w:spacing w:before="240" w:after="120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2">
    <w:name w:val="MDPI_6.1_Citation"/>
    <w:qFormat/>
    <w:uiPriority w:val="0"/>
    <w:pPr>
      <w:adjustRightInd w:val="0"/>
      <w:snapToGrid w:val="0"/>
      <w:spacing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43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44">
    <w:name w:val="MDPI_6.3_Notes"/>
    <w:qFormat/>
    <w:uiPriority w:val="0"/>
    <w:pPr>
      <w:adjustRightInd w:val="0"/>
      <w:snapToGrid w:val="0"/>
      <w:spacing w:after="120" w:line="240" w:lineRule="atLeast"/>
      <w:ind w:right="113"/>
    </w:pPr>
    <w:rPr>
      <w:rFonts w:ascii="Palatino Linotype" w:hAnsi="Palatino Linotype" w:eastAsia="宋体" w:cs="Times New Roman"/>
      <w:snapToGrid w:val="0"/>
      <w:color w:val="000000"/>
      <w:sz w:val="14"/>
      <w:lang w:val="en-US" w:eastAsia="en-US" w:bidi="en-US"/>
    </w:rPr>
  </w:style>
  <w:style w:type="paragraph" w:customStyle="1" w:styleId="45">
    <w:name w:val="MDPI_7.1_FootNotes"/>
    <w:qFormat/>
    <w:uiPriority w:val="0"/>
    <w:pPr>
      <w:numPr>
        <w:ilvl w:val="0"/>
        <w:numId w:val="3"/>
      </w:numPr>
      <w:adjustRightInd w:val="0"/>
      <w:snapToGrid w:val="0"/>
      <w:spacing w:line="228" w:lineRule="auto"/>
      <w:jc w:val="both"/>
    </w:pPr>
    <w:rPr>
      <w:rFonts w:ascii="Palatino Linotype" w:hAnsi="Palatino Linotype" w:cs="Times New Roman" w:eastAsiaTheme="minorEastAsia"/>
      <w:color w:val="000000"/>
      <w:sz w:val="18"/>
      <w:lang w:val="en-US" w:eastAsia="zh-CN" w:bidi="ar-SA"/>
    </w:rPr>
  </w:style>
  <w:style w:type="paragraph" w:customStyle="1" w:styleId="46">
    <w:name w:val="MDPI_7.1_References"/>
    <w:qFormat/>
    <w:uiPriority w:val="0"/>
    <w:pPr>
      <w:numPr>
        <w:ilvl w:val="0"/>
        <w:numId w:val="4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47">
    <w:name w:val="MDPI_7.2_Copyright"/>
    <w:qFormat/>
    <w:uiPriority w:val="0"/>
    <w:pPr>
      <w:adjustRightInd w:val="0"/>
      <w:snapToGrid w:val="0"/>
      <w:spacing w:before="240" w:line="240" w:lineRule="atLeast"/>
      <w:ind w:right="113"/>
    </w:pPr>
    <w:rPr>
      <w:rFonts w:ascii="Palatino Linotype" w:hAnsi="Palatino Linotype" w:eastAsia="Times New Roman" w:cs="Times New Roman"/>
      <w:snapToGrid w:val="0"/>
      <w:color w:val="000000"/>
      <w:spacing w:val="-2"/>
      <w:sz w:val="14"/>
      <w:lang w:val="en-GB" w:eastAsia="en-GB" w:bidi="ar-SA"/>
    </w:rPr>
  </w:style>
  <w:style w:type="paragraph" w:customStyle="1" w:styleId="48">
    <w:name w:val="MDPI_7.3_CopyrightImage"/>
    <w:qFormat/>
    <w:uiPriority w:val="0"/>
    <w:pPr>
      <w:adjustRightInd w:val="0"/>
      <w:snapToGrid w:val="0"/>
      <w:spacing w:after="100" w:line="260" w:lineRule="atLeast"/>
      <w:jc w:val="right"/>
    </w:pPr>
    <w:rPr>
      <w:rFonts w:ascii="Palatino Linotype" w:hAnsi="Palatino Linotype" w:eastAsia="Times New Roman" w:cs="Times New Roman"/>
      <w:color w:val="000000"/>
      <w:lang w:val="en-US" w:eastAsia="de-CH" w:bidi="ar-SA"/>
    </w:rPr>
  </w:style>
  <w:style w:type="paragraph" w:customStyle="1" w:styleId="49">
    <w:name w:val="MDPI_8.1_theorem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50">
    <w:name w:val="MDPI_8.2_proof"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51">
    <w:name w:val="MDPI_equationFram"/>
    <w:qFormat/>
    <w:uiPriority w:val="0"/>
    <w:pPr>
      <w:adjustRightInd w:val="0"/>
      <w:snapToGrid w:val="0"/>
      <w:spacing w:before="120" w:after="120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52">
    <w:name w:val="MDPI_footer"/>
    <w:qFormat/>
    <w:uiPriority w:val="0"/>
    <w:pPr>
      <w:adjustRightInd w:val="0"/>
      <w:snapToGrid w:val="0"/>
      <w:spacing w:before="120" w:line="260" w:lineRule="atLeast"/>
      <w:jc w:val="center"/>
    </w:pPr>
    <w:rPr>
      <w:rFonts w:ascii="Palatino Linotype" w:hAnsi="Palatino Linotype" w:eastAsia="Times New Roman" w:cs="Times New Roman"/>
      <w:color w:val="000000"/>
      <w:lang w:val="en-US" w:eastAsia="de-DE" w:bidi="ar-SA"/>
    </w:rPr>
  </w:style>
  <w:style w:type="paragraph" w:customStyle="1" w:styleId="53">
    <w:name w:val="MDPI_footer_firstpage"/>
    <w:qFormat/>
    <w:uiPriority w:val="0"/>
    <w:pPr>
      <w:tabs>
        <w:tab w:val="right" w:pos="8845"/>
      </w:tabs>
      <w:spacing w:line="160" w:lineRule="exact"/>
    </w:pPr>
    <w:rPr>
      <w:rFonts w:ascii="Palatino Linotype" w:hAnsi="Palatino Linotype" w:eastAsia="Times New Roman" w:cs="Times New Roman"/>
      <w:color w:val="000000"/>
      <w:sz w:val="16"/>
      <w:lang w:val="en-US" w:eastAsia="de-DE" w:bidi="ar-SA"/>
    </w:rPr>
  </w:style>
  <w:style w:type="paragraph" w:customStyle="1" w:styleId="54">
    <w:name w:val="MDPI_header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iCs/>
      <w:color w:val="000000"/>
      <w:sz w:val="16"/>
      <w:lang w:val="en-US" w:eastAsia="de-DE" w:bidi="ar-SA"/>
    </w:rPr>
  </w:style>
  <w:style w:type="paragraph" w:customStyle="1" w:styleId="55">
    <w:name w:val="MDPI_header_citation"/>
    <w:qFormat/>
    <w:uiPriority w:val="0"/>
    <w:pPr>
      <w:spacing w:after="240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  <w:style w:type="paragraph" w:customStyle="1" w:styleId="56">
    <w:name w:val="MDPI_header_journal_logo"/>
    <w:qFormat/>
    <w:uiPriority w:val="0"/>
    <w:pPr>
      <w:adjustRightInd w:val="0"/>
      <w:snapToGrid w:val="0"/>
      <w:spacing w:line="260" w:lineRule="atLeast"/>
      <w:jc w:val="both"/>
    </w:pPr>
    <w:rPr>
      <w:rFonts w:ascii="Palatino Linotype" w:hAnsi="Palatino Linotype" w:eastAsia="Times New Roman" w:cs="Times New Roman"/>
      <w:i/>
      <w:color w:val="000000"/>
      <w:sz w:val="24"/>
      <w:szCs w:val="22"/>
      <w:lang w:val="en-US" w:eastAsia="de-CH" w:bidi="ar-SA"/>
    </w:rPr>
  </w:style>
  <w:style w:type="paragraph" w:customStyle="1" w:styleId="57">
    <w:name w:val="MDPI_header_mdpi_logo"/>
    <w:qFormat/>
    <w:uiPriority w:val="0"/>
    <w:pPr>
      <w:adjustRightInd w:val="0"/>
      <w:snapToGrid w:val="0"/>
      <w:spacing w:line="260" w:lineRule="atLeast"/>
      <w:jc w:val="right"/>
    </w:pPr>
    <w:rPr>
      <w:rFonts w:ascii="Palatino Linotype" w:hAnsi="Palatino Linotype" w:eastAsia="Times New Roman" w:cs="Times New Roman"/>
      <w:color w:val="000000"/>
      <w:sz w:val="24"/>
      <w:szCs w:val="22"/>
      <w:lang w:val="en-US" w:eastAsia="de-CH" w:bidi="ar-SA"/>
    </w:rPr>
  </w:style>
  <w:style w:type="table" w:customStyle="1" w:styleId="58">
    <w:name w:val="MDPI_Table"/>
    <w:basedOn w:val="7"/>
    <w:qFormat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59">
    <w:name w:val="MDPI_text"/>
    <w:qFormat/>
    <w:uiPriority w:val="0"/>
    <w:pPr>
      <w:spacing w:line="260" w:lineRule="atLeast"/>
      <w:ind w:left="425" w:right="425" w:firstLine="284"/>
      <w:jc w:val="both"/>
    </w:pPr>
    <w:rPr>
      <w:rFonts w:ascii="Times New Roman" w:hAnsi="Times New Roman" w:eastAsia="Times New Roman" w:cs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60">
    <w:name w:val="MDPI_title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61">
    <w:name w:val="MsoFootnoteText"/>
    <w:basedOn w:val="6"/>
    <w:qFormat/>
    <w:uiPriority w:val="0"/>
    <w:pPr>
      <w:widowControl/>
      <w:spacing w:line="260" w:lineRule="atLeast"/>
    </w:pPr>
    <w:rPr>
      <w:rFonts w:eastAsia="宋体"/>
      <w:color w:val="000000"/>
      <w:kern w:val="0"/>
      <w:sz w:val="20"/>
    </w:rPr>
  </w:style>
  <w:style w:type="paragraph" w:customStyle="1" w:styleId="62">
    <w:name w:val="EndNote Bibliography Title"/>
    <w:basedOn w:val="1"/>
    <w:link w:val="63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63">
    <w:name w:val="EndNote Bibliography Title 字符"/>
    <w:basedOn w:val="8"/>
    <w:link w:val="62"/>
    <w:qFormat/>
    <w:uiPriority w:val="0"/>
    <w:rPr>
      <w:rFonts w:ascii="等线" w:hAnsi="等线" w:eastAsia="等线"/>
      <w:sz w:val="20"/>
    </w:rPr>
  </w:style>
  <w:style w:type="paragraph" w:customStyle="1" w:styleId="64">
    <w:name w:val="EndNote Bibliography"/>
    <w:basedOn w:val="1"/>
    <w:link w:val="65"/>
    <w:qFormat/>
    <w:uiPriority w:val="0"/>
    <w:rPr>
      <w:rFonts w:ascii="等线" w:hAnsi="等线" w:eastAsia="等线"/>
      <w:sz w:val="20"/>
    </w:rPr>
  </w:style>
  <w:style w:type="character" w:customStyle="1" w:styleId="65">
    <w:name w:val="EndNote Bibliography 字符"/>
    <w:basedOn w:val="8"/>
    <w:link w:val="64"/>
    <w:qFormat/>
    <w:uiPriority w:val="0"/>
    <w:rPr>
      <w:rFonts w:ascii="等线" w:hAnsi="等线" w:eastAsia="等线"/>
      <w:sz w:val="20"/>
    </w:rPr>
  </w:style>
  <w:style w:type="character" w:customStyle="1" w:styleId="66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7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68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69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70">
    <w:name w:val="List Paragraph"/>
    <w:basedOn w:val="1"/>
    <w:qFormat/>
    <w:uiPriority w:val="34"/>
    <w:pPr>
      <w:ind w:firstLine="420" w:firstLineChars="200"/>
    </w:pPr>
  </w:style>
  <w:style w:type="paragraph" w:customStyle="1" w:styleId="7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03AD0-78F3-4045-91D6-95843AA5A7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617</Words>
  <Characters>3241</Characters>
  <Lines>30</Lines>
  <Paragraphs>8</Paragraphs>
  <TotalTime>8</TotalTime>
  <ScaleCrop>false</ScaleCrop>
  <LinksUpToDate>false</LinksUpToDate>
  <CharactersWithSpaces>3653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2025-10-08T06:03:00Z</dcterms:created>
  <dc:creator>燕 博民</dc:creator>
  <cp:lastModifiedBy>孙恒亮</cp:lastModifiedBy>
  <dcterms:modified xsi:type="dcterms:W3CDTF">2026-02-07T13:24:23Z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6bad53745da7084082fc2697d5d5add6687e58fb45d46070709a477b2fde0f0e</vt:lpwstr>
  </property>
  <property fmtid="{D5CDD505-2E9C-101B-9397-08002B2CF9AE}" pid="3" name="KSOProductBuildVer">
    <vt:lpwstr>2052-12.1.0.25225</vt:lpwstr>
  </property>
  <property fmtid="{D5CDD505-2E9C-101B-9397-08002B2CF9AE}" pid="4" name="ICV">
    <vt:lpwstr>5F5CA0EE4C9B4D31AB4ED4BAE2B6D68B_12</vt:lpwstr>
  </property>
  <property fmtid="{D5CDD505-2E9C-101B-9397-08002B2CF9AE}" pid="5" name="KSOTemplateDocerSaveRecord">
    <vt:lpwstr>eyJoZGlkIjoiMmMzYTMyNTY2ZmVjZDVjMjVhYWNiNzRlMWI0OWY3M2QiLCJ1c2VySWQiOiIzNjExODkwNzAifQ==</vt:lpwstr>
  </property>
</Properties>
</file>