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D8324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Supplementary Figure S1. Internal Validation of the Anthropometric Prediction Equation against Dual-Energy X-ray Absorptiometry (DXA) Measurements in the NHANES Cohort</w:t>
      </w:r>
    </w:p>
    <w:p w14:paraId="2E177FD9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639695" cy="2376170"/>
            <wp:effectExtent l="0" t="0" r="12065" b="1270"/>
            <wp:docPr id="1" name="图片 1" descr="附加验证肌少症公式图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加验证肌少症公式图1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7C5F2">
      <w:pPr>
        <w:rPr>
          <w:rFonts w:ascii="宋体" w:hAnsi="宋体" w:eastAsia="宋体" w:cs="宋体"/>
          <w:sz w:val="24"/>
          <w:szCs w:val="24"/>
        </w:rPr>
      </w:pPr>
    </w:p>
    <w:p w14:paraId="31F04AC9">
      <w:pPr>
        <w:rPr>
          <w:rFonts w:hint="default" w:ascii="Times New Roman" w:hAnsi="Times New Roman" w:eastAsia="宋体" w:cs="Times New Roman"/>
          <w:sz w:val="15"/>
          <w:szCs w:val="15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15"/>
          <w:szCs w:val="15"/>
        </w:rPr>
        <w:t>(A)</w:t>
      </w:r>
      <w:r>
        <w:rPr>
          <w:rFonts w:hint="default" w:ascii="Times New Roman" w:hAnsi="Times New Roman" w:eastAsia="宋体" w:cs="Times New Roman"/>
          <w:sz w:val="15"/>
          <w:szCs w:val="15"/>
        </w:rPr>
        <w:t xml:space="preserve"> Scatter plot illustrating the correlation between appendicular skeletal muscle mass (ASM) estimated using the anthropometric equation (Wen et al., 2011) and ASM measured by DXA. The Pearson correlation coefficient (</w:t>
      </w:r>
      <w:r>
        <w:rPr>
          <w:rFonts w:hint="default" w:ascii="Times New Roman" w:hAnsi="Times New Roman" w:eastAsia="宋体" w:cs="Times New Roman"/>
          <w:b/>
          <w:bCs/>
          <w:sz w:val="15"/>
          <w:szCs w:val="15"/>
        </w:rPr>
        <w:t>r = 0.944</w:t>
      </w:r>
      <w:r>
        <w:rPr>
          <w:rFonts w:hint="default" w:ascii="Times New Roman" w:hAnsi="Times New Roman" w:eastAsia="宋体" w:cs="Times New Roman"/>
          <w:sz w:val="15"/>
          <w:szCs w:val="15"/>
        </w:rPr>
        <w:t xml:space="preserve">) indicates a strong positive linear relationship. The red line represents the linear regression fit. </w:t>
      </w:r>
      <w:r>
        <w:rPr>
          <w:rFonts w:hint="default" w:ascii="Times New Roman" w:hAnsi="Times New Roman" w:eastAsia="宋体" w:cs="Times New Roman"/>
          <w:b/>
          <w:bCs/>
          <w:sz w:val="15"/>
          <w:szCs w:val="15"/>
        </w:rPr>
        <w:t>(B)</w:t>
      </w:r>
      <w:r>
        <w:rPr>
          <w:rFonts w:hint="default" w:ascii="Times New Roman" w:hAnsi="Times New Roman" w:eastAsia="宋体" w:cs="Times New Roman"/>
          <w:sz w:val="15"/>
          <w:szCs w:val="15"/>
        </w:rPr>
        <w:t xml:space="preserve"> Bland-Altman plot assessing the agreement between the estimated and measured ASM. The blue solid line represents the mean bias (</w:t>
      </w:r>
      <w:r>
        <w:rPr>
          <w:rFonts w:hint="default" w:ascii="Times New Roman" w:hAnsi="Times New Roman" w:eastAsia="宋体" w:cs="Times New Roman"/>
          <w:b/>
          <w:bCs/>
          <w:sz w:val="15"/>
          <w:szCs w:val="15"/>
        </w:rPr>
        <w:t>-0.X kg</w:t>
      </w:r>
      <w:r>
        <w:rPr>
          <w:rFonts w:hint="default" w:ascii="Times New Roman" w:hAnsi="Times New Roman" w:eastAsia="宋体" w:cs="Times New Roman"/>
          <w:sz w:val="15"/>
          <w:szCs w:val="15"/>
        </w:rPr>
        <w:t xml:space="preserve">), and the red dashed lines indicate the 95% limits of agreement (±1.96 SD). </w:t>
      </w:r>
      <w:r>
        <w:rPr>
          <w:rFonts w:hint="default" w:ascii="Times New Roman" w:hAnsi="Times New Roman" w:eastAsia="宋体" w:cs="Times New Roman"/>
          <w:b/>
          <w:bCs/>
          <w:sz w:val="15"/>
          <w:szCs w:val="15"/>
        </w:rPr>
        <w:t>Abbreviation:</w:t>
      </w:r>
      <w:r>
        <w:rPr>
          <w:rFonts w:hint="default" w:ascii="Times New Roman" w:hAnsi="Times New Roman" w:eastAsia="宋体" w:cs="Times New Roman"/>
          <w:sz w:val="15"/>
          <w:szCs w:val="15"/>
        </w:rPr>
        <w:t xml:space="preserve"> ASM, appendicular skeletal muscle mass; DXA, dual-energy X-ray absorptiometry; SD, standard deviation</w:t>
      </w:r>
      <w:r>
        <w:rPr>
          <w:rFonts w:hint="default" w:ascii="Times New Roman" w:hAnsi="Times New Roman" w:eastAsia="宋体" w:cs="Times New Roman"/>
          <w:sz w:val="15"/>
          <w:szCs w:val="15"/>
          <w:lang w:val="en-US" w:eastAsia="zh-CN"/>
        </w:rPr>
        <w:t>.</w:t>
      </w:r>
    </w:p>
    <w:p w14:paraId="5C1AFBBC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1BAEE94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ABF4B1A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Supplementary Table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. Fine-Gray Competing Risk Regression for Incident CVD Events.</w:t>
      </w:r>
    </w:p>
    <w:tbl>
      <w:tblPr>
        <w:tblStyle w:val="4"/>
        <w:tblW w:w="367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529"/>
        <w:gridCol w:w="837"/>
      </w:tblGrid>
      <w:tr w14:paraId="5C00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167BE21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Phenotype</w:t>
            </w:r>
          </w:p>
        </w:tc>
        <w:tc>
          <w:tcPr>
            <w:tcW w:w="154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617BBFB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SHR (95% CI)</w:t>
            </w:r>
          </w:p>
        </w:tc>
        <w:tc>
          <w:tcPr>
            <w:tcW w:w="816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605C9F5C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 Value</w:t>
            </w:r>
          </w:p>
        </w:tc>
      </w:tr>
      <w:tr w14:paraId="7C42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975A7AB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54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20170065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1.00 (Ref)</w:t>
            </w:r>
          </w:p>
        </w:tc>
        <w:tc>
          <w:tcPr>
            <w:tcW w:w="816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23776B5B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</w:tr>
      <w:tr w14:paraId="033D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30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2B46867B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Obesity Only</w:t>
            </w:r>
          </w:p>
        </w:tc>
        <w:tc>
          <w:tcPr>
            <w:tcW w:w="154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2DF25204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1.51 (1.31–1.74)</w:t>
            </w:r>
          </w:p>
        </w:tc>
        <w:tc>
          <w:tcPr>
            <w:tcW w:w="816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6CBD1722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&lt;0.001</w:t>
            </w:r>
          </w:p>
        </w:tc>
      </w:tr>
      <w:tr w14:paraId="0965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30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26D65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1F1F1F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1F1F1F"/>
                <w:kern w:val="0"/>
                <w:sz w:val="22"/>
                <w:szCs w:val="22"/>
                <w:u w:val="none"/>
                <w:lang w:val="en-US" w:eastAsia="zh-CN" w:bidi="ar"/>
              </w:rPr>
              <w:t>Sarcopenia Only</w:t>
            </w:r>
          </w:p>
        </w:tc>
        <w:tc>
          <w:tcPr>
            <w:tcW w:w="154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3D279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F1F1F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F1F1F"/>
                <w:kern w:val="0"/>
                <w:sz w:val="22"/>
                <w:szCs w:val="22"/>
                <w:u w:val="none"/>
                <w:lang w:val="en-US" w:eastAsia="zh-CN" w:bidi="ar"/>
              </w:rPr>
              <w:t>1.23 (1.04–1.46)</w:t>
            </w:r>
          </w:p>
        </w:tc>
        <w:tc>
          <w:tcPr>
            <w:tcW w:w="816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36D27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F1F1F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F1F1F"/>
                <w:kern w:val="0"/>
                <w:sz w:val="22"/>
                <w:szCs w:val="22"/>
                <w:u w:val="none"/>
                <w:lang w:val="en-US" w:eastAsia="zh-CN" w:bidi="ar"/>
              </w:rPr>
              <w:t>0.016</w:t>
            </w:r>
          </w:p>
        </w:tc>
      </w:tr>
      <w:tr w14:paraId="6BDD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30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1211F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1F1F1F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1F1F1F"/>
                <w:kern w:val="0"/>
                <w:sz w:val="22"/>
                <w:szCs w:val="22"/>
                <w:u w:val="none"/>
                <w:lang w:val="en-US" w:eastAsia="zh-CN" w:bidi="ar"/>
              </w:rPr>
              <w:t>Sarcopenic Obesity</w:t>
            </w:r>
          </w:p>
        </w:tc>
        <w:tc>
          <w:tcPr>
            <w:tcW w:w="154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1A7BD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1F1F1F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1F1F1F"/>
                <w:kern w:val="0"/>
                <w:sz w:val="22"/>
                <w:szCs w:val="22"/>
                <w:u w:val="none"/>
                <w:lang w:val="en-US" w:eastAsia="zh-CN" w:bidi="ar"/>
              </w:rPr>
              <w:t>2.09 (1.77–2.46)</w:t>
            </w:r>
          </w:p>
        </w:tc>
        <w:tc>
          <w:tcPr>
            <w:tcW w:w="816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2357E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1F1F1F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1F1F1F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</w:tbl>
    <w:p w14:paraId="7C2B9DF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121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ADE3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2ADE3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27607"/>
    <w:rsid w:val="0EEF0D5D"/>
    <w:rsid w:val="232E0BDC"/>
    <w:rsid w:val="2B7778C1"/>
    <w:rsid w:val="37F27607"/>
    <w:rsid w:val="588B518B"/>
    <w:rsid w:val="6186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934</Characters>
  <Lines>0</Lines>
  <Paragraphs>0</Paragraphs>
  <TotalTime>21</TotalTime>
  <ScaleCrop>false</ScaleCrop>
  <LinksUpToDate>false</LinksUpToDate>
  <CharactersWithSpaces>1067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2025-12-27T12:20:00Z</dcterms:created>
  <dc:creator>Once more</dc:creator>
  <cp:lastModifiedBy>Once more</cp:lastModifiedBy>
  <dcterms:modified xsi:type="dcterms:W3CDTF">2026-01-16T01:57:56Z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E19DBA615FDA49F4B470069334ADC711_11</vt:lpwstr>
  </property>
  <property fmtid="{D5CDD505-2E9C-101B-9397-08002B2CF9AE}" pid="4" name="KSOTemplateDocerSaveRecord">
    <vt:lpwstr>eyJoZGlkIjoiNjYyNTNlODczY2YyNjA3ZDk4NGJlYTczMGEzNGMyMWQiLCJ1c2VySWQiOiIyOTU2MDExNTYifQ==</vt:lpwstr>
  </property>
</Properties>
</file>