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16ADF" w:rsidRDefault="00516ADF" w:rsidP="00516ADF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Supplementary Figure legend:</w:t>
      </w:r>
    </w:p>
    <w:p w:rsidR="006F1A87" w:rsidRDefault="006F1A87" w:rsidP="00516ADF">
      <w:pPr>
        <w:rPr>
          <w:color w:val="000000" w:themeColor="text1"/>
        </w:rPr>
      </w:pPr>
    </w:p>
    <w:p w:rsidR="00516ADF" w:rsidRPr="00A80CB3" w:rsidRDefault="00516ADF" w:rsidP="00516ADF">
      <w:pPr>
        <w:rPr>
          <w:color w:val="000000" w:themeColor="text1"/>
        </w:rPr>
      </w:pPr>
      <w:r w:rsidRPr="006F1A87">
        <w:rPr>
          <w:b/>
          <w:bCs/>
          <w:color w:val="000000" w:themeColor="text1"/>
        </w:rPr>
        <w:t>Supplementary Figure 1.</w:t>
      </w:r>
      <w:r w:rsidRPr="00A80CB3">
        <w:rPr>
          <w:color w:val="000000" w:themeColor="text1"/>
        </w:rPr>
        <w:t xml:space="preserve"> Location of continuous TTAGGG repeat tracts within the terminal 10 kb of T2T-CHM13v2.0, under the 270, 280, 290, and 300 b</w:t>
      </w:r>
      <w:r>
        <w:rPr>
          <w:color w:val="000000" w:themeColor="text1"/>
        </w:rPr>
        <w:t>ase</w:t>
      </w:r>
      <w:r w:rsidRPr="00A80CB3">
        <w:rPr>
          <w:color w:val="000000" w:themeColor="text1"/>
        </w:rPr>
        <w:t xml:space="preserve"> thresholds.</w:t>
      </w:r>
    </w:p>
    <w:p w:rsidR="006F1A87" w:rsidRDefault="006F1A87" w:rsidP="00516ADF">
      <w:pPr>
        <w:rPr>
          <w:color w:val="000000" w:themeColor="text1"/>
        </w:rPr>
      </w:pPr>
    </w:p>
    <w:p w:rsidR="00516ADF" w:rsidRPr="00A80CB3" w:rsidRDefault="00516ADF" w:rsidP="00516ADF">
      <w:pPr>
        <w:rPr>
          <w:color w:val="000000" w:themeColor="text1"/>
        </w:rPr>
      </w:pPr>
      <w:r w:rsidRPr="006F1A87">
        <w:rPr>
          <w:b/>
          <w:bCs/>
          <w:color w:val="000000" w:themeColor="text1"/>
        </w:rPr>
        <w:t>Supplementary Figure 2.</w:t>
      </w:r>
      <w:r w:rsidRPr="00A80CB3">
        <w:rPr>
          <w:color w:val="000000" w:themeColor="text1"/>
        </w:rPr>
        <w:t xml:space="preserve"> Location of continuous GCGCCTGCGC repeat tracts within the terminal 10 kb of T2T-CHM13v2.0, under the 20, 30, 235, and 240 b</w:t>
      </w:r>
      <w:r>
        <w:rPr>
          <w:color w:val="000000" w:themeColor="text1"/>
        </w:rPr>
        <w:t>ase</w:t>
      </w:r>
      <w:r w:rsidRPr="00A80CB3">
        <w:rPr>
          <w:color w:val="000000" w:themeColor="text1"/>
        </w:rPr>
        <w:t xml:space="preserve"> thresholds.</w:t>
      </w:r>
    </w:p>
    <w:p w:rsidR="006F1A87" w:rsidRDefault="006F1A87" w:rsidP="00516ADF">
      <w:pPr>
        <w:rPr>
          <w:color w:val="000000" w:themeColor="text1"/>
        </w:rPr>
      </w:pPr>
    </w:p>
    <w:p w:rsidR="00516ADF" w:rsidRPr="00577FB7" w:rsidRDefault="00516ADF" w:rsidP="00516ADF">
      <w:pPr>
        <w:rPr>
          <w:color w:val="000000" w:themeColor="text1"/>
        </w:rPr>
      </w:pPr>
      <w:r w:rsidRPr="006F1A87">
        <w:rPr>
          <w:b/>
          <w:bCs/>
          <w:color w:val="000000" w:themeColor="text1"/>
        </w:rPr>
        <w:t>Supplementary Figure 3.</w:t>
      </w:r>
      <w:r w:rsidRPr="00A80CB3">
        <w:rPr>
          <w:color w:val="000000" w:themeColor="text1"/>
        </w:rPr>
        <w:t xml:space="preserve"> </w:t>
      </w:r>
      <w:r w:rsidRPr="00577FB7">
        <w:rPr>
          <w:color w:val="000000" w:themeColor="text1"/>
        </w:rPr>
        <w:t>Combined distribution of telomeric and GC-rich motifs across the 50-kb terminal regions of each chromosome in T2T-CHM13v2.0.</w:t>
      </w:r>
    </w:p>
    <w:p w:rsidR="006F1A87" w:rsidRDefault="006F1A87" w:rsidP="00516ADF">
      <w:pPr>
        <w:rPr>
          <w:color w:val="000000" w:themeColor="text1"/>
        </w:rPr>
      </w:pPr>
    </w:p>
    <w:p w:rsidR="00516ADF" w:rsidRPr="00A80CB3" w:rsidRDefault="00516ADF" w:rsidP="00516ADF">
      <w:pPr>
        <w:rPr>
          <w:color w:val="000000" w:themeColor="text1"/>
        </w:rPr>
      </w:pPr>
      <w:r w:rsidRPr="006F1A87">
        <w:rPr>
          <w:b/>
          <w:bCs/>
          <w:color w:val="000000" w:themeColor="text1"/>
        </w:rPr>
        <w:t>Supplementary Figure 4.</w:t>
      </w:r>
      <w:r w:rsidRPr="00A80CB3">
        <w:rPr>
          <w:color w:val="000000" w:themeColor="text1"/>
        </w:rPr>
        <w:t xml:space="preserve"> Location of GC (</w:t>
      </w:r>
      <w:r>
        <w:rPr>
          <w:color w:val="000000" w:themeColor="text1"/>
        </w:rPr>
        <w:t>b</w:t>
      </w:r>
      <w:r w:rsidRPr="00A80CB3">
        <w:rPr>
          <w:color w:val="000000" w:themeColor="text1"/>
        </w:rPr>
        <w:t>lack) and AT</w:t>
      </w:r>
      <w:r>
        <w:rPr>
          <w:color w:val="000000" w:themeColor="text1"/>
        </w:rPr>
        <w:t xml:space="preserve"> </w:t>
      </w:r>
      <w:r w:rsidRPr="00A80CB3">
        <w:rPr>
          <w:color w:val="000000" w:themeColor="text1"/>
        </w:rPr>
        <w:t>(</w:t>
      </w:r>
      <w:r>
        <w:rPr>
          <w:color w:val="000000" w:themeColor="text1"/>
        </w:rPr>
        <w:t>w</w:t>
      </w:r>
      <w:r w:rsidRPr="00A80CB3">
        <w:rPr>
          <w:color w:val="000000" w:themeColor="text1"/>
        </w:rPr>
        <w:t>hite) with TTAGGG motif repeat within the terminal 500 kb of T2T-CHM13v2.0.</w:t>
      </w:r>
    </w:p>
    <w:p w:rsidR="00EF6AFE" w:rsidRDefault="00EF6AFE"/>
    <w:sectPr w:rsidR="00EF6A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ADF"/>
    <w:rsid w:val="001827E7"/>
    <w:rsid w:val="00395AB9"/>
    <w:rsid w:val="00516ADF"/>
    <w:rsid w:val="006F1A87"/>
    <w:rsid w:val="00846E9E"/>
    <w:rsid w:val="008B0B39"/>
    <w:rsid w:val="009868A6"/>
    <w:rsid w:val="009A7122"/>
    <w:rsid w:val="00DC0549"/>
    <w:rsid w:val="00EF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B3840B"/>
  <w15:chartTrackingRefBased/>
  <w15:docId w15:val="{126D165C-60B8-A347-9AC3-63E19D05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bCs/>
        <w:color w:val="FF0000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ADF"/>
    <w:pPr>
      <w:spacing w:before="100" w:beforeAutospacing="1" w:after="100" w:afterAutospacing="1"/>
      <w:jc w:val="both"/>
    </w:pPr>
    <w:rPr>
      <w:bCs w:val="0"/>
      <w:color w:val="00B05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6ADF"/>
    <w:pPr>
      <w:keepNext/>
      <w:keepLines/>
      <w:spacing w:before="360" w:beforeAutospacing="0" w:after="80" w:afterAutospacing="0"/>
      <w:jc w:val="left"/>
      <w:outlineLvl w:val="0"/>
    </w:pPr>
    <w:rPr>
      <w:rFonts w:asciiTheme="majorHAnsi" w:eastAsiaTheme="majorEastAsia" w:hAnsiTheme="majorHAnsi" w:cstheme="majorBidi"/>
      <w:bCs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ADF"/>
    <w:pPr>
      <w:keepNext/>
      <w:keepLines/>
      <w:spacing w:before="160" w:beforeAutospacing="0" w:after="80" w:afterAutospacing="0"/>
      <w:jc w:val="left"/>
      <w:outlineLvl w:val="1"/>
    </w:pPr>
    <w:rPr>
      <w:rFonts w:asciiTheme="majorHAnsi" w:eastAsiaTheme="majorEastAsia" w:hAnsiTheme="majorHAnsi" w:cstheme="majorBidi"/>
      <w:bCs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ADF"/>
    <w:pPr>
      <w:keepNext/>
      <w:keepLines/>
      <w:spacing w:before="160" w:beforeAutospacing="0" w:after="80" w:afterAutospacing="0"/>
      <w:jc w:val="left"/>
      <w:outlineLvl w:val="2"/>
    </w:pPr>
    <w:rPr>
      <w:rFonts w:asciiTheme="minorHAnsi" w:eastAsiaTheme="majorEastAsia" w:hAnsiTheme="minorHAnsi" w:cstheme="majorBidi"/>
      <w:bCs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ADF"/>
    <w:pPr>
      <w:keepNext/>
      <w:keepLines/>
      <w:spacing w:before="80" w:beforeAutospacing="0" w:after="40" w:afterAutospacing="0"/>
      <w:jc w:val="left"/>
      <w:outlineLvl w:val="3"/>
    </w:pPr>
    <w:rPr>
      <w:rFonts w:asciiTheme="minorHAnsi" w:eastAsiaTheme="majorEastAsia" w:hAnsiTheme="minorHAnsi" w:cstheme="majorBidi"/>
      <w:bCs/>
      <w:i/>
      <w:iCs/>
      <w:color w:val="2F5496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ADF"/>
    <w:pPr>
      <w:keepNext/>
      <w:keepLines/>
      <w:spacing w:before="80" w:beforeAutospacing="0" w:after="40" w:afterAutospacing="0"/>
      <w:jc w:val="left"/>
      <w:outlineLvl w:val="4"/>
    </w:pPr>
    <w:rPr>
      <w:rFonts w:asciiTheme="minorHAnsi" w:eastAsiaTheme="majorEastAsia" w:hAnsiTheme="minorHAnsi" w:cstheme="majorBidi"/>
      <w:bCs/>
      <w:color w:val="2F5496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ADF"/>
    <w:pPr>
      <w:keepNext/>
      <w:keepLines/>
      <w:spacing w:before="40" w:beforeAutospacing="0" w:after="0" w:afterAutospacing="0"/>
      <w:jc w:val="left"/>
      <w:outlineLvl w:val="5"/>
    </w:pPr>
    <w:rPr>
      <w:rFonts w:asciiTheme="minorHAnsi" w:eastAsiaTheme="majorEastAsia" w:hAnsiTheme="minorHAnsi" w:cstheme="majorBidi"/>
      <w:bCs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ADF"/>
    <w:pPr>
      <w:keepNext/>
      <w:keepLines/>
      <w:spacing w:before="40" w:beforeAutospacing="0" w:after="0" w:afterAutospacing="0"/>
      <w:jc w:val="left"/>
      <w:outlineLvl w:val="6"/>
    </w:pPr>
    <w:rPr>
      <w:rFonts w:asciiTheme="minorHAnsi" w:eastAsiaTheme="majorEastAsia" w:hAnsiTheme="minorHAnsi" w:cstheme="majorBidi"/>
      <w:bCs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ADF"/>
    <w:pPr>
      <w:keepNext/>
      <w:keepLines/>
      <w:spacing w:before="0" w:beforeAutospacing="0" w:after="0" w:afterAutospacing="0"/>
      <w:jc w:val="left"/>
      <w:outlineLvl w:val="7"/>
    </w:pPr>
    <w:rPr>
      <w:rFonts w:asciiTheme="minorHAnsi" w:eastAsiaTheme="majorEastAsia" w:hAnsiTheme="minorHAnsi" w:cstheme="majorBidi"/>
      <w:bCs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ADF"/>
    <w:pPr>
      <w:keepNext/>
      <w:keepLines/>
      <w:spacing w:before="0" w:beforeAutospacing="0" w:after="0" w:afterAutospacing="0"/>
      <w:jc w:val="left"/>
      <w:outlineLvl w:val="8"/>
    </w:pPr>
    <w:rPr>
      <w:rFonts w:asciiTheme="minorHAnsi" w:eastAsiaTheme="majorEastAsia" w:hAnsiTheme="minorHAnsi" w:cstheme="majorBidi"/>
      <w:bCs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A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A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ADF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ADF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ADF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AD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AD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AD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AD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ADF"/>
    <w:pPr>
      <w:spacing w:before="0" w:beforeAutospacing="0" w:after="80" w:afterAutospacing="0"/>
      <w:contextualSpacing/>
      <w:jc w:val="left"/>
    </w:pPr>
    <w:rPr>
      <w:rFonts w:asciiTheme="majorHAnsi" w:eastAsiaTheme="majorEastAsia" w:hAnsiTheme="majorHAnsi" w:cstheme="majorBidi"/>
      <w:bCs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6ADF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ADF"/>
    <w:pPr>
      <w:numPr>
        <w:ilvl w:val="1"/>
      </w:numPr>
      <w:spacing w:before="0" w:beforeAutospacing="0" w:after="160" w:afterAutospacing="0"/>
      <w:jc w:val="left"/>
    </w:pPr>
    <w:rPr>
      <w:rFonts w:asciiTheme="minorHAnsi" w:eastAsiaTheme="majorEastAsia" w:hAnsiTheme="minorHAnsi" w:cstheme="majorBidi"/>
      <w:bCs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AD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ADF"/>
    <w:pPr>
      <w:spacing w:before="160" w:beforeAutospacing="0" w:after="160" w:afterAutospacing="0"/>
      <w:jc w:val="center"/>
    </w:pPr>
    <w:rPr>
      <w:bCs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6A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ADF"/>
    <w:pPr>
      <w:spacing w:before="0" w:beforeAutospacing="0" w:after="0" w:afterAutospacing="0"/>
      <w:ind w:left="720"/>
      <w:contextualSpacing/>
      <w:jc w:val="left"/>
    </w:pPr>
    <w:rPr>
      <w:bCs/>
      <w:color w:val="FF0000"/>
      <w:szCs w:val="24"/>
    </w:rPr>
  </w:style>
  <w:style w:type="character" w:styleId="IntenseEmphasis">
    <w:name w:val="Intense Emphasis"/>
    <w:basedOn w:val="DefaultParagraphFont"/>
    <w:uiPriority w:val="21"/>
    <w:qFormat/>
    <w:rsid w:val="00516A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A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beforeAutospacing="0" w:after="360" w:afterAutospacing="0"/>
      <w:ind w:left="864" w:right="864"/>
      <w:jc w:val="center"/>
    </w:pPr>
    <w:rPr>
      <w:bCs/>
      <w:i/>
      <w:iCs/>
      <w:color w:val="2F5496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A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ADF"/>
    <w:rPr>
      <w:b/>
      <w:bCs w:val="0"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shankar das</dc:creator>
  <cp:keywords/>
  <dc:description/>
  <cp:lastModifiedBy>shankar das</cp:lastModifiedBy>
  <cp:revision>2</cp:revision>
  <dcterms:created xsi:type="dcterms:W3CDTF">2026-01-29T10:35:00Z</dcterms:created>
  <dcterms:modified xsi:type="dcterms:W3CDTF">2026-01-29T10:35:00Z</dcterms:modified>
</cp:coreProperties>
</file>