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141E8" w14:textId="66AE217F" w:rsidR="00CF7946" w:rsidRDefault="00D97D1A" w:rsidP="00D97D1A">
      <w:pPr>
        <w:jc w:val="both"/>
        <w:rPr>
          <w:rFonts w:asciiTheme="majorBidi" w:hAnsiTheme="majorBidi" w:cstheme="majorBidi"/>
        </w:rPr>
      </w:pPr>
      <w:r w:rsidRPr="00D97D1A">
        <w:rPr>
          <w:rFonts w:asciiTheme="majorBidi" w:hAnsiTheme="majorBidi" w:cstheme="majorBidi"/>
          <w:b/>
          <w:bCs/>
        </w:rPr>
        <w:t>Target and pathway prediction workflow.</w:t>
      </w:r>
      <w:r w:rsidRPr="00D97D1A">
        <w:rPr>
          <w:rFonts w:asciiTheme="majorBidi" w:hAnsiTheme="majorBidi" w:cstheme="majorBidi"/>
        </w:rPr>
        <w:t xml:space="preserve"> SMILES </w:t>
      </w:r>
      <w:r>
        <w:rPr>
          <w:rFonts w:asciiTheme="majorBidi" w:hAnsiTheme="majorBidi" w:cstheme="majorBidi"/>
        </w:rPr>
        <w:t>codes</w:t>
      </w:r>
      <w:r w:rsidRPr="00D97D1A">
        <w:rPr>
          <w:rFonts w:asciiTheme="majorBidi" w:hAnsiTheme="majorBidi" w:cstheme="majorBidi"/>
        </w:rPr>
        <w:t xml:space="preserve"> for ceramides identified by statistical analysis were compiled from the Human Metabolome Database (HMDB) and additional curated sources (see </w:t>
      </w:r>
      <w:r w:rsidRPr="00D97D1A">
        <w:rPr>
          <w:rFonts w:asciiTheme="majorBidi" w:hAnsiTheme="majorBidi" w:cstheme="majorBidi"/>
          <w:i/>
          <w:iCs/>
        </w:rPr>
        <w:t>SMILES Code – Ceramide.xlsx</w:t>
      </w:r>
      <w:r w:rsidRPr="00D97D1A">
        <w:rPr>
          <w:rFonts w:asciiTheme="majorBidi" w:hAnsiTheme="majorBidi" w:cstheme="majorBidi"/>
        </w:rPr>
        <w:t>)</w:t>
      </w:r>
      <w:r w:rsidR="00C379E6">
        <w:rPr>
          <w:rFonts w:asciiTheme="majorBidi" w:hAnsiTheme="majorBidi" w:cstheme="majorBidi"/>
        </w:rPr>
        <w:t xml:space="preserve"> [1-5]</w:t>
      </w:r>
      <w:r w:rsidRPr="00D97D1A">
        <w:rPr>
          <w:rFonts w:asciiTheme="majorBidi" w:hAnsiTheme="majorBidi" w:cstheme="majorBidi"/>
        </w:rPr>
        <w:t xml:space="preserve">. These SMILES were submitted to a ligand-based target prediction </w:t>
      </w:r>
      <w:r w:rsidR="00C379E6" w:rsidRPr="00D97D1A">
        <w:rPr>
          <w:rFonts w:asciiTheme="majorBidi" w:hAnsiTheme="majorBidi" w:cstheme="majorBidi"/>
        </w:rPr>
        <w:t>tool</w:t>
      </w:r>
      <w:r w:rsidR="00C379E6">
        <w:rPr>
          <w:rFonts w:asciiTheme="majorBidi" w:hAnsiTheme="majorBidi" w:cstheme="majorBidi"/>
        </w:rPr>
        <w:t>,</w:t>
      </w:r>
      <w:r w:rsidRPr="00D97D1A">
        <w:t xml:space="preserve"> </w:t>
      </w:r>
      <w:proofErr w:type="spellStart"/>
      <w:r w:rsidRPr="00D97D1A">
        <w:rPr>
          <w:rFonts w:asciiTheme="majorBidi" w:hAnsiTheme="majorBidi" w:cstheme="majorBidi"/>
        </w:rPr>
        <w:t>SwissTargetPrediction</w:t>
      </w:r>
      <w:proofErr w:type="spellEnd"/>
      <w:r>
        <w:rPr>
          <w:rFonts w:asciiTheme="majorBidi" w:hAnsiTheme="majorBidi" w:cstheme="majorBidi"/>
        </w:rPr>
        <w:t>,</w:t>
      </w:r>
      <w:r w:rsidRPr="00D97D1A">
        <w:rPr>
          <w:rFonts w:asciiTheme="majorBidi" w:hAnsiTheme="majorBidi" w:cstheme="majorBidi"/>
        </w:rPr>
        <w:t xml:space="preserve"> to infer putative protein targets based on chemical-similarity to known bioactive ligands. Predicted targets were then mapped to biological pathways using the STRING database to generate pathway-level hypotheses for downstream validation</w:t>
      </w:r>
      <w:r w:rsidR="00C379E6">
        <w:rPr>
          <w:rFonts w:asciiTheme="majorBidi" w:hAnsiTheme="majorBidi" w:cstheme="majorBidi"/>
        </w:rPr>
        <w:t xml:space="preserve"> [6,7]</w:t>
      </w:r>
      <w:r w:rsidRPr="00D97D1A">
        <w:rPr>
          <w:rFonts w:asciiTheme="majorBidi" w:hAnsiTheme="majorBidi" w:cstheme="majorBidi"/>
        </w:rPr>
        <w:t>.</w:t>
      </w:r>
    </w:p>
    <w:p w14:paraId="0A750C12" w14:textId="77777777" w:rsidR="00C379E6" w:rsidRDefault="00C379E6" w:rsidP="00D97D1A">
      <w:pPr>
        <w:jc w:val="both"/>
        <w:rPr>
          <w:rFonts w:asciiTheme="majorBidi" w:hAnsiTheme="majorBidi" w:cstheme="majorBidi"/>
        </w:rPr>
      </w:pPr>
    </w:p>
    <w:p w14:paraId="4B91D060" w14:textId="77777777" w:rsidR="00C379E6" w:rsidRDefault="00C379E6" w:rsidP="00D97D1A">
      <w:pPr>
        <w:jc w:val="both"/>
        <w:rPr>
          <w:rFonts w:asciiTheme="majorBidi" w:hAnsiTheme="majorBidi" w:cstheme="majorBidi"/>
        </w:rPr>
      </w:pPr>
    </w:p>
    <w:p w14:paraId="54700D2B" w14:textId="69EA46C3" w:rsidR="00C379E6" w:rsidRPr="00C379E6" w:rsidRDefault="00C379E6" w:rsidP="00C379E6">
      <w:pPr>
        <w:jc w:val="both"/>
        <w:rPr>
          <w:rStyle w:val="Hyperlink"/>
          <w:rFonts w:asciiTheme="majorBidi" w:hAnsiTheme="majorBidi" w:cstheme="majorBidi"/>
          <w:color w:val="auto"/>
          <w:u w:val="none"/>
        </w:rPr>
      </w:pPr>
      <w:r>
        <w:rPr>
          <w:rFonts w:asciiTheme="majorBidi" w:hAnsiTheme="majorBidi" w:cstheme="majorBidi"/>
        </w:rPr>
        <w:t>References:</w:t>
      </w:r>
      <w:r w:rsidRPr="00C379E6">
        <w:rPr>
          <w:rFonts w:asciiTheme="majorBidi" w:hAnsiTheme="majorBidi" w:cstheme="majorBidi"/>
        </w:rPr>
        <w:fldChar w:fldCharType="begin"/>
      </w:r>
      <w:r w:rsidRPr="00C379E6">
        <w:rPr>
          <w:rFonts w:asciiTheme="majorBidi" w:hAnsiTheme="majorBidi" w:cstheme="majorBidi"/>
        </w:rPr>
        <w:instrText>HYPERLINK "http://www.ncbi.nlm.nih.gov/pubmed/34986597" \t "_blank"</w:instrText>
      </w:r>
      <w:r w:rsidRPr="00C379E6">
        <w:rPr>
          <w:rFonts w:asciiTheme="majorBidi" w:hAnsiTheme="majorBidi" w:cstheme="majorBidi"/>
        </w:rPr>
      </w:r>
      <w:r w:rsidRPr="00C379E6">
        <w:rPr>
          <w:rFonts w:asciiTheme="majorBidi" w:hAnsiTheme="majorBidi" w:cstheme="majorBidi"/>
        </w:rPr>
        <w:fldChar w:fldCharType="separate"/>
      </w:r>
    </w:p>
    <w:p w14:paraId="69B5FD31" w14:textId="77777777" w:rsidR="00C379E6" w:rsidRPr="00C379E6" w:rsidRDefault="00C379E6" w:rsidP="00C379E6">
      <w:pPr>
        <w:numPr>
          <w:ilvl w:val="0"/>
          <w:numId w:val="2"/>
        </w:numPr>
        <w:jc w:val="both"/>
        <w:rPr>
          <w:rFonts w:asciiTheme="majorBidi" w:hAnsiTheme="majorBidi" w:cstheme="majorBidi"/>
        </w:rPr>
      </w:pPr>
      <w:r w:rsidRPr="00C379E6">
        <w:rPr>
          <w:rStyle w:val="Hyperlink"/>
          <w:rFonts w:asciiTheme="majorBidi" w:hAnsiTheme="majorBidi" w:cstheme="majorBidi"/>
          <w:color w:val="auto"/>
          <w:u w:val="none"/>
        </w:rPr>
        <w:t>Wishart DS, Tzur D, Knox C, et al., </w:t>
      </w:r>
      <w:r w:rsidRPr="00C379E6">
        <w:rPr>
          <w:rStyle w:val="Hyperlink"/>
          <w:rFonts w:asciiTheme="majorBidi" w:hAnsiTheme="majorBidi" w:cstheme="majorBidi"/>
          <w:i/>
          <w:iCs/>
          <w:color w:val="auto"/>
          <w:u w:val="none"/>
        </w:rPr>
        <w:t>HMDB: the Human Metabolome Database.</w:t>
      </w:r>
      <w:r w:rsidRPr="00C379E6">
        <w:rPr>
          <w:rStyle w:val="Hyperlink"/>
          <w:rFonts w:asciiTheme="majorBidi" w:hAnsiTheme="majorBidi" w:cstheme="majorBidi"/>
          <w:color w:val="auto"/>
          <w:u w:val="none"/>
        </w:rPr>
        <w:t> Nucleic Acids Res. 2007 Jan;35(Database issue</w:t>
      </w:r>
      <w:proofErr w:type="gramStart"/>
      <w:r w:rsidRPr="00C379E6">
        <w:rPr>
          <w:rStyle w:val="Hyperlink"/>
          <w:rFonts w:asciiTheme="majorBidi" w:hAnsiTheme="majorBidi" w:cstheme="majorBidi"/>
          <w:color w:val="auto"/>
          <w:u w:val="none"/>
        </w:rPr>
        <w:t>):D</w:t>
      </w:r>
      <w:proofErr w:type="gramEnd"/>
      <w:r w:rsidRPr="00C379E6">
        <w:rPr>
          <w:rStyle w:val="Hyperlink"/>
          <w:rFonts w:asciiTheme="majorBidi" w:hAnsiTheme="majorBidi" w:cstheme="majorBidi"/>
          <w:color w:val="auto"/>
          <w:u w:val="none"/>
        </w:rPr>
        <w:t>521-6. </w:t>
      </w:r>
      <w:r w:rsidRPr="00C379E6">
        <w:rPr>
          <w:rFonts w:asciiTheme="majorBidi" w:hAnsiTheme="majorBidi" w:cstheme="majorBidi"/>
        </w:rPr>
        <w:fldChar w:fldCharType="end"/>
      </w:r>
      <w:hyperlink r:id="rId8" w:tgtFrame="_blank" w:history="1">
        <w:r w:rsidRPr="00C379E6">
          <w:rPr>
            <w:rStyle w:val="Hyperlink"/>
            <w:rFonts w:asciiTheme="majorBidi" w:hAnsiTheme="majorBidi" w:cstheme="majorBidi"/>
            <w:color w:val="156082" w:themeColor="accent1"/>
          </w:rPr>
          <w:t>17202168</w:t>
        </w:r>
        <w:r w:rsidRPr="00C379E6">
          <w:rPr>
            <w:rStyle w:val="Hyperlink"/>
            <w:rFonts w:asciiTheme="majorBidi" w:hAnsiTheme="majorBidi" w:cstheme="majorBidi"/>
            <w:color w:val="auto"/>
            <w:u w:val="none"/>
          </w:rPr>
          <w:t> </w:t>
        </w:r>
      </w:hyperlink>
    </w:p>
    <w:p w14:paraId="05BF2116" w14:textId="77777777" w:rsidR="00C379E6" w:rsidRPr="00C379E6" w:rsidRDefault="00C379E6" w:rsidP="00C379E6">
      <w:pPr>
        <w:numPr>
          <w:ilvl w:val="0"/>
          <w:numId w:val="2"/>
        </w:numPr>
        <w:jc w:val="both"/>
        <w:rPr>
          <w:rFonts w:asciiTheme="majorBidi" w:hAnsiTheme="majorBidi" w:cstheme="majorBidi"/>
        </w:rPr>
      </w:pPr>
      <w:r w:rsidRPr="00C379E6">
        <w:rPr>
          <w:rFonts w:asciiTheme="majorBidi" w:hAnsiTheme="majorBidi" w:cstheme="majorBidi"/>
        </w:rPr>
        <w:t>Wishart DS, Knox C, Guo AC, et al., </w:t>
      </w:r>
      <w:r w:rsidRPr="00C379E6">
        <w:rPr>
          <w:rFonts w:asciiTheme="majorBidi" w:hAnsiTheme="majorBidi" w:cstheme="majorBidi"/>
          <w:i/>
          <w:iCs/>
        </w:rPr>
        <w:t>HMDB: a knowledgebase for the human metabolome.</w:t>
      </w:r>
      <w:r w:rsidRPr="00C379E6">
        <w:rPr>
          <w:rFonts w:asciiTheme="majorBidi" w:hAnsiTheme="majorBidi" w:cstheme="majorBidi"/>
        </w:rPr>
        <w:t> Nucleic Acids Res. 2009 37(Database issue</w:t>
      </w:r>
      <w:proofErr w:type="gramStart"/>
      <w:r w:rsidRPr="00C379E6">
        <w:rPr>
          <w:rFonts w:asciiTheme="majorBidi" w:hAnsiTheme="majorBidi" w:cstheme="majorBidi"/>
        </w:rPr>
        <w:t>):D</w:t>
      </w:r>
      <w:proofErr w:type="gramEnd"/>
      <w:r w:rsidRPr="00C379E6">
        <w:rPr>
          <w:rFonts w:asciiTheme="majorBidi" w:hAnsiTheme="majorBidi" w:cstheme="majorBidi"/>
        </w:rPr>
        <w:t>603-610. </w:t>
      </w:r>
      <w:hyperlink r:id="rId9" w:tgtFrame="_blank" w:history="1">
        <w:r w:rsidRPr="00C379E6">
          <w:rPr>
            <w:rStyle w:val="Hyperlink"/>
            <w:rFonts w:asciiTheme="majorBidi" w:hAnsiTheme="majorBidi" w:cstheme="majorBidi"/>
          </w:rPr>
          <w:t>18953024 </w:t>
        </w:r>
      </w:hyperlink>
    </w:p>
    <w:p w14:paraId="10650C22" w14:textId="77777777" w:rsidR="00C379E6" w:rsidRPr="00C379E6" w:rsidRDefault="00C379E6" w:rsidP="00C379E6">
      <w:pPr>
        <w:numPr>
          <w:ilvl w:val="0"/>
          <w:numId w:val="2"/>
        </w:numPr>
        <w:jc w:val="both"/>
        <w:rPr>
          <w:rFonts w:asciiTheme="majorBidi" w:hAnsiTheme="majorBidi" w:cstheme="majorBidi"/>
        </w:rPr>
      </w:pPr>
      <w:r w:rsidRPr="00C379E6">
        <w:rPr>
          <w:rFonts w:asciiTheme="majorBidi" w:hAnsiTheme="majorBidi" w:cstheme="majorBidi"/>
        </w:rPr>
        <w:t>Wishart DS, Jewison T, Guo AC, Wilson M, Knox C, et al., </w:t>
      </w:r>
      <w:r w:rsidRPr="00C379E6">
        <w:rPr>
          <w:rFonts w:asciiTheme="majorBidi" w:hAnsiTheme="majorBidi" w:cstheme="majorBidi"/>
          <w:i/>
          <w:iCs/>
        </w:rPr>
        <w:t>HMDB 3.0 — The Human Metabolome Database in 2013.</w:t>
      </w:r>
      <w:r w:rsidRPr="00C379E6">
        <w:rPr>
          <w:rFonts w:asciiTheme="majorBidi" w:hAnsiTheme="majorBidi" w:cstheme="majorBidi"/>
        </w:rPr>
        <w:t> Nucleic Acids Res. 2013. Jan 1;41(D1</w:t>
      </w:r>
      <w:proofErr w:type="gramStart"/>
      <w:r w:rsidRPr="00C379E6">
        <w:rPr>
          <w:rFonts w:asciiTheme="majorBidi" w:hAnsiTheme="majorBidi" w:cstheme="majorBidi"/>
        </w:rPr>
        <w:t>):D</w:t>
      </w:r>
      <w:proofErr w:type="gramEnd"/>
      <w:r w:rsidRPr="00C379E6">
        <w:rPr>
          <w:rFonts w:asciiTheme="majorBidi" w:hAnsiTheme="majorBidi" w:cstheme="majorBidi"/>
        </w:rPr>
        <w:t>801-7. </w:t>
      </w:r>
      <w:hyperlink r:id="rId10" w:tgtFrame="_blank" w:history="1">
        <w:r w:rsidRPr="00C379E6">
          <w:rPr>
            <w:rStyle w:val="Hyperlink"/>
            <w:rFonts w:asciiTheme="majorBidi" w:hAnsiTheme="majorBidi" w:cstheme="majorBidi"/>
          </w:rPr>
          <w:t>23161693 </w:t>
        </w:r>
      </w:hyperlink>
    </w:p>
    <w:p w14:paraId="0F8F1E3D" w14:textId="77777777" w:rsidR="00C379E6" w:rsidRPr="00C379E6" w:rsidRDefault="00C379E6" w:rsidP="00C379E6">
      <w:pPr>
        <w:numPr>
          <w:ilvl w:val="0"/>
          <w:numId w:val="2"/>
        </w:numPr>
        <w:jc w:val="both"/>
        <w:rPr>
          <w:rFonts w:asciiTheme="majorBidi" w:hAnsiTheme="majorBidi" w:cstheme="majorBidi"/>
        </w:rPr>
      </w:pPr>
      <w:r w:rsidRPr="00C379E6">
        <w:rPr>
          <w:rFonts w:asciiTheme="majorBidi" w:hAnsiTheme="majorBidi" w:cstheme="majorBidi"/>
        </w:rPr>
        <w:t xml:space="preserve">Wishart DS, </w:t>
      </w:r>
      <w:proofErr w:type="spellStart"/>
      <w:r w:rsidRPr="00C379E6">
        <w:rPr>
          <w:rFonts w:asciiTheme="majorBidi" w:hAnsiTheme="majorBidi" w:cstheme="majorBidi"/>
        </w:rPr>
        <w:t>Feunang</w:t>
      </w:r>
      <w:proofErr w:type="spellEnd"/>
      <w:r w:rsidRPr="00C379E6">
        <w:rPr>
          <w:rFonts w:asciiTheme="majorBidi" w:hAnsiTheme="majorBidi" w:cstheme="majorBidi"/>
        </w:rPr>
        <w:t xml:space="preserve"> YD, Marcu A, Guo AC, Liang K, et al., </w:t>
      </w:r>
      <w:r w:rsidRPr="00C379E6">
        <w:rPr>
          <w:rFonts w:asciiTheme="majorBidi" w:hAnsiTheme="majorBidi" w:cstheme="majorBidi"/>
          <w:i/>
          <w:iCs/>
        </w:rPr>
        <w:t>HMDB 4.0 — The Human Metabolome Database for 2018.</w:t>
      </w:r>
      <w:r w:rsidRPr="00C379E6">
        <w:rPr>
          <w:rFonts w:asciiTheme="majorBidi" w:hAnsiTheme="majorBidi" w:cstheme="majorBidi"/>
        </w:rPr>
        <w:t> Nucleic Acids Res. 2018. Jan 4;46(D1</w:t>
      </w:r>
      <w:proofErr w:type="gramStart"/>
      <w:r w:rsidRPr="00C379E6">
        <w:rPr>
          <w:rFonts w:asciiTheme="majorBidi" w:hAnsiTheme="majorBidi" w:cstheme="majorBidi"/>
        </w:rPr>
        <w:t>):D</w:t>
      </w:r>
      <w:proofErr w:type="gramEnd"/>
      <w:r w:rsidRPr="00C379E6">
        <w:rPr>
          <w:rFonts w:asciiTheme="majorBidi" w:hAnsiTheme="majorBidi" w:cstheme="majorBidi"/>
        </w:rPr>
        <w:t>608-17. </w:t>
      </w:r>
      <w:hyperlink r:id="rId11" w:tgtFrame="_blank" w:history="1">
        <w:r w:rsidRPr="00C379E6">
          <w:rPr>
            <w:rStyle w:val="Hyperlink"/>
            <w:rFonts w:asciiTheme="majorBidi" w:hAnsiTheme="majorBidi" w:cstheme="majorBidi"/>
          </w:rPr>
          <w:t>29140435 </w:t>
        </w:r>
      </w:hyperlink>
    </w:p>
    <w:p w14:paraId="0087D23F" w14:textId="77777777" w:rsidR="00C379E6" w:rsidRPr="00C379E6" w:rsidRDefault="00C379E6" w:rsidP="00C379E6">
      <w:pPr>
        <w:numPr>
          <w:ilvl w:val="0"/>
          <w:numId w:val="2"/>
        </w:numPr>
        <w:jc w:val="both"/>
        <w:rPr>
          <w:rFonts w:asciiTheme="majorBidi" w:hAnsiTheme="majorBidi" w:cstheme="majorBidi"/>
        </w:rPr>
      </w:pPr>
      <w:r w:rsidRPr="00C379E6">
        <w:rPr>
          <w:rFonts w:asciiTheme="majorBidi" w:hAnsiTheme="majorBidi" w:cstheme="majorBidi"/>
        </w:rPr>
        <w:t>Wishart DS, Guo AC, Oler E, et al., </w:t>
      </w:r>
      <w:r w:rsidRPr="00C379E6">
        <w:rPr>
          <w:rFonts w:asciiTheme="majorBidi" w:hAnsiTheme="majorBidi" w:cstheme="majorBidi"/>
          <w:i/>
          <w:iCs/>
        </w:rPr>
        <w:t>HMDB 5.0: the Human Metabolome Database for 2022.</w:t>
      </w:r>
      <w:r w:rsidRPr="00C379E6">
        <w:rPr>
          <w:rFonts w:asciiTheme="majorBidi" w:hAnsiTheme="majorBidi" w:cstheme="majorBidi"/>
        </w:rPr>
        <w:t> Nucleic Acids Res. 2022. Jan 7;50(D1</w:t>
      </w:r>
      <w:proofErr w:type="gramStart"/>
      <w:r w:rsidRPr="00C379E6">
        <w:rPr>
          <w:rFonts w:asciiTheme="majorBidi" w:hAnsiTheme="majorBidi" w:cstheme="majorBidi"/>
        </w:rPr>
        <w:t>):D</w:t>
      </w:r>
      <w:proofErr w:type="gramEnd"/>
      <w:r w:rsidRPr="00C379E6">
        <w:rPr>
          <w:rFonts w:asciiTheme="majorBidi" w:hAnsiTheme="majorBidi" w:cstheme="majorBidi"/>
        </w:rPr>
        <w:t>622–31. </w:t>
      </w:r>
      <w:hyperlink r:id="rId12" w:tgtFrame="_blank" w:history="1">
        <w:r w:rsidRPr="00C379E6">
          <w:rPr>
            <w:rStyle w:val="Hyperlink"/>
            <w:rFonts w:asciiTheme="majorBidi" w:hAnsiTheme="majorBidi" w:cstheme="majorBidi"/>
          </w:rPr>
          <w:t>34986597 </w:t>
        </w:r>
      </w:hyperlink>
    </w:p>
    <w:p w14:paraId="6147A261" w14:textId="5C9839C4" w:rsidR="00C379E6" w:rsidRDefault="00C379E6" w:rsidP="00C379E6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</w:rPr>
      </w:pPr>
      <w:r w:rsidRPr="00AC476D">
        <w:rPr>
          <w:rFonts w:asciiTheme="majorBidi" w:hAnsiTheme="majorBidi" w:cstheme="majorBidi"/>
          <w:lang w:val="it-IT"/>
        </w:rPr>
        <w:t>Daina, A., Michielin, O., and Zoete, V. (2019). </w:t>
      </w:r>
      <w:proofErr w:type="spellStart"/>
      <w:r w:rsidRPr="00C379E6">
        <w:rPr>
          <w:rFonts w:asciiTheme="majorBidi" w:hAnsiTheme="majorBidi" w:cstheme="majorBidi"/>
        </w:rPr>
        <w:fldChar w:fldCharType="begin"/>
      </w:r>
      <w:proofErr w:type="spellEnd"/>
      <w:r w:rsidRPr="00AC476D">
        <w:rPr>
          <w:rFonts w:asciiTheme="majorBidi" w:hAnsiTheme="majorBidi" w:cstheme="majorBidi"/>
          <w:lang w:val="it-IT"/>
        </w:rPr>
        <w:instrText>HYPERLINK "http://dx.doi.org/10.1093/nar/gkz382" \t "_blank"</w:instrText>
      </w:r>
      <w:proofErr w:type="spellStart"/>
      <w:r w:rsidRPr="00C379E6">
        <w:rPr>
          <w:rFonts w:asciiTheme="majorBidi" w:hAnsiTheme="majorBidi" w:cstheme="majorBidi"/>
        </w:rPr>
      </w:r>
      <w:r w:rsidRPr="00C379E6">
        <w:rPr>
          <w:rFonts w:asciiTheme="majorBidi" w:hAnsiTheme="majorBidi" w:cstheme="majorBidi"/>
        </w:rPr>
        <w:fldChar w:fldCharType="separate"/>
      </w:r>
      <w:r w:rsidRPr="00C379E6">
        <w:rPr>
          <w:rStyle w:val="Hyperlink"/>
          <w:rFonts w:asciiTheme="majorBidi" w:hAnsiTheme="majorBidi" w:cstheme="majorBidi"/>
        </w:rPr>
        <w:t>SwissTargetPrediction</w:t>
      </w:r>
      <w:proofErr w:type="spellEnd"/>
      <w:r w:rsidRPr="00C379E6">
        <w:rPr>
          <w:rStyle w:val="Hyperlink"/>
          <w:rFonts w:asciiTheme="majorBidi" w:hAnsiTheme="majorBidi" w:cstheme="majorBidi"/>
        </w:rPr>
        <w:t>: updated data and new features for efficient prediction of protein targets of small molecules.</w:t>
      </w:r>
      <w:r w:rsidRPr="00C379E6">
        <w:rPr>
          <w:rFonts w:asciiTheme="majorBidi" w:hAnsiTheme="majorBidi" w:cstheme="majorBidi"/>
        </w:rPr>
        <w:fldChar w:fldCharType="end"/>
      </w:r>
      <w:r w:rsidRPr="00C379E6">
        <w:rPr>
          <w:rFonts w:asciiTheme="majorBidi" w:hAnsiTheme="majorBidi" w:cstheme="majorBidi"/>
        </w:rPr>
        <w:t> </w:t>
      </w:r>
      <w:proofErr w:type="spellStart"/>
      <w:r w:rsidRPr="00C379E6">
        <w:rPr>
          <w:rFonts w:asciiTheme="majorBidi" w:hAnsiTheme="majorBidi" w:cstheme="majorBidi"/>
          <w:i/>
          <w:iCs/>
        </w:rPr>
        <w:t>Nucl</w:t>
      </w:r>
      <w:proofErr w:type="spellEnd"/>
      <w:r w:rsidRPr="00C379E6">
        <w:rPr>
          <w:rFonts w:asciiTheme="majorBidi" w:hAnsiTheme="majorBidi" w:cstheme="majorBidi"/>
          <w:i/>
          <w:iCs/>
        </w:rPr>
        <w:t>. Acids Res. 47</w:t>
      </w:r>
      <w:r w:rsidRPr="00C379E6">
        <w:rPr>
          <w:rFonts w:asciiTheme="majorBidi" w:hAnsiTheme="majorBidi" w:cstheme="majorBidi"/>
        </w:rPr>
        <w:t>(W1), W357-W364.</w:t>
      </w:r>
    </w:p>
    <w:p w14:paraId="0312EB81" w14:textId="01CA9158" w:rsidR="00C379E6" w:rsidRPr="00C379E6" w:rsidRDefault="00C379E6" w:rsidP="00C379E6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</w:rPr>
      </w:pPr>
      <w:proofErr w:type="spellStart"/>
      <w:r w:rsidRPr="00C379E6">
        <w:rPr>
          <w:rFonts w:asciiTheme="majorBidi" w:hAnsiTheme="majorBidi" w:cstheme="majorBidi"/>
        </w:rPr>
        <w:t>Szklarczyk</w:t>
      </w:r>
      <w:proofErr w:type="spellEnd"/>
      <w:r w:rsidRPr="00C379E6">
        <w:rPr>
          <w:rFonts w:asciiTheme="majorBidi" w:hAnsiTheme="majorBidi" w:cstheme="majorBidi"/>
        </w:rPr>
        <w:t xml:space="preserve"> D, Kirsch R, </w:t>
      </w:r>
      <w:proofErr w:type="spellStart"/>
      <w:r w:rsidRPr="00C379E6">
        <w:rPr>
          <w:rFonts w:asciiTheme="majorBidi" w:hAnsiTheme="majorBidi" w:cstheme="majorBidi"/>
        </w:rPr>
        <w:t>Koutrouli</w:t>
      </w:r>
      <w:proofErr w:type="spellEnd"/>
      <w:r w:rsidRPr="00C379E6">
        <w:rPr>
          <w:rFonts w:asciiTheme="majorBidi" w:hAnsiTheme="majorBidi" w:cstheme="majorBidi"/>
        </w:rPr>
        <w:t xml:space="preserve"> M, </w:t>
      </w:r>
      <w:proofErr w:type="spellStart"/>
      <w:r w:rsidRPr="00C379E6">
        <w:rPr>
          <w:rFonts w:asciiTheme="majorBidi" w:hAnsiTheme="majorBidi" w:cstheme="majorBidi"/>
        </w:rPr>
        <w:t>Nastou</w:t>
      </w:r>
      <w:proofErr w:type="spellEnd"/>
      <w:r w:rsidRPr="00C379E6">
        <w:rPr>
          <w:rFonts w:asciiTheme="majorBidi" w:hAnsiTheme="majorBidi" w:cstheme="majorBidi"/>
        </w:rPr>
        <w:t xml:space="preserve"> K, </w:t>
      </w:r>
      <w:proofErr w:type="spellStart"/>
      <w:r w:rsidRPr="00C379E6">
        <w:rPr>
          <w:rFonts w:asciiTheme="majorBidi" w:hAnsiTheme="majorBidi" w:cstheme="majorBidi"/>
        </w:rPr>
        <w:t>Mehryary</w:t>
      </w:r>
      <w:proofErr w:type="spellEnd"/>
      <w:r w:rsidRPr="00C379E6">
        <w:rPr>
          <w:rFonts w:asciiTheme="majorBidi" w:hAnsiTheme="majorBidi" w:cstheme="majorBidi"/>
        </w:rPr>
        <w:t xml:space="preserve"> F, </w:t>
      </w:r>
      <w:proofErr w:type="spellStart"/>
      <w:r w:rsidRPr="00C379E6">
        <w:rPr>
          <w:rFonts w:asciiTheme="majorBidi" w:hAnsiTheme="majorBidi" w:cstheme="majorBidi"/>
        </w:rPr>
        <w:t>Hachilif</w:t>
      </w:r>
      <w:proofErr w:type="spellEnd"/>
      <w:r w:rsidRPr="00C379E6">
        <w:rPr>
          <w:rFonts w:asciiTheme="majorBidi" w:hAnsiTheme="majorBidi" w:cstheme="majorBidi"/>
        </w:rPr>
        <w:t xml:space="preserve"> R, Gable AL, Fang T, </w:t>
      </w:r>
      <w:proofErr w:type="spellStart"/>
      <w:r w:rsidRPr="00C379E6">
        <w:rPr>
          <w:rFonts w:asciiTheme="majorBidi" w:hAnsiTheme="majorBidi" w:cstheme="majorBidi"/>
        </w:rPr>
        <w:t>Doncheva</w:t>
      </w:r>
      <w:proofErr w:type="spellEnd"/>
      <w:r w:rsidRPr="00C379E6">
        <w:rPr>
          <w:rFonts w:asciiTheme="majorBidi" w:hAnsiTheme="majorBidi" w:cstheme="majorBidi"/>
        </w:rPr>
        <w:t xml:space="preserve"> NT, </w:t>
      </w:r>
      <w:proofErr w:type="spellStart"/>
      <w:r w:rsidRPr="00C379E6">
        <w:rPr>
          <w:rFonts w:asciiTheme="majorBidi" w:hAnsiTheme="majorBidi" w:cstheme="majorBidi"/>
        </w:rPr>
        <w:t>Pyysalo</w:t>
      </w:r>
      <w:proofErr w:type="spellEnd"/>
      <w:r w:rsidRPr="00C379E6">
        <w:rPr>
          <w:rFonts w:asciiTheme="majorBidi" w:hAnsiTheme="majorBidi" w:cstheme="majorBidi"/>
        </w:rPr>
        <w:t xml:space="preserve"> S, Bork P, Jensen LJ, von Mering C. The STRING database in 2023: protein-protein association networks and functional enrichment analyses for any sequenced genome of interest. Nucleic Acids Res. 2023 Jan 6;51(D1</w:t>
      </w:r>
      <w:proofErr w:type="gramStart"/>
      <w:r w:rsidRPr="00C379E6">
        <w:rPr>
          <w:rFonts w:asciiTheme="majorBidi" w:hAnsiTheme="majorBidi" w:cstheme="majorBidi"/>
        </w:rPr>
        <w:t>):D</w:t>
      </w:r>
      <w:proofErr w:type="gramEnd"/>
      <w:r w:rsidRPr="00C379E6">
        <w:rPr>
          <w:rFonts w:asciiTheme="majorBidi" w:hAnsiTheme="majorBidi" w:cstheme="majorBidi"/>
        </w:rPr>
        <w:t xml:space="preserve">638-D646. </w:t>
      </w:r>
      <w:proofErr w:type="spellStart"/>
      <w:r w:rsidRPr="00C379E6">
        <w:rPr>
          <w:rFonts w:asciiTheme="majorBidi" w:hAnsiTheme="majorBidi" w:cstheme="majorBidi"/>
        </w:rPr>
        <w:t>doi</w:t>
      </w:r>
      <w:proofErr w:type="spellEnd"/>
      <w:r w:rsidRPr="00C379E6">
        <w:rPr>
          <w:rFonts w:asciiTheme="majorBidi" w:hAnsiTheme="majorBidi" w:cstheme="majorBidi"/>
        </w:rPr>
        <w:t>: 10.1093/</w:t>
      </w:r>
      <w:proofErr w:type="spellStart"/>
      <w:r w:rsidRPr="00C379E6">
        <w:rPr>
          <w:rFonts w:asciiTheme="majorBidi" w:hAnsiTheme="majorBidi" w:cstheme="majorBidi"/>
        </w:rPr>
        <w:t>nar</w:t>
      </w:r>
      <w:proofErr w:type="spellEnd"/>
      <w:r w:rsidRPr="00C379E6">
        <w:rPr>
          <w:rFonts w:asciiTheme="majorBidi" w:hAnsiTheme="majorBidi" w:cstheme="majorBidi"/>
        </w:rPr>
        <w:t>/gkac1000. PMID: 36370105; PMCID: PMC9825434.</w:t>
      </w:r>
    </w:p>
    <w:sectPr w:rsidR="00C379E6" w:rsidRPr="00C379E6"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1BBD4" w14:textId="77777777" w:rsidR="002C79B0" w:rsidRDefault="002C79B0" w:rsidP="00C379E6">
      <w:pPr>
        <w:spacing w:after="0" w:line="240" w:lineRule="auto"/>
      </w:pPr>
      <w:r>
        <w:separator/>
      </w:r>
    </w:p>
  </w:endnote>
  <w:endnote w:type="continuationSeparator" w:id="0">
    <w:p w14:paraId="7CA0CEAA" w14:textId="77777777" w:rsidR="002C79B0" w:rsidRDefault="002C79B0" w:rsidP="00C37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D6563" w14:textId="77777777" w:rsidR="002C79B0" w:rsidRDefault="002C79B0" w:rsidP="00C379E6">
      <w:pPr>
        <w:spacing w:after="0" w:line="240" w:lineRule="auto"/>
      </w:pPr>
      <w:r>
        <w:separator/>
      </w:r>
    </w:p>
  </w:footnote>
  <w:footnote w:type="continuationSeparator" w:id="0">
    <w:p w14:paraId="51C945CA" w14:textId="77777777" w:rsidR="002C79B0" w:rsidRDefault="002C79B0" w:rsidP="00C379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368D0"/>
    <w:multiLevelType w:val="multilevel"/>
    <w:tmpl w:val="A3A44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FC08F8"/>
    <w:multiLevelType w:val="multilevel"/>
    <w:tmpl w:val="6C80C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9978971">
    <w:abstractNumId w:val="1"/>
  </w:num>
  <w:num w:numId="2" w16cid:durableId="1637105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946"/>
    <w:rsid w:val="00072163"/>
    <w:rsid w:val="002C79B0"/>
    <w:rsid w:val="005F7166"/>
    <w:rsid w:val="00AC476D"/>
    <w:rsid w:val="00C379E6"/>
    <w:rsid w:val="00CF7946"/>
    <w:rsid w:val="00D50D08"/>
    <w:rsid w:val="00D9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A3638"/>
  <w15:chartTrackingRefBased/>
  <w15:docId w15:val="{0EE01DB2-B3C6-483D-83F3-6AFB658DE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79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79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79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79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79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79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79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79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79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79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79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79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79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79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79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79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79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79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79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79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79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79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79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79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79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79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79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79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794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97D1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7D1A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379E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79E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379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bi.nlm.nih.gov/pubmed/1720216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cbi.nlm.nih.gov/pubmed/3498659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cbi.nlm.nih.gov/pubmed/2914043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cbi.nlm.nih.gov/pubmed/2316169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cbi.nlm.nih.gov/pubmed/1895302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B34A6511-C606-4C04-8D87-B37F8469A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Kianoosh Naghibzadeh</dc:creator>
  <cp:keywords/>
  <dc:description/>
  <cp:lastModifiedBy>Saeid Ghavami</cp:lastModifiedBy>
  <cp:revision>2</cp:revision>
  <dcterms:created xsi:type="dcterms:W3CDTF">2025-10-27T17:40:00Z</dcterms:created>
  <dcterms:modified xsi:type="dcterms:W3CDTF">2025-10-27T17:40:00Z</dcterms:modified>
</cp:coreProperties>
</file>