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C92CA" w14:textId="77777777" w:rsidR="00161CC6" w:rsidRPr="00C6053E" w:rsidRDefault="00161CC6" w:rsidP="00161CC6">
      <w:pPr>
        <w:rPr>
          <w:rFonts w:ascii="Segoe UI" w:eastAsia="Meiryo UI" w:hAnsi="Segoe UI" w:cs="Segoe UI"/>
          <w:szCs w:val="21"/>
        </w:rPr>
      </w:pPr>
      <w:r>
        <w:rPr>
          <w:rFonts w:ascii="Segoe UI" w:eastAsia="Meiryo UI" w:hAnsi="Segoe UI" w:cs="Segoe UI"/>
          <w:b/>
          <w:bCs/>
          <w:szCs w:val="21"/>
        </w:rPr>
        <w:t>Supplementary</w:t>
      </w:r>
      <w:r>
        <w:rPr>
          <w:rFonts w:ascii="Segoe UI" w:eastAsia="Meiryo UI" w:hAnsi="Segoe UI" w:cs="Segoe UI" w:hint="eastAsia"/>
          <w:b/>
          <w:bCs/>
          <w:szCs w:val="21"/>
        </w:rPr>
        <w:t xml:space="preserve"> </w:t>
      </w:r>
      <w:r w:rsidRPr="00C6053E">
        <w:rPr>
          <w:rFonts w:ascii="Segoe UI" w:eastAsia="Meiryo UI" w:hAnsi="Segoe UI" w:cs="Segoe UI"/>
          <w:b/>
          <w:bCs/>
          <w:szCs w:val="21"/>
        </w:rPr>
        <w:t>Figure S1. Validation of CHD3 Dependency in SWI/SNF-Deficient Models, Related to Figure 1</w:t>
      </w:r>
    </w:p>
    <w:p w14:paraId="0CE824E1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C6053E">
        <w:rPr>
          <w:rFonts w:ascii="Segoe UI" w:eastAsia="Meiryo UI" w:hAnsi="Segoe UI" w:cs="Segoe UI"/>
          <w:b/>
          <w:bCs/>
          <w:szCs w:val="21"/>
        </w:rPr>
        <w:t>(A)</w:t>
      </w:r>
      <w:r w:rsidRPr="00C6053E">
        <w:rPr>
          <w:rFonts w:ascii="Segoe UI" w:eastAsia="Meiryo UI" w:hAnsi="Segoe UI" w:cs="Segoe UI"/>
          <w:szCs w:val="21"/>
        </w:rPr>
        <w:t xml:space="preserve"> RT-qPCR analysis of </w:t>
      </w:r>
      <w:r w:rsidRPr="00C6053E">
        <w:rPr>
          <w:rFonts w:ascii="Segoe UI" w:eastAsia="Meiryo UI" w:hAnsi="Segoe UI" w:cs="Segoe UI"/>
          <w:i/>
          <w:iCs/>
          <w:szCs w:val="21"/>
        </w:rPr>
        <w:t>CHD3</w:t>
      </w:r>
      <w:r w:rsidRPr="00C6053E">
        <w:rPr>
          <w:rFonts w:ascii="Segoe UI" w:eastAsia="Meiryo UI" w:hAnsi="Segoe UI" w:cs="Segoe UI"/>
          <w:szCs w:val="21"/>
        </w:rPr>
        <w:t xml:space="preserve"> mRNA expression in the H23 isogenic model (SMARCA4-deficient vs. SMARCA4-restored). </w:t>
      </w:r>
    </w:p>
    <w:p w14:paraId="40DB88E1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C6053E">
        <w:rPr>
          <w:rFonts w:ascii="Segoe UI" w:eastAsia="Meiryo UI" w:hAnsi="Segoe UI" w:cs="Segoe UI"/>
          <w:b/>
          <w:bCs/>
          <w:szCs w:val="21"/>
        </w:rPr>
        <w:t>(B)</w:t>
      </w:r>
      <w:r w:rsidRPr="00C6053E">
        <w:rPr>
          <w:rFonts w:ascii="Segoe UI" w:eastAsia="Meiryo UI" w:hAnsi="Segoe UI" w:cs="Segoe UI"/>
          <w:szCs w:val="21"/>
        </w:rPr>
        <w:t xml:space="preserve"> Immunoblot analysis showing the expression levels of SMARCA4, SMARCA2, and CHD3 across the panel of cell lines used in this study. </w:t>
      </w:r>
      <w:r w:rsidRPr="00093479">
        <w:rPr>
          <w:rFonts w:ascii="Segoe UI" w:eastAsia="Meiryo UI" w:hAnsi="Segoe UI" w:cs="Segoe UI"/>
          <w:szCs w:val="21"/>
        </w:rPr>
        <w:t>β-A</w:t>
      </w:r>
      <w:r w:rsidRPr="00C6053E">
        <w:rPr>
          <w:rFonts w:ascii="Segoe UI" w:eastAsia="Meiryo UI" w:hAnsi="Segoe UI" w:cs="Segoe UI"/>
          <w:szCs w:val="21"/>
        </w:rPr>
        <w:t xml:space="preserve">ctin served as a loading control. </w:t>
      </w:r>
    </w:p>
    <w:p w14:paraId="411F01F8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C6053E">
        <w:rPr>
          <w:rFonts w:ascii="Segoe UI" w:eastAsia="Meiryo UI" w:hAnsi="Segoe UI" w:cs="Segoe UI"/>
          <w:b/>
          <w:bCs/>
          <w:szCs w:val="21"/>
        </w:rPr>
        <w:t>(C, D)</w:t>
      </w:r>
      <w:r w:rsidRPr="00C6053E">
        <w:rPr>
          <w:rFonts w:ascii="Segoe UI" w:eastAsia="Meiryo UI" w:hAnsi="Segoe UI" w:cs="Segoe UI"/>
          <w:szCs w:val="21"/>
        </w:rPr>
        <w:t xml:space="preserve"> </w:t>
      </w:r>
      <w:r w:rsidRPr="00C6053E">
        <w:rPr>
          <w:rFonts w:ascii="Segoe UI" w:eastAsia="Meiryo UI" w:hAnsi="Segoe UI" w:cs="Segoe UI"/>
          <w:i/>
          <w:iCs/>
          <w:szCs w:val="21"/>
        </w:rPr>
        <w:t>CHD3</w:t>
      </w:r>
      <w:r w:rsidRPr="00C6053E">
        <w:rPr>
          <w:rFonts w:ascii="Segoe UI" w:eastAsia="Meiryo UI" w:hAnsi="Segoe UI" w:cs="Segoe UI"/>
          <w:szCs w:val="21"/>
        </w:rPr>
        <w:t xml:space="preserve"> mRNA expression</w:t>
      </w:r>
      <w:r>
        <w:rPr>
          <w:rFonts w:ascii="Segoe UI" w:eastAsia="Meiryo UI" w:hAnsi="Segoe UI" w:cs="Segoe UI" w:hint="eastAsia"/>
          <w:szCs w:val="21"/>
        </w:rPr>
        <w:t xml:space="preserve"> </w:t>
      </w:r>
      <w:r w:rsidRPr="00237142">
        <w:rPr>
          <w:rFonts w:ascii="Segoe UI" w:eastAsia="Meiryo UI" w:hAnsi="Segoe UI" w:cs="Segoe UI" w:hint="eastAsia"/>
          <w:b/>
          <w:bCs/>
          <w:szCs w:val="21"/>
        </w:rPr>
        <w:t>(C)</w:t>
      </w:r>
      <w:r>
        <w:rPr>
          <w:rFonts w:ascii="Segoe UI" w:eastAsia="Meiryo UI" w:hAnsi="Segoe UI" w:cs="Segoe UI" w:hint="eastAsia"/>
          <w:szCs w:val="21"/>
        </w:rPr>
        <w:t xml:space="preserve"> and CHD3 protein expression </w:t>
      </w:r>
      <w:r w:rsidRPr="00237142">
        <w:rPr>
          <w:rFonts w:ascii="Segoe UI" w:eastAsia="Meiryo UI" w:hAnsi="Segoe UI" w:cs="Segoe UI" w:hint="eastAsia"/>
          <w:b/>
          <w:bCs/>
          <w:szCs w:val="21"/>
        </w:rPr>
        <w:t>(D)</w:t>
      </w:r>
      <w:r w:rsidRPr="00C6053E">
        <w:rPr>
          <w:rFonts w:ascii="Segoe UI" w:eastAsia="Meiryo UI" w:hAnsi="Segoe UI" w:cs="Segoe UI"/>
          <w:szCs w:val="21"/>
        </w:rPr>
        <w:t xml:space="preserve"> of SWI/SNF-proficient and single-deficient cell lines and SWI/SNF-dual-deficient cell lines treated with siNT or siCHD3. </w:t>
      </w:r>
      <w:r w:rsidRPr="00093479">
        <w:rPr>
          <w:rFonts w:ascii="Segoe UI" w:eastAsia="Meiryo UI" w:hAnsi="Segoe UI" w:cs="Segoe UI"/>
          <w:szCs w:val="21"/>
        </w:rPr>
        <w:t>β-A</w:t>
      </w:r>
      <w:r w:rsidRPr="00C6053E">
        <w:rPr>
          <w:rFonts w:ascii="Segoe UI" w:eastAsia="Meiryo UI" w:hAnsi="Segoe UI" w:cs="Segoe UI"/>
          <w:szCs w:val="21"/>
        </w:rPr>
        <w:t xml:space="preserve">ctin served as a loading control. </w:t>
      </w:r>
    </w:p>
    <w:p w14:paraId="5D9B65F4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C6053E">
        <w:rPr>
          <w:rFonts w:ascii="Segoe UI" w:eastAsia="Meiryo UI" w:hAnsi="Segoe UI" w:cs="Segoe UI"/>
          <w:b/>
          <w:bCs/>
          <w:szCs w:val="21"/>
        </w:rPr>
        <w:t>(E, F)</w:t>
      </w:r>
      <w:r w:rsidRPr="00C6053E">
        <w:rPr>
          <w:rFonts w:ascii="Segoe UI" w:eastAsia="Meiryo UI" w:hAnsi="Segoe UI" w:cs="Segoe UI"/>
          <w:szCs w:val="21"/>
        </w:rPr>
        <w:t xml:space="preserve"> Validation of CHD3 dependency using two distinct siRNA sequences (siCHD3 #7 and #8). </w:t>
      </w:r>
      <w:r w:rsidRPr="00CC0783">
        <w:rPr>
          <w:rFonts w:ascii="Segoe UI" w:eastAsia="Meiryo UI" w:hAnsi="Segoe UI" w:cs="Segoe UI"/>
          <w:szCs w:val="21"/>
        </w:rPr>
        <w:t xml:space="preserve">RT-qPCR analysis of </w:t>
      </w:r>
      <w:r w:rsidRPr="00CC0783">
        <w:rPr>
          <w:rFonts w:ascii="Segoe UI" w:eastAsia="Meiryo UI" w:hAnsi="Segoe UI" w:cs="Segoe UI"/>
          <w:i/>
          <w:iCs/>
          <w:szCs w:val="21"/>
        </w:rPr>
        <w:t>CHD3</w:t>
      </w:r>
      <w:r w:rsidRPr="00CC0783">
        <w:rPr>
          <w:rFonts w:ascii="Segoe UI" w:eastAsia="Meiryo UI" w:hAnsi="Segoe UI" w:cs="Segoe UI"/>
          <w:szCs w:val="21"/>
        </w:rPr>
        <w:t xml:space="preserve"> mRNA expression</w:t>
      </w:r>
      <w:r>
        <w:rPr>
          <w:rFonts w:ascii="Segoe UI" w:eastAsia="Meiryo UI" w:hAnsi="Segoe UI" w:cs="Segoe UI" w:hint="eastAsia"/>
          <w:szCs w:val="21"/>
        </w:rPr>
        <w:t xml:space="preserve"> </w:t>
      </w:r>
      <w:r w:rsidRPr="00CC0783">
        <w:rPr>
          <w:rFonts w:ascii="Segoe UI" w:eastAsia="Meiryo UI" w:hAnsi="Segoe UI" w:cs="Segoe UI" w:hint="eastAsia"/>
          <w:b/>
          <w:bCs/>
          <w:szCs w:val="21"/>
        </w:rPr>
        <w:t>(E)</w:t>
      </w:r>
      <w:r w:rsidRPr="00CC0783">
        <w:rPr>
          <w:rFonts w:ascii="Segoe UI" w:eastAsia="Meiryo UI" w:hAnsi="Segoe UI" w:cs="Segoe UI"/>
          <w:szCs w:val="21"/>
        </w:rPr>
        <w:t xml:space="preserve"> </w:t>
      </w:r>
      <w:r>
        <w:rPr>
          <w:rFonts w:ascii="Segoe UI" w:eastAsia="Meiryo UI" w:hAnsi="Segoe UI" w:cs="Segoe UI" w:hint="eastAsia"/>
          <w:szCs w:val="21"/>
        </w:rPr>
        <w:t xml:space="preserve">and </w:t>
      </w:r>
      <w:r w:rsidRPr="00C6053E">
        <w:rPr>
          <w:rFonts w:ascii="Segoe UI" w:eastAsia="Meiryo UI" w:hAnsi="Segoe UI" w:cs="Segoe UI"/>
          <w:szCs w:val="21"/>
        </w:rPr>
        <w:t>Viability</w:t>
      </w:r>
      <w:r>
        <w:rPr>
          <w:rFonts w:ascii="Segoe UI" w:eastAsia="Meiryo UI" w:hAnsi="Segoe UI" w:cs="Segoe UI" w:hint="eastAsia"/>
          <w:szCs w:val="21"/>
        </w:rPr>
        <w:t xml:space="preserve"> </w:t>
      </w:r>
      <w:r w:rsidRPr="00CC0783">
        <w:rPr>
          <w:rFonts w:ascii="Segoe UI" w:eastAsia="Meiryo UI" w:hAnsi="Segoe UI" w:cs="Segoe UI" w:hint="eastAsia"/>
          <w:b/>
          <w:bCs/>
          <w:szCs w:val="21"/>
        </w:rPr>
        <w:t>(F)</w:t>
      </w:r>
      <w:r w:rsidRPr="00C6053E">
        <w:rPr>
          <w:rFonts w:ascii="Segoe UI" w:eastAsia="Meiryo UI" w:hAnsi="Segoe UI" w:cs="Segoe UI"/>
          <w:szCs w:val="21"/>
        </w:rPr>
        <w:t xml:space="preserve"> was assessed in SWI/SNF-proficient H460 cells and three SWI/SNF-dual-deficient cell lines (H1703, H23, SBC-5). </w:t>
      </w:r>
    </w:p>
    <w:p w14:paraId="2DA319D5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C6053E">
        <w:rPr>
          <w:rFonts w:ascii="Segoe UI" w:eastAsia="Meiryo UI" w:hAnsi="Segoe UI" w:cs="Segoe UI"/>
          <w:b/>
          <w:bCs/>
          <w:szCs w:val="21"/>
        </w:rPr>
        <w:t>(G–J)</w:t>
      </w:r>
      <w:r w:rsidRPr="00C6053E">
        <w:rPr>
          <w:rFonts w:ascii="Segoe UI" w:eastAsia="Meiryo UI" w:hAnsi="Segoe UI" w:cs="Segoe UI"/>
          <w:szCs w:val="21"/>
        </w:rPr>
        <w:t xml:space="preserve"> Evaluation of long-term CHD3 dependency using a doxycycline (Dox)-inducible shRNA system. SWI/SNF-proficient H460 cells </w:t>
      </w:r>
      <w:r w:rsidRPr="00C6053E">
        <w:rPr>
          <w:rFonts w:ascii="Segoe UI" w:eastAsia="Meiryo UI" w:hAnsi="Segoe UI" w:cs="Segoe UI"/>
          <w:b/>
          <w:bCs/>
          <w:szCs w:val="21"/>
        </w:rPr>
        <w:t>(G, H)</w:t>
      </w:r>
      <w:r w:rsidRPr="00C6053E">
        <w:rPr>
          <w:rFonts w:ascii="Segoe UI" w:eastAsia="Meiryo UI" w:hAnsi="Segoe UI" w:cs="Segoe UI"/>
          <w:szCs w:val="21"/>
        </w:rPr>
        <w:t xml:space="preserve"> and SWI/SNF-dual-deficient H23 cells </w:t>
      </w:r>
      <w:r w:rsidRPr="00C6053E">
        <w:rPr>
          <w:rFonts w:ascii="Segoe UI" w:eastAsia="Meiryo UI" w:hAnsi="Segoe UI" w:cs="Segoe UI"/>
          <w:b/>
          <w:bCs/>
          <w:szCs w:val="21"/>
        </w:rPr>
        <w:t>(I, J)</w:t>
      </w:r>
      <w:r w:rsidRPr="00C6053E">
        <w:rPr>
          <w:rFonts w:ascii="Segoe UI" w:eastAsia="Meiryo UI" w:hAnsi="Segoe UI" w:cs="Segoe UI"/>
          <w:szCs w:val="21"/>
        </w:rPr>
        <w:t xml:space="preserve"> expressing GFP-tagged shNT or shCHD3 were cultured with or without Dox. </w:t>
      </w:r>
      <w:r w:rsidRPr="00CC0783">
        <w:rPr>
          <w:rFonts w:ascii="Segoe UI" w:eastAsia="Meiryo UI" w:hAnsi="Segoe UI" w:cs="Segoe UI"/>
          <w:szCs w:val="21"/>
        </w:rPr>
        <w:t xml:space="preserve">Immunoblot analysis showing the expression levels of SMARCA4, SMARCA2, and CHD3 </w:t>
      </w:r>
      <w:r>
        <w:rPr>
          <w:rFonts w:ascii="Segoe UI" w:eastAsia="Meiryo UI" w:hAnsi="Segoe UI" w:cs="Segoe UI" w:hint="eastAsia"/>
          <w:szCs w:val="21"/>
        </w:rPr>
        <w:t xml:space="preserve">in </w:t>
      </w:r>
      <w:r w:rsidRPr="00C6053E">
        <w:rPr>
          <w:rFonts w:ascii="Segoe UI" w:eastAsia="Meiryo UI" w:hAnsi="Segoe UI" w:cs="Segoe UI"/>
          <w:szCs w:val="21"/>
        </w:rPr>
        <w:t xml:space="preserve">SWI/SNF-proficient H460 cells </w:t>
      </w:r>
      <w:r w:rsidRPr="00C6053E">
        <w:rPr>
          <w:rFonts w:ascii="Segoe UI" w:eastAsia="Meiryo UI" w:hAnsi="Segoe UI" w:cs="Segoe UI"/>
          <w:b/>
          <w:bCs/>
          <w:szCs w:val="21"/>
        </w:rPr>
        <w:t>(G)</w:t>
      </w:r>
      <w:r w:rsidRPr="00C6053E">
        <w:rPr>
          <w:rFonts w:ascii="Segoe UI" w:eastAsia="Meiryo UI" w:hAnsi="Segoe UI" w:cs="Segoe UI"/>
          <w:szCs w:val="21"/>
        </w:rPr>
        <w:t xml:space="preserve"> and SWI/SNF-dual-deficient H23 cells </w:t>
      </w:r>
      <w:r w:rsidRPr="00C6053E">
        <w:rPr>
          <w:rFonts w:ascii="Segoe UI" w:eastAsia="Meiryo UI" w:hAnsi="Segoe UI" w:cs="Segoe UI"/>
          <w:b/>
          <w:bCs/>
          <w:szCs w:val="21"/>
        </w:rPr>
        <w:t>(I)</w:t>
      </w:r>
      <w:r>
        <w:rPr>
          <w:rFonts w:ascii="Segoe UI" w:eastAsia="Meiryo UI" w:hAnsi="Segoe UI" w:cs="Segoe UI" w:hint="eastAsia"/>
          <w:b/>
          <w:bCs/>
          <w:szCs w:val="21"/>
        </w:rPr>
        <w:t>.</w:t>
      </w:r>
      <w:r>
        <w:rPr>
          <w:rFonts w:ascii="Segoe UI" w:eastAsia="Meiryo UI" w:hAnsi="Segoe UI" w:cs="Segoe UI" w:hint="eastAsia"/>
          <w:szCs w:val="21"/>
        </w:rPr>
        <w:t xml:space="preserve"> </w:t>
      </w:r>
      <w:r w:rsidRPr="00093479">
        <w:rPr>
          <w:rFonts w:ascii="Segoe UI" w:eastAsia="Meiryo UI" w:hAnsi="Segoe UI" w:cs="Segoe UI"/>
          <w:szCs w:val="21"/>
        </w:rPr>
        <w:t>β-A</w:t>
      </w:r>
      <w:r w:rsidRPr="00C6053E">
        <w:rPr>
          <w:rFonts w:ascii="Segoe UI" w:eastAsia="Meiryo UI" w:hAnsi="Segoe UI" w:cs="Segoe UI"/>
          <w:szCs w:val="21"/>
        </w:rPr>
        <w:t xml:space="preserve">ctin served as a loading control. The ratio of GFP-positive cells was monitored by flow cytometry. Relative cell viability was calculated based on the depletion of GFP-positive (shRNA-expressing) cells relative to GFP-negative cells in a competition assay </w:t>
      </w:r>
      <w:r w:rsidRPr="00C6053E">
        <w:rPr>
          <w:rFonts w:ascii="Segoe UI" w:eastAsia="Meiryo UI" w:hAnsi="Segoe UI" w:cs="Segoe UI"/>
          <w:b/>
          <w:bCs/>
          <w:szCs w:val="21"/>
        </w:rPr>
        <w:t>(H, J)</w:t>
      </w:r>
      <w:r w:rsidRPr="00C6053E">
        <w:rPr>
          <w:rFonts w:ascii="Segoe UI" w:eastAsia="Meiryo UI" w:hAnsi="Segoe UI" w:cs="Segoe UI"/>
          <w:szCs w:val="21"/>
        </w:rPr>
        <w:t xml:space="preserve">. </w:t>
      </w:r>
    </w:p>
    <w:p w14:paraId="6522D233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C6053E">
        <w:rPr>
          <w:rFonts w:ascii="Segoe UI" w:eastAsia="Meiryo UI" w:hAnsi="Segoe UI" w:cs="Segoe UI"/>
          <w:b/>
          <w:bCs/>
          <w:szCs w:val="21"/>
        </w:rPr>
        <w:t>(K)</w:t>
      </w:r>
      <w:r w:rsidRPr="00C6053E">
        <w:rPr>
          <w:rFonts w:ascii="Segoe UI" w:eastAsia="Meiryo UI" w:hAnsi="Segoe UI" w:cs="Segoe UI"/>
          <w:szCs w:val="21"/>
        </w:rPr>
        <w:t xml:space="preserve"> RT-qPCR analysis showing the downregulation of </w:t>
      </w:r>
      <w:r w:rsidRPr="00C6053E">
        <w:rPr>
          <w:rFonts w:ascii="Segoe UI" w:eastAsia="Meiryo UI" w:hAnsi="Segoe UI" w:cs="Segoe UI"/>
          <w:i/>
          <w:iCs/>
          <w:szCs w:val="21"/>
        </w:rPr>
        <w:t>CHD3</w:t>
      </w:r>
      <w:r w:rsidRPr="00C6053E">
        <w:rPr>
          <w:rFonts w:ascii="Segoe UI" w:eastAsia="Meiryo UI" w:hAnsi="Segoe UI" w:cs="Segoe UI"/>
          <w:szCs w:val="21"/>
        </w:rPr>
        <w:t xml:space="preserve"> mRNA upon SMARCA4 restoration in H23 cells. </w:t>
      </w:r>
    </w:p>
    <w:p w14:paraId="03E6D5DC" w14:textId="77777777" w:rsidR="00161CC6" w:rsidRPr="00C6053E" w:rsidRDefault="00161CC6" w:rsidP="00161CC6">
      <w:pPr>
        <w:rPr>
          <w:rFonts w:ascii="Segoe UI" w:eastAsia="Meiryo UI" w:hAnsi="Segoe UI" w:cs="Segoe UI"/>
          <w:szCs w:val="21"/>
        </w:rPr>
      </w:pPr>
      <w:r w:rsidRPr="00C6053E">
        <w:rPr>
          <w:rFonts w:ascii="Segoe UI" w:eastAsia="Meiryo UI" w:hAnsi="Segoe UI" w:cs="Segoe UI"/>
          <w:b/>
          <w:bCs/>
          <w:szCs w:val="21"/>
        </w:rPr>
        <w:t>(L)</w:t>
      </w:r>
      <w:r w:rsidRPr="00C6053E">
        <w:rPr>
          <w:rFonts w:ascii="Segoe UI" w:eastAsia="Meiryo UI" w:hAnsi="Segoe UI" w:cs="Segoe UI"/>
          <w:szCs w:val="21"/>
        </w:rPr>
        <w:t xml:space="preserve"> Correlation analysis between </w:t>
      </w:r>
      <w:r w:rsidRPr="00C6053E">
        <w:rPr>
          <w:rFonts w:ascii="Segoe UI" w:eastAsia="Meiryo UI" w:hAnsi="Segoe UI" w:cs="Segoe UI"/>
          <w:i/>
          <w:iCs/>
          <w:szCs w:val="21"/>
        </w:rPr>
        <w:t>CHD3</w:t>
      </w:r>
      <w:r w:rsidRPr="00C6053E">
        <w:rPr>
          <w:rFonts w:ascii="Segoe UI" w:eastAsia="Meiryo UI" w:hAnsi="Segoe UI" w:cs="Segoe UI"/>
          <w:szCs w:val="21"/>
        </w:rPr>
        <w:t xml:space="preserve"> mRNA expression levels and SWI/SNF mutation status across the cell line panel. Data are presented as mean ± SD.</w:t>
      </w:r>
    </w:p>
    <w:p w14:paraId="49A6F88B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C6053E">
        <w:rPr>
          <w:rFonts w:ascii="Segoe UI" w:eastAsia="Meiryo UI" w:hAnsi="Segoe UI" w:cs="Segoe UI"/>
          <w:szCs w:val="21"/>
        </w:rPr>
        <w:t>Data are presented as mean ± SD. *P &lt; 0.0</w:t>
      </w:r>
      <w:r>
        <w:rPr>
          <w:rFonts w:ascii="Segoe UI" w:eastAsia="Meiryo UI" w:hAnsi="Segoe UI" w:cs="Segoe UI" w:hint="eastAsia"/>
          <w:szCs w:val="21"/>
        </w:rPr>
        <w:t xml:space="preserve">5, </w:t>
      </w:r>
      <w:r w:rsidRPr="00C6053E">
        <w:rPr>
          <w:rFonts w:ascii="Segoe UI" w:eastAsia="Meiryo UI" w:hAnsi="Segoe UI" w:cs="Segoe UI"/>
          <w:szCs w:val="21"/>
        </w:rPr>
        <w:t>**P &lt; 0.01</w:t>
      </w:r>
      <w:r>
        <w:rPr>
          <w:rFonts w:ascii="Segoe UI" w:eastAsia="Meiryo UI" w:hAnsi="Segoe UI" w:cs="Segoe UI" w:hint="eastAsia"/>
          <w:szCs w:val="21"/>
        </w:rPr>
        <w:t xml:space="preserve">, </w:t>
      </w:r>
      <w:r w:rsidRPr="00C6053E">
        <w:rPr>
          <w:rFonts w:ascii="Segoe UI" w:eastAsia="Meiryo UI" w:hAnsi="Segoe UI" w:cs="Segoe UI"/>
          <w:szCs w:val="21"/>
        </w:rPr>
        <w:t>***P &lt; 0.001 (Student’s t-test).</w:t>
      </w:r>
    </w:p>
    <w:p w14:paraId="50AFB401" w14:textId="77777777" w:rsidR="00161CC6" w:rsidRPr="00DD5FB1" w:rsidRDefault="00161CC6" w:rsidP="00161CC6">
      <w:pPr>
        <w:rPr>
          <w:rFonts w:ascii="Segoe UI" w:eastAsia="Meiryo UI" w:hAnsi="Segoe UI" w:cs="Segoe UI"/>
          <w:szCs w:val="21"/>
        </w:rPr>
      </w:pPr>
      <w:r>
        <w:rPr>
          <w:rFonts w:ascii="Segoe UI" w:eastAsia="Meiryo UI" w:hAnsi="Segoe UI" w:cs="Segoe UI"/>
          <w:b/>
          <w:bCs/>
          <w:szCs w:val="21"/>
        </w:rPr>
        <w:t>Supplementary</w:t>
      </w:r>
      <w:r>
        <w:rPr>
          <w:rFonts w:ascii="Segoe UI" w:eastAsia="Meiryo UI" w:hAnsi="Segoe UI" w:cs="Segoe UI" w:hint="eastAsia"/>
          <w:b/>
          <w:bCs/>
          <w:szCs w:val="21"/>
        </w:rPr>
        <w:t xml:space="preserve"> </w:t>
      </w:r>
      <w:r w:rsidRPr="00DD5FB1">
        <w:rPr>
          <w:rFonts w:ascii="Segoe UI" w:eastAsia="Meiryo UI" w:hAnsi="Segoe UI" w:cs="Segoe UI"/>
          <w:b/>
          <w:bCs/>
          <w:szCs w:val="21"/>
        </w:rPr>
        <w:t>Figure S2. Rescue of CHD3 Synthetic Lethality by PARD3B Depletion in Ovarian Cancer Cells, Related to Figure 2</w:t>
      </w:r>
    </w:p>
    <w:p w14:paraId="7F996912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7C326A">
        <w:rPr>
          <w:rFonts w:ascii="Segoe UI" w:eastAsia="Meiryo UI" w:hAnsi="Segoe UI" w:cs="Segoe UI"/>
          <w:b/>
          <w:bCs/>
          <w:szCs w:val="21"/>
        </w:rPr>
        <w:t>(A, B)</w:t>
      </w:r>
      <w:r w:rsidRPr="007C326A">
        <w:rPr>
          <w:rFonts w:ascii="Segoe UI" w:eastAsia="Meiryo UI" w:hAnsi="Segoe UI" w:cs="Segoe UI"/>
          <w:szCs w:val="21"/>
        </w:rPr>
        <w:t xml:space="preserve"> RT-qPCR analysis of </w:t>
      </w:r>
      <w:r w:rsidRPr="007C326A">
        <w:rPr>
          <w:rFonts w:ascii="Segoe UI" w:eastAsia="Meiryo UI" w:hAnsi="Segoe UI" w:cs="Segoe UI"/>
          <w:i/>
          <w:iCs/>
          <w:szCs w:val="21"/>
        </w:rPr>
        <w:t>CHD3</w:t>
      </w:r>
      <w:r w:rsidRPr="007C326A">
        <w:rPr>
          <w:rFonts w:ascii="Segoe UI" w:eastAsia="Meiryo UI" w:hAnsi="Segoe UI" w:cs="Segoe UI"/>
          <w:szCs w:val="21"/>
        </w:rPr>
        <w:t xml:space="preserve"> </w:t>
      </w:r>
      <w:r w:rsidRPr="007C326A">
        <w:rPr>
          <w:rFonts w:ascii="Segoe UI" w:eastAsia="Meiryo UI" w:hAnsi="Segoe UI" w:cs="Segoe UI"/>
          <w:b/>
          <w:bCs/>
          <w:szCs w:val="21"/>
        </w:rPr>
        <w:t>(A)</w:t>
      </w:r>
      <w:r w:rsidRPr="007C326A">
        <w:rPr>
          <w:rFonts w:ascii="Segoe UI" w:eastAsia="Meiryo UI" w:hAnsi="Segoe UI" w:cs="Segoe UI"/>
          <w:szCs w:val="21"/>
        </w:rPr>
        <w:t xml:space="preserve"> and </w:t>
      </w:r>
      <w:r w:rsidRPr="007C326A">
        <w:rPr>
          <w:rFonts w:ascii="Segoe UI" w:eastAsia="Meiryo UI" w:hAnsi="Segoe UI" w:cs="Segoe UI"/>
          <w:i/>
          <w:iCs/>
          <w:szCs w:val="21"/>
        </w:rPr>
        <w:t>PARD3B</w:t>
      </w:r>
      <w:r w:rsidRPr="007C326A">
        <w:rPr>
          <w:rFonts w:ascii="Segoe UI" w:eastAsia="Meiryo UI" w:hAnsi="Segoe UI" w:cs="Segoe UI"/>
          <w:szCs w:val="21"/>
        </w:rPr>
        <w:t xml:space="preserve"> </w:t>
      </w:r>
      <w:r w:rsidRPr="007C326A">
        <w:rPr>
          <w:rFonts w:ascii="Segoe UI" w:eastAsia="Meiryo UI" w:hAnsi="Segoe UI" w:cs="Segoe UI"/>
          <w:b/>
          <w:bCs/>
          <w:szCs w:val="21"/>
        </w:rPr>
        <w:t>(B)</w:t>
      </w:r>
      <w:r w:rsidRPr="007C326A">
        <w:rPr>
          <w:rFonts w:ascii="Segoe UI" w:eastAsia="Meiryo UI" w:hAnsi="Segoe UI" w:cs="Segoe UI"/>
          <w:szCs w:val="21"/>
        </w:rPr>
        <w:t xml:space="preserve"> mRNA levels in the SWI/SNF-deficient ovarian cancer cell line TOV112D treated with siNT, siCHD3, siPARD3B, or the combination. </w:t>
      </w:r>
      <w:r w:rsidRPr="007C326A">
        <w:rPr>
          <w:rFonts w:ascii="Segoe UI" w:eastAsia="Meiryo UI" w:hAnsi="Segoe UI" w:cs="Segoe UI"/>
          <w:b/>
          <w:bCs/>
          <w:szCs w:val="21"/>
        </w:rPr>
        <w:t>(C)</w:t>
      </w:r>
      <w:r w:rsidRPr="007C326A">
        <w:rPr>
          <w:rFonts w:ascii="Segoe UI" w:eastAsia="Meiryo UI" w:hAnsi="Segoe UI" w:cs="Segoe UI"/>
          <w:szCs w:val="21"/>
        </w:rPr>
        <w:t xml:space="preserve"> Cell viability of TOV112D cells treated as indicated. Consistent with lung cancer models, concomitant depletion of </w:t>
      </w:r>
      <w:r w:rsidRPr="007C326A">
        <w:rPr>
          <w:rFonts w:ascii="Segoe UI" w:eastAsia="Meiryo UI" w:hAnsi="Segoe UI" w:cs="Segoe UI"/>
          <w:i/>
          <w:iCs/>
          <w:szCs w:val="21"/>
        </w:rPr>
        <w:t>PARD3B</w:t>
      </w:r>
      <w:r w:rsidRPr="007C326A">
        <w:rPr>
          <w:rFonts w:ascii="Segoe UI" w:eastAsia="Meiryo UI" w:hAnsi="Segoe UI" w:cs="Segoe UI"/>
          <w:szCs w:val="21"/>
        </w:rPr>
        <w:t xml:space="preserve"> significantly rescues the cell viability defect caused by </w:t>
      </w:r>
      <w:r w:rsidRPr="007C326A">
        <w:rPr>
          <w:rFonts w:ascii="Segoe UI" w:eastAsia="Meiryo UI" w:hAnsi="Segoe UI" w:cs="Segoe UI"/>
          <w:i/>
          <w:iCs/>
          <w:szCs w:val="21"/>
        </w:rPr>
        <w:t>CHD3</w:t>
      </w:r>
      <w:r w:rsidRPr="007C326A">
        <w:rPr>
          <w:rFonts w:ascii="Segoe UI" w:eastAsia="Meiryo UI" w:hAnsi="Segoe UI" w:cs="Segoe UI"/>
          <w:szCs w:val="21"/>
        </w:rPr>
        <w:t xml:space="preserve"> knockdown. </w:t>
      </w:r>
    </w:p>
    <w:p w14:paraId="3B60C828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6073F0">
        <w:rPr>
          <w:rFonts w:ascii="Segoe UI" w:eastAsia="Meiryo UI" w:hAnsi="Segoe UI" w:cs="Segoe UI"/>
          <w:b/>
          <w:bCs/>
          <w:szCs w:val="21"/>
        </w:rPr>
        <w:t>(D)</w:t>
      </w:r>
      <w:r w:rsidRPr="006073F0">
        <w:rPr>
          <w:rFonts w:ascii="Segoe UI" w:eastAsia="Meiryo UI" w:hAnsi="Segoe UI" w:cs="Segoe UI"/>
          <w:szCs w:val="21"/>
        </w:rPr>
        <w:t xml:space="preserve"> Effect of HDAC inhibition on </w:t>
      </w:r>
      <w:r w:rsidRPr="006073F0">
        <w:rPr>
          <w:rFonts w:ascii="Segoe UI" w:eastAsia="Meiryo UI" w:hAnsi="Segoe UI" w:cs="Segoe UI"/>
          <w:i/>
          <w:iCs/>
          <w:szCs w:val="21"/>
        </w:rPr>
        <w:t>PARD3B</w:t>
      </w:r>
      <w:r w:rsidRPr="006073F0">
        <w:rPr>
          <w:rFonts w:ascii="Segoe UI" w:eastAsia="Meiryo UI" w:hAnsi="Segoe UI" w:cs="Segoe UI"/>
          <w:szCs w:val="21"/>
        </w:rPr>
        <w:t xml:space="preserve"> expression. SWI/SNF-deficient cell lines (H23, H1703, and TOV112D) were treated with </w:t>
      </w:r>
      <w:r>
        <w:rPr>
          <w:rFonts w:ascii="Segoe UI" w:eastAsia="Meiryo UI" w:hAnsi="Segoe UI" w:cs="Segoe UI"/>
          <w:szCs w:val="21"/>
        </w:rPr>
        <w:t xml:space="preserve">the </w:t>
      </w:r>
      <w:r>
        <w:rPr>
          <w:rFonts w:ascii="Segoe UI" w:eastAsia="Meiryo UI" w:hAnsi="Segoe UI" w:cs="Segoe UI" w:hint="eastAsia"/>
          <w:szCs w:val="21"/>
        </w:rPr>
        <w:t xml:space="preserve">indicated concentration of </w:t>
      </w:r>
      <w:r w:rsidRPr="006073F0">
        <w:rPr>
          <w:rFonts w:ascii="Segoe UI" w:eastAsia="Meiryo UI" w:hAnsi="Segoe UI" w:cs="Segoe UI"/>
          <w:szCs w:val="21"/>
        </w:rPr>
        <w:t xml:space="preserve">the HDAC inhibitor Vorinostat or vehicle control (DMSO) for 24 h. </w:t>
      </w:r>
      <w:r w:rsidRPr="006073F0">
        <w:rPr>
          <w:rFonts w:ascii="Segoe UI" w:eastAsia="Meiryo UI" w:hAnsi="Segoe UI" w:cs="Segoe UI"/>
          <w:i/>
          <w:iCs/>
          <w:szCs w:val="21"/>
        </w:rPr>
        <w:t>PARD3B</w:t>
      </w:r>
      <w:r w:rsidRPr="006073F0">
        <w:rPr>
          <w:rFonts w:ascii="Segoe UI" w:eastAsia="Meiryo UI" w:hAnsi="Segoe UI" w:cs="Segoe UI"/>
          <w:szCs w:val="21"/>
        </w:rPr>
        <w:t xml:space="preserve"> expression levels were analyzed. Note the heterogeneous response across cell lines, indicating that HDAC inhibition does not consistently recapitulate the phenotype of CHD3 loss.</w:t>
      </w:r>
    </w:p>
    <w:p w14:paraId="0AEB80AC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7C326A">
        <w:rPr>
          <w:rFonts w:ascii="Segoe UI" w:eastAsia="Meiryo UI" w:hAnsi="Segoe UI" w:cs="Segoe UI"/>
          <w:szCs w:val="21"/>
        </w:rPr>
        <w:t>Data are presented as mean ± SD (n = 3). **P &lt; 0.01, ***P &lt; 0.001 (Student’s t-test)</w:t>
      </w:r>
      <w:r>
        <w:rPr>
          <w:rFonts w:ascii="Segoe UI" w:eastAsia="Meiryo UI" w:hAnsi="Segoe UI" w:cs="Segoe UI" w:hint="eastAsia"/>
          <w:szCs w:val="21"/>
        </w:rPr>
        <w:t>.</w:t>
      </w:r>
    </w:p>
    <w:p w14:paraId="7DA9FB2C" w14:textId="77777777" w:rsidR="00161CC6" w:rsidRPr="001C4B5C" w:rsidRDefault="00161CC6" w:rsidP="00161CC6">
      <w:pPr>
        <w:rPr>
          <w:rFonts w:ascii="Segoe UI" w:eastAsia="Meiryo UI" w:hAnsi="Segoe UI" w:cs="Segoe UI"/>
          <w:b/>
          <w:bCs/>
          <w:szCs w:val="21"/>
        </w:rPr>
      </w:pPr>
      <w:r>
        <w:rPr>
          <w:rFonts w:ascii="Segoe UI" w:eastAsia="Meiryo UI" w:hAnsi="Segoe UI" w:cs="Segoe UI"/>
          <w:b/>
          <w:bCs/>
          <w:szCs w:val="21"/>
        </w:rPr>
        <w:t>Supplementary</w:t>
      </w:r>
      <w:r>
        <w:rPr>
          <w:rFonts w:ascii="Segoe UI" w:eastAsia="Meiryo UI" w:hAnsi="Segoe UI" w:cs="Segoe UI" w:hint="eastAsia"/>
          <w:b/>
          <w:bCs/>
          <w:szCs w:val="21"/>
        </w:rPr>
        <w:t xml:space="preserve"> </w:t>
      </w:r>
      <w:r w:rsidRPr="001C4B5C">
        <w:rPr>
          <w:rFonts w:ascii="Segoe UI" w:eastAsia="Meiryo UI" w:hAnsi="Segoe UI" w:cs="Segoe UI"/>
          <w:b/>
          <w:bCs/>
          <w:szCs w:val="21"/>
        </w:rPr>
        <w:t>Figure S3. Genomic Occupancy of CHD3 and Chromatin Alterations upon Depletion, Related to Figure 3</w:t>
      </w:r>
    </w:p>
    <w:p w14:paraId="7D15B533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1C4B5C">
        <w:rPr>
          <w:rFonts w:ascii="Segoe UI" w:eastAsia="Meiryo UI" w:hAnsi="Segoe UI" w:cs="Segoe UI"/>
          <w:b/>
          <w:bCs/>
          <w:szCs w:val="21"/>
        </w:rPr>
        <w:t>(A)</w:t>
      </w:r>
      <w:r w:rsidRPr="001C4B5C">
        <w:rPr>
          <w:rFonts w:ascii="Segoe UI" w:eastAsia="Meiryo UI" w:hAnsi="Segoe UI" w:cs="Segoe UI"/>
          <w:szCs w:val="21"/>
        </w:rPr>
        <w:t xml:space="preserve"> Heatmaps centered on SMARCA4 peaks showing the genome-wide distribution of SMARCA4, CHD3, and histone modifications (H3K4me3, H3K4me1, H3K27ac) in H23 isogenic cells. Regions are classified into promoter and enhancer elements. </w:t>
      </w:r>
    </w:p>
    <w:p w14:paraId="44D56D39" w14:textId="77777777" w:rsidR="00161CC6" w:rsidRPr="001C4B5C" w:rsidRDefault="00161CC6" w:rsidP="00161CC6">
      <w:pPr>
        <w:rPr>
          <w:rFonts w:ascii="Segoe UI" w:eastAsia="Meiryo UI" w:hAnsi="Segoe UI" w:cs="Segoe UI"/>
          <w:szCs w:val="21"/>
        </w:rPr>
      </w:pPr>
      <w:r w:rsidRPr="001C4B5C">
        <w:rPr>
          <w:rFonts w:ascii="Segoe UI" w:eastAsia="Meiryo UI" w:hAnsi="Segoe UI" w:cs="Segoe UI"/>
          <w:b/>
          <w:bCs/>
          <w:szCs w:val="21"/>
        </w:rPr>
        <w:t>(B)</w:t>
      </w:r>
      <w:r w:rsidRPr="001C4B5C">
        <w:rPr>
          <w:rFonts w:ascii="Segoe UI" w:eastAsia="Meiryo UI" w:hAnsi="Segoe UI" w:cs="Segoe UI"/>
          <w:szCs w:val="21"/>
        </w:rPr>
        <w:t xml:space="preserve"> Genome browser tracks of ATAC-seq signals at the </w:t>
      </w:r>
      <w:r w:rsidRPr="001C4B5C">
        <w:rPr>
          <w:rFonts w:ascii="Segoe UI" w:eastAsia="Meiryo UI" w:hAnsi="Segoe UI" w:cs="Segoe UI"/>
          <w:i/>
          <w:iCs/>
          <w:szCs w:val="21"/>
        </w:rPr>
        <w:t>PARD3B</w:t>
      </w:r>
      <w:r w:rsidRPr="001C4B5C">
        <w:rPr>
          <w:rFonts w:ascii="Segoe UI" w:eastAsia="Meiryo UI" w:hAnsi="Segoe UI" w:cs="Segoe UI"/>
          <w:szCs w:val="21"/>
        </w:rPr>
        <w:t xml:space="preserve"> locus in SWI/SNF-deficient lung (H1703) and ovarian (TOV112D) cancer cell lines treated with siNT or siCHD3. Similar to H23 cells, </w:t>
      </w:r>
      <w:r w:rsidRPr="001C4B5C">
        <w:rPr>
          <w:rFonts w:ascii="Segoe UI" w:eastAsia="Meiryo UI" w:hAnsi="Segoe UI" w:cs="Segoe UI"/>
          <w:i/>
          <w:iCs/>
          <w:szCs w:val="21"/>
        </w:rPr>
        <w:t>CHD3</w:t>
      </w:r>
      <w:r w:rsidRPr="001C4B5C">
        <w:rPr>
          <w:rFonts w:ascii="Segoe UI" w:eastAsia="Meiryo UI" w:hAnsi="Segoe UI" w:cs="Segoe UI"/>
          <w:szCs w:val="21"/>
        </w:rPr>
        <w:t xml:space="preserve"> depletion induces increased chromatin accessibility at the 5' regulatory regions (R1, corresponding to E1) of the </w:t>
      </w:r>
      <w:r w:rsidRPr="001C4B5C">
        <w:rPr>
          <w:rFonts w:ascii="Segoe UI" w:eastAsia="Meiryo UI" w:hAnsi="Segoe UI" w:cs="Segoe UI"/>
          <w:i/>
          <w:iCs/>
          <w:szCs w:val="21"/>
        </w:rPr>
        <w:t>PARD3B</w:t>
      </w:r>
      <w:r w:rsidRPr="001C4B5C">
        <w:rPr>
          <w:rFonts w:ascii="Segoe UI" w:eastAsia="Meiryo UI" w:hAnsi="Segoe UI" w:cs="Segoe UI"/>
          <w:szCs w:val="21"/>
        </w:rPr>
        <w:t xml:space="preserve"> gene.</w:t>
      </w:r>
    </w:p>
    <w:p w14:paraId="4D626308" w14:textId="77777777" w:rsidR="00161CC6" w:rsidRPr="002C49E3" w:rsidRDefault="00161CC6" w:rsidP="00161CC6">
      <w:pPr>
        <w:rPr>
          <w:rFonts w:ascii="Segoe UI" w:eastAsia="Meiryo UI" w:hAnsi="Segoe UI" w:cs="Segoe UI"/>
          <w:szCs w:val="21"/>
        </w:rPr>
      </w:pPr>
      <w:r>
        <w:rPr>
          <w:rFonts w:ascii="Segoe UI" w:eastAsia="Meiryo UI" w:hAnsi="Segoe UI" w:cs="Segoe UI"/>
          <w:b/>
          <w:bCs/>
          <w:szCs w:val="21"/>
        </w:rPr>
        <w:t>Supplementary</w:t>
      </w:r>
      <w:r>
        <w:rPr>
          <w:rFonts w:ascii="Segoe UI" w:eastAsia="Meiryo UI" w:hAnsi="Segoe UI" w:cs="Segoe UI" w:hint="eastAsia"/>
          <w:b/>
          <w:bCs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Figure S4. Transcriptional Signatures and Signaling Heterogeneity, Related to Figure 4</w:t>
      </w:r>
    </w:p>
    <w:p w14:paraId="527E041E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2C49E3">
        <w:rPr>
          <w:rFonts w:ascii="Segoe UI" w:eastAsia="Meiryo UI" w:hAnsi="Segoe UI" w:cs="Segoe UI"/>
          <w:b/>
          <w:bCs/>
          <w:szCs w:val="21"/>
        </w:rPr>
        <w:t>(A–G)</w:t>
      </w:r>
      <w:r w:rsidRPr="002C49E3">
        <w:rPr>
          <w:rFonts w:ascii="Segoe UI" w:eastAsia="Meiryo UI" w:hAnsi="Segoe UI" w:cs="Segoe UI"/>
          <w:szCs w:val="21"/>
        </w:rPr>
        <w:t xml:space="preserve"> Additional GSEA plots. </w:t>
      </w:r>
      <w:r w:rsidRPr="002C49E3">
        <w:rPr>
          <w:rFonts w:ascii="Segoe UI" w:eastAsia="Meiryo UI" w:hAnsi="Segoe UI" w:cs="Segoe UI"/>
          <w:b/>
          <w:bCs/>
          <w:szCs w:val="21"/>
        </w:rPr>
        <w:t>(A)</w:t>
      </w:r>
      <w:r w:rsidRPr="002C49E3">
        <w:rPr>
          <w:rFonts w:ascii="Segoe UI" w:eastAsia="Meiryo UI" w:hAnsi="Segoe UI" w:cs="Segoe UI"/>
          <w:szCs w:val="21"/>
        </w:rPr>
        <w:t xml:space="preserve"> Suppression of </w:t>
      </w:r>
      <w:r w:rsidRPr="002C49E3">
        <w:rPr>
          <w:rFonts w:ascii="Segoe UI" w:eastAsia="Meiryo UI" w:hAnsi="Segoe UI" w:cs="Segoe UI"/>
          <w:i/>
          <w:iCs/>
          <w:szCs w:val="21"/>
        </w:rPr>
        <w:t>G2M_CHECKPOINT</w:t>
      </w:r>
      <w:r w:rsidRPr="002C49E3">
        <w:rPr>
          <w:rFonts w:ascii="Segoe UI" w:eastAsia="Meiryo UI" w:hAnsi="Segoe UI" w:cs="Segoe UI"/>
          <w:szCs w:val="21"/>
        </w:rPr>
        <w:t xml:space="preserve"> in siCHD3-treated H23 cells. </w:t>
      </w:r>
      <w:r w:rsidRPr="002C49E3">
        <w:rPr>
          <w:rFonts w:ascii="Segoe UI" w:eastAsia="Meiryo UI" w:hAnsi="Segoe UI" w:cs="Segoe UI"/>
          <w:b/>
          <w:bCs/>
          <w:szCs w:val="21"/>
        </w:rPr>
        <w:lastRenderedPageBreak/>
        <w:t>(B–E)</w:t>
      </w:r>
      <w:r w:rsidRPr="002C49E3">
        <w:rPr>
          <w:rFonts w:ascii="Segoe UI" w:eastAsia="Meiryo UI" w:hAnsi="Segoe UI" w:cs="Segoe UI"/>
          <w:szCs w:val="21"/>
        </w:rPr>
        <w:t xml:space="preserve"> Suppression of </w:t>
      </w:r>
      <w:r w:rsidRPr="002C49E3">
        <w:rPr>
          <w:rFonts w:ascii="Segoe UI" w:eastAsia="Meiryo UI" w:hAnsi="Segoe UI" w:cs="Segoe UI"/>
          <w:i/>
          <w:iCs/>
          <w:szCs w:val="21"/>
        </w:rPr>
        <w:t>UNFOLDED_PROTEIN_RESPONSE</w:t>
      </w:r>
      <w:r w:rsidRPr="002C49E3">
        <w:rPr>
          <w:rFonts w:ascii="Segoe UI" w:eastAsia="Meiryo UI" w:hAnsi="Segoe UI" w:cs="Segoe UI"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(B)</w:t>
      </w:r>
      <w:r w:rsidRPr="002C49E3">
        <w:rPr>
          <w:rFonts w:ascii="Segoe UI" w:eastAsia="Meiryo UI" w:hAnsi="Segoe UI" w:cs="Segoe UI"/>
          <w:szCs w:val="21"/>
        </w:rPr>
        <w:t xml:space="preserve">, </w:t>
      </w:r>
      <w:r w:rsidRPr="002C49E3">
        <w:rPr>
          <w:rFonts w:ascii="Segoe UI" w:eastAsia="Meiryo UI" w:hAnsi="Segoe UI" w:cs="Segoe UI"/>
          <w:i/>
          <w:iCs/>
          <w:szCs w:val="21"/>
        </w:rPr>
        <w:t>DNA_REPAIR</w:t>
      </w:r>
      <w:r w:rsidRPr="002C49E3">
        <w:rPr>
          <w:rFonts w:ascii="Segoe UI" w:eastAsia="Meiryo UI" w:hAnsi="Segoe UI" w:cs="Segoe UI"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(C)</w:t>
      </w:r>
      <w:r w:rsidRPr="002C49E3">
        <w:rPr>
          <w:rFonts w:ascii="Segoe UI" w:eastAsia="Meiryo UI" w:hAnsi="Segoe UI" w:cs="Segoe UI"/>
          <w:szCs w:val="21"/>
        </w:rPr>
        <w:t xml:space="preserve">, </w:t>
      </w:r>
      <w:r w:rsidRPr="002C49E3">
        <w:rPr>
          <w:rFonts w:ascii="Segoe UI" w:eastAsia="Meiryo UI" w:hAnsi="Segoe UI" w:cs="Segoe UI"/>
          <w:i/>
          <w:iCs/>
          <w:szCs w:val="21"/>
        </w:rPr>
        <w:t>MTORC1_SIGNALING</w:t>
      </w:r>
      <w:r w:rsidRPr="002C49E3">
        <w:rPr>
          <w:rFonts w:ascii="Segoe UI" w:eastAsia="Meiryo UI" w:hAnsi="Segoe UI" w:cs="Segoe UI"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(D)</w:t>
      </w:r>
      <w:r w:rsidRPr="002C49E3">
        <w:rPr>
          <w:rFonts w:ascii="Segoe UI" w:eastAsia="Meiryo UI" w:hAnsi="Segoe UI" w:cs="Segoe UI"/>
          <w:szCs w:val="21"/>
        </w:rPr>
        <w:t xml:space="preserve">, and </w:t>
      </w:r>
      <w:r w:rsidRPr="002C49E3">
        <w:rPr>
          <w:rFonts w:ascii="Segoe UI" w:eastAsia="Meiryo UI" w:hAnsi="Segoe UI" w:cs="Segoe UI"/>
          <w:i/>
          <w:iCs/>
          <w:szCs w:val="21"/>
        </w:rPr>
        <w:t>REACTIVE_OXYGEN_SPECIES_PATHWAY</w:t>
      </w:r>
      <w:r w:rsidRPr="002C49E3">
        <w:rPr>
          <w:rFonts w:ascii="Segoe UI" w:eastAsia="Meiryo UI" w:hAnsi="Segoe UI" w:cs="Segoe UI"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(E)</w:t>
      </w:r>
      <w:r w:rsidRPr="002C49E3">
        <w:rPr>
          <w:rFonts w:ascii="Segoe UI" w:eastAsia="Meiryo UI" w:hAnsi="Segoe UI" w:cs="Segoe UI"/>
          <w:szCs w:val="21"/>
        </w:rPr>
        <w:t xml:space="preserve"> in PARD3B-overexpressing H23 cells. </w:t>
      </w:r>
      <w:r w:rsidRPr="002C49E3">
        <w:rPr>
          <w:rFonts w:ascii="Segoe UI" w:eastAsia="Meiryo UI" w:hAnsi="Segoe UI" w:cs="Segoe UI"/>
          <w:b/>
          <w:bCs/>
          <w:szCs w:val="21"/>
        </w:rPr>
        <w:t>(F, G)</w:t>
      </w:r>
      <w:r w:rsidRPr="002C49E3">
        <w:rPr>
          <w:rFonts w:ascii="Segoe UI" w:eastAsia="Meiryo UI" w:hAnsi="Segoe UI" w:cs="Segoe UI"/>
          <w:szCs w:val="21"/>
        </w:rPr>
        <w:t xml:space="preserve"> Enrichment of </w:t>
      </w:r>
      <w:r w:rsidRPr="002C49E3">
        <w:rPr>
          <w:rFonts w:ascii="Segoe UI" w:eastAsia="Meiryo UI" w:hAnsi="Segoe UI" w:cs="Segoe UI"/>
          <w:i/>
          <w:iCs/>
          <w:szCs w:val="21"/>
        </w:rPr>
        <w:t>UV_RESPONSE_UP</w:t>
      </w:r>
      <w:r w:rsidRPr="002C49E3">
        <w:rPr>
          <w:rFonts w:ascii="Segoe UI" w:eastAsia="Meiryo UI" w:hAnsi="Segoe UI" w:cs="Segoe UI"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(F)</w:t>
      </w:r>
      <w:r w:rsidRPr="002C49E3">
        <w:rPr>
          <w:rFonts w:ascii="Segoe UI" w:eastAsia="Meiryo UI" w:hAnsi="Segoe UI" w:cs="Segoe UI"/>
          <w:szCs w:val="21"/>
        </w:rPr>
        <w:t xml:space="preserve"> and </w:t>
      </w:r>
      <w:r w:rsidRPr="002C49E3">
        <w:rPr>
          <w:rFonts w:ascii="Segoe UI" w:eastAsia="Meiryo UI" w:hAnsi="Segoe UI" w:cs="Segoe UI"/>
          <w:i/>
          <w:iCs/>
          <w:szCs w:val="21"/>
        </w:rPr>
        <w:t>P53_PATHWAY</w:t>
      </w:r>
      <w:r w:rsidRPr="002C49E3">
        <w:rPr>
          <w:rFonts w:ascii="Segoe UI" w:eastAsia="Meiryo UI" w:hAnsi="Segoe UI" w:cs="Segoe UI"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(G)</w:t>
      </w:r>
      <w:r w:rsidRPr="002C49E3">
        <w:rPr>
          <w:rFonts w:ascii="Segoe UI" w:eastAsia="Meiryo UI" w:hAnsi="Segoe UI" w:cs="Segoe UI"/>
          <w:szCs w:val="21"/>
        </w:rPr>
        <w:t xml:space="preserve"> in PARD3B-overexpressing cells. </w:t>
      </w:r>
    </w:p>
    <w:p w14:paraId="4770E769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2C49E3">
        <w:rPr>
          <w:rFonts w:ascii="Segoe UI" w:eastAsia="Meiryo UI" w:hAnsi="Segoe UI" w:cs="Segoe UI"/>
          <w:b/>
          <w:bCs/>
          <w:szCs w:val="21"/>
        </w:rPr>
        <w:t>(H–J)</w:t>
      </w:r>
      <w:r w:rsidRPr="002C49E3">
        <w:rPr>
          <w:rFonts w:ascii="Segoe UI" w:eastAsia="Meiryo UI" w:hAnsi="Segoe UI" w:cs="Segoe UI"/>
          <w:szCs w:val="21"/>
        </w:rPr>
        <w:t xml:space="preserve"> Additional GSEA plots comparing SWI/SNF-deficient vs. -proficient cells. Enrichment of </w:t>
      </w:r>
      <w:r w:rsidRPr="002C49E3">
        <w:rPr>
          <w:rFonts w:ascii="Segoe UI" w:eastAsia="Meiryo UI" w:hAnsi="Segoe UI" w:cs="Segoe UI"/>
          <w:i/>
          <w:iCs/>
          <w:szCs w:val="21"/>
        </w:rPr>
        <w:t>G2M_CHECKPOINT</w:t>
      </w:r>
      <w:r w:rsidRPr="002C49E3">
        <w:rPr>
          <w:rFonts w:ascii="Segoe UI" w:eastAsia="Meiryo UI" w:hAnsi="Segoe UI" w:cs="Segoe UI"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(H)</w:t>
      </w:r>
      <w:r w:rsidRPr="002C49E3">
        <w:rPr>
          <w:rFonts w:ascii="Segoe UI" w:eastAsia="Meiryo UI" w:hAnsi="Segoe UI" w:cs="Segoe UI"/>
          <w:szCs w:val="21"/>
        </w:rPr>
        <w:t xml:space="preserve">, </w:t>
      </w:r>
      <w:r w:rsidRPr="002C49E3">
        <w:rPr>
          <w:rFonts w:ascii="Segoe UI" w:eastAsia="Meiryo UI" w:hAnsi="Segoe UI" w:cs="Segoe UI"/>
          <w:i/>
          <w:iCs/>
          <w:szCs w:val="21"/>
        </w:rPr>
        <w:t>E2F_TARGETS</w:t>
      </w:r>
      <w:r w:rsidRPr="002C49E3">
        <w:rPr>
          <w:rFonts w:ascii="Segoe UI" w:eastAsia="Meiryo UI" w:hAnsi="Segoe UI" w:cs="Segoe UI"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(I)</w:t>
      </w:r>
      <w:r w:rsidRPr="002C49E3">
        <w:rPr>
          <w:rFonts w:ascii="Segoe UI" w:eastAsia="Meiryo UI" w:hAnsi="Segoe UI" w:cs="Segoe UI"/>
          <w:szCs w:val="21"/>
        </w:rPr>
        <w:t xml:space="preserve">, and </w:t>
      </w:r>
      <w:r w:rsidRPr="002C49E3">
        <w:rPr>
          <w:rFonts w:ascii="Segoe UI" w:eastAsia="Meiryo UI" w:hAnsi="Segoe UI" w:cs="Segoe UI"/>
          <w:i/>
          <w:iCs/>
          <w:szCs w:val="21"/>
        </w:rPr>
        <w:t>UV_RESPONSE_UP</w:t>
      </w:r>
      <w:r w:rsidRPr="002C49E3">
        <w:rPr>
          <w:rFonts w:ascii="Segoe UI" w:eastAsia="Meiryo UI" w:hAnsi="Segoe UI" w:cs="Segoe UI"/>
          <w:szCs w:val="21"/>
        </w:rPr>
        <w:t xml:space="preserve"> </w:t>
      </w:r>
      <w:r w:rsidRPr="002C49E3">
        <w:rPr>
          <w:rFonts w:ascii="Segoe UI" w:eastAsia="Meiryo UI" w:hAnsi="Segoe UI" w:cs="Segoe UI"/>
          <w:b/>
          <w:bCs/>
          <w:szCs w:val="21"/>
        </w:rPr>
        <w:t>(J)</w:t>
      </w:r>
      <w:r w:rsidRPr="002C49E3">
        <w:rPr>
          <w:rFonts w:ascii="Segoe UI" w:eastAsia="Meiryo UI" w:hAnsi="Segoe UI" w:cs="Segoe UI"/>
          <w:szCs w:val="21"/>
        </w:rPr>
        <w:t xml:space="preserve"> in deficient cells. </w:t>
      </w:r>
    </w:p>
    <w:p w14:paraId="516A924B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2C49E3">
        <w:rPr>
          <w:rFonts w:ascii="Segoe UI" w:eastAsia="Meiryo UI" w:hAnsi="Segoe UI" w:cs="Segoe UI"/>
          <w:b/>
          <w:bCs/>
          <w:szCs w:val="21"/>
        </w:rPr>
        <w:t>(K, L)</w:t>
      </w:r>
      <w:r w:rsidRPr="002C49E3">
        <w:rPr>
          <w:rFonts w:ascii="Segoe UI" w:eastAsia="Meiryo UI" w:hAnsi="Segoe UI" w:cs="Segoe UI"/>
          <w:szCs w:val="21"/>
        </w:rPr>
        <w:t xml:space="preserve"> Immunoblot analysis of VEGFR2 and its phosphorylation sites (pY1175, pY996, pY951, pY1059) in SWI/SNF-deficient cell lines (H23, H1703, TOV112D) treated </w:t>
      </w:r>
      <w:r>
        <w:rPr>
          <w:rFonts w:ascii="Segoe UI" w:eastAsia="Meiryo UI" w:hAnsi="Segoe UI" w:cs="Segoe UI" w:hint="eastAsia"/>
          <w:szCs w:val="21"/>
        </w:rPr>
        <w:t xml:space="preserve">for 96 h </w:t>
      </w:r>
      <w:r w:rsidRPr="002C49E3">
        <w:rPr>
          <w:rFonts w:ascii="Segoe UI" w:eastAsia="Meiryo UI" w:hAnsi="Segoe UI" w:cs="Segoe UI"/>
          <w:szCs w:val="21"/>
        </w:rPr>
        <w:t xml:space="preserve">with siNT vs. siCHD3 </w:t>
      </w:r>
      <w:r w:rsidRPr="002C49E3">
        <w:rPr>
          <w:rFonts w:ascii="Segoe UI" w:eastAsia="Meiryo UI" w:hAnsi="Segoe UI" w:cs="Segoe UI"/>
          <w:b/>
          <w:bCs/>
          <w:szCs w:val="21"/>
        </w:rPr>
        <w:t>(K)</w:t>
      </w:r>
      <w:r w:rsidRPr="002C49E3">
        <w:rPr>
          <w:rFonts w:ascii="Segoe UI" w:eastAsia="Meiryo UI" w:hAnsi="Segoe UI" w:cs="Segoe UI"/>
          <w:szCs w:val="21"/>
        </w:rPr>
        <w:t xml:space="preserve"> or Mock vs. PARD3B-cDNA </w:t>
      </w:r>
      <w:r w:rsidRPr="002C49E3">
        <w:rPr>
          <w:rFonts w:ascii="Segoe UI" w:eastAsia="Meiryo UI" w:hAnsi="Segoe UI" w:cs="Segoe UI"/>
          <w:b/>
          <w:bCs/>
          <w:szCs w:val="21"/>
        </w:rPr>
        <w:t>(L)</w:t>
      </w:r>
      <w:r w:rsidRPr="002C49E3">
        <w:rPr>
          <w:rFonts w:ascii="Segoe UI" w:eastAsia="Meiryo UI" w:hAnsi="Segoe UI" w:cs="Segoe UI"/>
          <w:szCs w:val="21"/>
        </w:rPr>
        <w:t xml:space="preserve">. </w:t>
      </w:r>
    </w:p>
    <w:p w14:paraId="007B1759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2C49E3">
        <w:rPr>
          <w:rFonts w:ascii="Segoe UI" w:eastAsia="Meiryo UI" w:hAnsi="Segoe UI" w:cs="Segoe UI"/>
          <w:b/>
          <w:bCs/>
          <w:szCs w:val="21"/>
        </w:rPr>
        <w:t>(M)</w:t>
      </w:r>
      <w:r w:rsidRPr="002C49E3">
        <w:rPr>
          <w:rFonts w:ascii="Segoe UI" w:eastAsia="Meiryo UI" w:hAnsi="Segoe UI" w:cs="Segoe UI"/>
          <w:szCs w:val="21"/>
        </w:rPr>
        <w:t xml:space="preserve"> WikiPathway analysis identifying the "VEGFA-VEGFR2 Signaling Pathway" as a common target downregulated by CHD3 suppression/PARD3B OE (left venn) and upregulated in SWI/SNF-deficient cells (right venn). </w:t>
      </w:r>
    </w:p>
    <w:p w14:paraId="0D3B6B7B" w14:textId="77777777" w:rsidR="00161CC6" w:rsidRDefault="00161CC6" w:rsidP="00161CC6">
      <w:pPr>
        <w:rPr>
          <w:rFonts w:ascii="Segoe UI" w:eastAsia="Meiryo UI" w:hAnsi="Segoe UI" w:cs="Segoe UI"/>
          <w:szCs w:val="21"/>
        </w:rPr>
      </w:pPr>
      <w:r w:rsidRPr="002C49E3">
        <w:rPr>
          <w:rFonts w:ascii="Segoe UI" w:eastAsia="Meiryo UI" w:hAnsi="Segoe UI" w:cs="Segoe UI"/>
          <w:b/>
          <w:bCs/>
          <w:szCs w:val="21"/>
        </w:rPr>
        <w:t>(N, O)</w:t>
      </w:r>
      <w:r w:rsidRPr="002C49E3">
        <w:rPr>
          <w:rFonts w:ascii="Segoe UI" w:eastAsia="Meiryo UI" w:hAnsi="Segoe UI" w:cs="Segoe UI"/>
          <w:szCs w:val="21"/>
        </w:rPr>
        <w:t xml:space="preserve"> Immunoblot analysis of downstream signaling effectors (AKT, p-AKT, ERK1/2, p-ERK1/2, STAT3, p-STAT3) in SWI/SNF-deficient cell lines treated</w:t>
      </w:r>
      <w:r>
        <w:rPr>
          <w:rFonts w:ascii="Segoe UI" w:eastAsia="Meiryo UI" w:hAnsi="Segoe UI" w:cs="Segoe UI" w:hint="eastAsia"/>
          <w:szCs w:val="21"/>
        </w:rPr>
        <w:t xml:space="preserve"> for 96 h</w:t>
      </w:r>
      <w:r w:rsidRPr="002C49E3">
        <w:rPr>
          <w:rFonts w:ascii="Segoe UI" w:eastAsia="Meiryo UI" w:hAnsi="Segoe UI" w:cs="Segoe UI"/>
          <w:szCs w:val="21"/>
        </w:rPr>
        <w:t xml:space="preserve"> with siNT vs. siCHD3 </w:t>
      </w:r>
      <w:r w:rsidRPr="002C49E3">
        <w:rPr>
          <w:rFonts w:ascii="Segoe UI" w:eastAsia="Meiryo UI" w:hAnsi="Segoe UI" w:cs="Segoe UI"/>
          <w:b/>
          <w:bCs/>
          <w:szCs w:val="21"/>
        </w:rPr>
        <w:t>(N)</w:t>
      </w:r>
      <w:r w:rsidRPr="002C49E3">
        <w:rPr>
          <w:rFonts w:ascii="Segoe UI" w:eastAsia="Meiryo UI" w:hAnsi="Segoe UI" w:cs="Segoe UI"/>
          <w:szCs w:val="21"/>
        </w:rPr>
        <w:t xml:space="preserve"> or Mock vs. PARD3B-cDNA </w:t>
      </w:r>
      <w:r w:rsidRPr="002C49E3">
        <w:rPr>
          <w:rFonts w:ascii="Segoe UI" w:eastAsia="Meiryo UI" w:hAnsi="Segoe UI" w:cs="Segoe UI"/>
          <w:b/>
          <w:bCs/>
          <w:szCs w:val="21"/>
        </w:rPr>
        <w:t>(O)</w:t>
      </w:r>
      <w:r w:rsidRPr="002C49E3">
        <w:rPr>
          <w:rFonts w:ascii="Segoe UI" w:eastAsia="Meiryo UI" w:hAnsi="Segoe UI" w:cs="Segoe UI"/>
          <w:szCs w:val="21"/>
        </w:rPr>
        <w:t>. Note the heterogeneous attenuation patterns across cell lines, suggesting context-dependent perturbation rather than uniform blockade.</w:t>
      </w:r>
    </w:p>
    <w:p w14:paraId="148009C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CC6"/>
    <w:rsid w:val="00161CC6"/>
    <w:rsid w:val="002C7D54"/>
    <w:rsid w:val="0033371E"/>
    <w:rsid w:val="005C0D39"/>
    <w:rsid w:val="0070406C"/>
    <w:rsid w:val="00724754"/>
    <w:rsid w:val="0072652F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D13F3"/>
  <w15:chartTrackingRefBased/>
  <w15:docId w15:val="{1BEDBBCC-6345-4FB8-878E-C59107507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CC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1CC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1CC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1CC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1CC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1CC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1CC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1CC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1CC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1CC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1C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1C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1C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1C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1C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1C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1C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1C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1C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1CC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1C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1CC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1C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1CC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1C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1CC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1C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1CC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1C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1C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690</Words>
  <Characters>4277</Characters>
  <Application>Microsoft Office Word</Application>
  <DocSecurity>0</DocSecurity>
  <Lines>68</Lines>
  <Paragraphs>16</Paragraphs>
  <ScaleCrop>false</ScaleCrop>
  <Company/>
  <LinksUpToDate>false</LinksUpToDate>
  <CharactersWithSpaces>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2026-03-02T07:43:00Z</dcterms:created>
  <dcterms:modified xsi:type="dcterms:W3CDTF">2026-03-02T07:44:00Z</dcterms:modified>
</cp:coreProperties>
</file>