
<file path=[Content_Types].xml><?xml version="1.0" encoding="utf-8"?>
<Types xmlns="http://schemas.openxmlformats.org/package/2006/content-types">
  <Default Extension="xml" ContentType="application/xml"/>
  <Default Extension="jpeg" ContentType="image/jpeg"/>
  <Default Extension="JPG" ContentType="image/.jp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 xml:space="preserve">Table S1 </w:t>
      </w:r>
      <w:r>
        <w:rPr>
          <w:rFonts w:hint="default" w:ascii="Times New Roman" w:hAnsi="Times New Roman" w:eastAsia="宋体" w:cs="Times New Roman"/>
          <w:b w:val="0"/>
          <w:bCs w:val="0"/>
          <w:sz w:val="24"/>
          <w:szCs w:val="24"/>
          <w:lang w:val="en-US" w:eastAsia="zh-CN"/>
        </w:rPr>
        <w:t>Statistical table of α-diversity index under different fertilizer treatments</w:t>
      </w:r>
    </w:p>
    <w:p>
      <w:pPr>
        <w:rPr>
          <w:rFonts w:hint="default" w:ascii="Times New Roman" w:hAnsi="Times New Roman" w:eastAsia="宋体" w:cs="Times New Roman"/>
          <w:b w:val="0"/>
          <w:bCs w:val="0"/>
          <w:sz w:val="24"/>
          <w:szCs w:val="24"/>
          <w:lang w:val="en-US" w:eastAsia="zh-CN"/>
        </w:rPr>
      </w:pPr>
      <w:bookmarkStart w:id="0" w:name="_GoBack"/>
      <w:r>
        <w:rPr>
          <w:rFonts w:hint="eastAsia" w:ascii="Times New Roman" w:hAnsi="Times New Roman" w:eastAsia="宋体" w:cs="Times New Roman"/>
          <w:b w:val="0"/>
          <w:bCs w:val="0"/>
          <w:sz w:val="24"/>
          <w:szCs w:val="24"/>
          <w:lang w:val="en-US" w:eastAsia="zh-CN"/>
        </w:rPr>
        <w:t xml:space="preserve">Note: </w:t>
      </w:r>
      <w:r>
        <w:rPr>
          <w:rFonts w:hint="eastAsia" w:ascii="Times New Roman" w:hAnsi="Times New Roman" w:cs="Times New Roman"/>
          <w:b w:val="0"/>
          <w:bCs w:val="0"/>
          <w:sz w:val="24"/>
          <w:szCs w:val="24"/>
          <w:highlight w:val="none"/>
          <w:lang w:val="en-US" w:eastAsia="zh-CN"/>
        </w:rPr>
        <w:t>Different letters in each column indicate significant difference among the treatments at 0.05 level.</w:t>
      </w:r>
    </w:p>
    <w:bookmarkEnd w:id="0"/>
    <w:tbl>
      <w:tblPr>
        <w:tblStyle w:val="2"/>
        <w:tblpPr w:leftFromText="180" w:rightFromText="180" w:vertAnchor="page" w:horzAnchor="page" w:tblpX="963" w:tblpY="2118"/>
        <w:tblOverlap w:val="never"/>
        <w:tblW w:w="14940" w:type="dxa"/>
        <w:tblInd w:w="0" w:type="dxa"/>
        <w:shd w:val="clear" w:color="auto" w:fill="auto"/>
        <w:tblLayout w:type="autofit"/>
        <w:tblCellMar>
          <w:top w:w="0" w:type="dxa"/>
          <w:left w:w="0" w:type="dxa"/>
          <w:bottom w:w="0" w:type="dxa"/>
          <w:right w:w="0" w:type="dxa"/>
        </w:tblCellMar>
      </w:tblPr>
      <w:tblGrid>
        <w:gridCol w:w="990"/>
        <w:gridCol w:w="1846"/>
        <w:gridCol w:w="1704"/>
        <w:gridCol w:w="1961"/>
        <w:gridCol w:w="1704"/>
        <w:gridCol w:w="1629"/>
        <w:gridCol w:w="1746"/>
        <w:gridCol w:w="1746"/>
        <w:gridCol w:w="1614"/>
      </w:tblGrid>
      <w:tr>
        <w:tblPrEx>
          <w:tblCellMar>
            <w:top w:w="0" w:type="dxa"/>
            <w:left w:w="0" w:type="dxa"/>
            <w:bottom w:w="0" w:type="dxa"/>
            <w:right w:w="0" w:type="dxa"/>
          </w:tblCellMar>
        </w:tblPrEx>
        <w:trPr>
          <w:trHeight w:val="330" w:hRule="atLeast"/>
        </w:trPr>
        <w:tc>
          <w:tcPr>
            <w:tcW w:w="990" w:type="dxa"/>
            <w:tcBorders>
              <w:top w:val="single" w:color="000000" w:sz="8" w:space="0"/>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c>
          <w:tcPr>
            <w:tcW w:w="7215"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Bacteria</w:t>
            </w:r>
          </w:p>
        </w:tc>
        <w:tc>
          <w:tcPr>
            <w:tcW w:w="6735"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Fungi</w:t>
            </w:r>
          </w:p>
        </w:tc>
      </w:tr>
      <w:tr>
        <w:tblPrEx>
          <w:tblCellMar>
            <w:top w:w="0" w:type="dxa"/>
            <w:left w:w="0" w:type="dxa"/>
            <w:bottom w:w="0" w:type="dxa"/>
            <w:right w:w="0" w:type="dxa"/>
          </w:tblCellMar>
        </w:tblPrEx>
        <w:trPr>
          <w:trHeight w:val="330" w:hRule="atLeast"/>
        </w:trPr>
        <w:tc>
          <w:tcPr>
            <w:tcW w:w="990" w:type="dxa"/>
            <w:tcBorders>
              <w:top w:val="nil"/>
              <w:left w:val="nil"/>
              <w:bottom w:val="single" w:color="000000" w:sz="8" w:space="0"/>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c>
          <w:tcPr>
            <w:tcW w:w="1846"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CK</w:t>
            </w:r>
          </w:p>
        </w:tc>
        <w:tc>
          <w:tcPr>
            <w:tcW w:w="1704"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CF</w:t>
            </w:r>
          </w:p>
        </w:tc>
        <w:tc>
          <w:tcPr>
            <w:tcW w:w="1961"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BF1</w:t>
            </w:r>
          </w:p>
        </w:tc>
        <w:tc>
          <w:tcPr>
            <w:tcW w:w="1704"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BF2</w:t>
            </w:r>
          </w:p>
        </w:tc>
        <w:tc>
          <w:tcPr>
            <w:tcW w:w="1629"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CK</w:t>
            </w:r>
          </w:p>
        </w:tc>
        <w:tc>
          <w:tcPr>
            <w:tcW w:w="1746"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CF</w:t>
            </w:r>
          </w:p>
        </w:tc>
        <w:tc>
          <w:tcPr>
            <w:tcW w:w="1746"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BF1</w:t>
            </w:r>
          </w:p>
        </w:tc>
        <w:tc>
          <w:tcPr>
            <w:tcW w:w="1614"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BF2</w:t>
            </w:r>
          </w:p>
        </w:tc>
      </w:tr>
      <w:tr>
        <w:tblPrEx>
          <w:tblCellMar>
            <w:top w:w="0" w:type="dxa"/>
            <w:left w:w="0" w:type="dxa"/>
            <w:bottom w:w="0" w:type="dxa"/>
            <w:right w:w="0" w:type="dxa"/>
          </w:tblCellMar>
        </w:tblPrEx>
        <w:trPr>
          <w:trHeight w:val="315" w:hRule="atLeast"/>
        </w:trPr>
        <w:tc>
          <w:tcPr>
            <w:tcW w:w="99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Sobs</w:t>
            </w:r>
          </w:p>
        </w:tc>
        <w:tc>
          <w:tcPr>
            <w:tcW w:w="18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2069±91.66b</w:t>
            </w:r>
          </w:p>
        </w:tc>
        <w:tc>
          <w:tcPr>
            <w:tcW w:w="170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2575.67±52.33a</w:t>
            </w:r>
          </w:p>
        </w:tc>
        <w:tc>
          <w:tcPr>
            <w:tcW w:w="19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2441.33±93.4a</w:t>
            </w:r>
          </w:p>
        </w:tc>
        <w:tc>
          <w:tcPr>
            <w:tcW w:w="170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2704.67±52a</w:t>
            </w:r>
          </w:p>
        </w:tc>
        <w:tc>
          <w:tcPr>
            <w:tcW w:w="162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179.67±8.41b</w:t>
            </w:r>
          </w:p>
        </w:tc>
        <w:tc>
          <w:tcPr>
            <w:tcW w:w="17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200±3.21ab</w:t>
            </w:r>
          </w:p>
        </w:tc>
        <w:tc>
          <w:tcPr>
            <w:tcW w:w="17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238±14.15a</w:t>
            </w:r>
          </w:p>
        </w:tc>
        <w:tc>
          <w:tcPr>
            <w:tcW w:w="161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237.67±4.10a</w:t>
            </w:r>
          </w:p>
        </w:tc>
      </w:tr>
      <w:tr>
        <w:tblPrEx>
          <w:shd w:val="clear" w:color="auto" w:fill="auto"/>
          <w:tblCellMar>
            <w:top w:w="0" w:type="dxa"/>
            <w:left w:w="0" w:type="dxa"/>
            <w:bottom w:w="0" w:type="dxa"/>
            <w:right w:w="0" w:type="dxa"/>
          </w:tblCellMar>
        </w:tblPrEx>
        <w:trPr>
          <w:trHeight w:val="315" w:hRule="atLeast"/>
        </w:trPr>
        <w:tc>
          <w:tcPr>
            <w:tcW w:w="99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Shannon</w:t>
            </w:r>
          </w:p>
        </w:tc>
        <w:tc>
          <w:tcPr>
            <w:tcW w:w="18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6.17±0.09b</w:t>
            </w:r>
          </w:p>
        </w:tc>
        <w:tc>
          <w:tcPr>
            <w:tcW w:w="170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6.47±0.1ab</w:t>
            </w:r>
          </w:p>
        </w:tc>
        <w:tc>
          <w:tcPr>
            <w:tcW w:w="19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6.58±0.04a</w:t>
            </w:r>
          </w:p>
        </w:tc>
        <w:tc>
          <w:tcPr>
            <w:tcW w:w="170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6.73±0.01a</w:t>
            </w:r>
          </w:p>
        </w:tc>
        <w:tc>
          <w:tcPr>
            <w:tcW w:w="162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3.15±0.06a</w:t>
            </w:r>
          </w:p>
        </w:tc>
        <w:tc>
          <w:tcPr>
            <w:tcW w:w="17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3.19±0.04a</w:t>
            </w:r>
          </w:p>
        </w:tc>
        <w:tc>
          <w:tcPr>
            <w:tcW w:w="17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3.20±0.14a</w:t>
            </w:r>
          </w:p>
        </w:tc>
        <w:tc>
          <w:tcPr>
            <w:tcW w:w="161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3.34±0.05a</w:t>
            </w:r>
          </w:p>
        </w:tc>
      </w:tr>
      <w:tr>
        <w:tblPrEx>
          <w:tblCellMar>
            <w:top w:w="0" w:type="dxa"/>
            <w:left w:w="0" w:type="dxa"/>
            <w:bottom w:w="0" w:type="dxa"/>
            <w:right w:w="0" w:type="dxa"/>
          </w:tblCellMar>
        </w:tblPrEx>
        <w:trPr>
          <w:trHeight w:val="315" w:hRule="atLeast"/>
        </w:trPr>
        <w:tc>
          <w:tcPr>
            <w:tcW w:w="990"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Ace</w:t>
            </w:r>
          </w:p>
        </w:tc>
        <w:tc>
          <w:tcPr>
            <w:tcW w:w="18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2527.86±122.61b</w:t>
            </w:r>
          </w:p>
        </w:tc>
        <w:tc>
          <w:tcPr>
            <w:tcW w:w="170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3214.07±54.19a</w:t>
            </w:r>
          </w:p>
        </w:tc>
        <w:tc>
          <w:tcPr>
            <w:tcW w:w="196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2942.86±126.57ab</w:t>
            </w:r>
          </w:p>
        </w:tc>
        <w:tc>
          <w:tcPr>
            <w:tcW w:w="170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3275.72±38.83a</w:t>
            </w:r>
          </w:p>
        </w:tc>
        <w:tc>
          <w:tcPr>
            <w:tcW w:w="162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209.02±13.07b</w:t>
            </w:r>
          </w:p>
        </w:tc>
        <w:tc>
          <w:tcPr>
            <w:tcW w:w="17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232.92±13.28ab</w:t>
            </w:r>
          </w:p>
        </w:tc>
        <w:tc>
          <w:tcPr>
            <w:tcW w:w="1746"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262.96±15.48ab</w:t>
            </w:r>
          </w:p>
        </w:tc>
        <w:tc>
          <w:tcPr>
            <w:tcW w:w="161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269.01±9.19a</w:t>
            </w:r>
          </w:p>
        </w:tc>
      </w:tr>
      <w:tr>
        <w:tblPrEx>
          <w:tblCellMar>
            <w:top w:w="0" w:type="dxa"/>
            <w:left w:w="0" w:type="dxa"/>
            <w:bottom w:w="0" w:type="dxa"/>
            <w:right w:w="0" w:type="dxa"/>
          </w:tblCellMar>
        </w:tblPrEx>
        <w:trPr>
          <w:trHeight w:val="330" w:hRule="atLeast"/>
        </w:trPr>
        <w:tc>
          <w:tcPr>
            <w:tcW w:w="990"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Chao</w:t>
            </w:r>
          </w:p>
        </w:tc>
        <w:tc>
          <w:tcPr>
            <w:tcW w:w="1846"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2533.87±104.74b</w:t>
            </w:r>
          </w:p>
        </w:tc>
        <w:tc>
          <w:tcPr>
            <w:tcW w:w="1704"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3215.22±60.74a</w:t>
            </w:r>
          </w:p>
        </w:tc>
        <w:tc>
          <w:tcPr>
            <w:tcW w:w="1961"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3020.17±166.33a</w:t>
            </w:r>
          </w:p>
        </w:tc>
        <w:tc>
          <w:tcPr>
            <w:tcW w:w="1704"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3334.88±34.64a</w:t>
            </w:r>
          </w:p>
        </w:tc>
        <w:tc>
          <w:tcPr>
            <w:tcW w:w="1629"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r>
              <w:rPr>
                <w:rFonts w:hint="eastAsia" w:ascii="Times New Roman" w:hAnsi="Times New Roman" w:eastAsia="宋体" w:cs="Times New Roman"/>
                <w:i w:val="0"/>
                <w:color w:val="000000"/>
                <w:kern w:val="0"/>
                <w:sz w:val="24"/>
                <w:szCs w:val="24"/>
                <w:u w:val="none"/>
                <w:lang w:val="en-US" w:eastAsia="zh-CN" w:bidi="ar"/>
              </w:rPr>
              <w:t>38</w:t>
            </w:r>
            <w:r>
              <w:rPr>
                <w:rFonts w:hint="default" w:ascii="Times New Roman" w:hAnsi="Times New Roman" w:eastAsia="宋体" w:cs="Times New Roman"/>
                <w:i w:val="0"/>
                <w:color w:val="000000"/>
                <w:kern w:val="0"/>
                <w:sz w:val="24"/>
                <w:szCs w:val="24"/>
                <w:u w:val="none"/>
                <w:lang w:val="en-US" w:eastAsia="zh-CN" w:bidi="ar"/>
              </w:rPr>
              <w:t>.</w:t>
            </w:r>
            <w:r>
              <w:rPr>
                <w:rFonts w:hint="eastAsia" w:ascii="Times New Roman" w:hAnsi="Times New Roman" w:eastAsia="宋体" w:cs="Times New Roman"/>
                <w:i w:val="0"/>
                <w:color w:val="000000"/>
                <w:kern w:val="0"/>
                <w:sz w:val="24"/>
                <w:szCs w:val="24"/>
                <w:u w:val="none"/>
                <w:lang w:val="en-US" w:eastAsia="zh-CN" w:bidi="ar"/>
              </w:rPr>
              <w:t>34</w:t>
            </w:r>
            <w:r>
              <w:rPr>
                <w:rFonts w:hint="default" w:ascii="Times New Roman" w:hAnsi="Times New Roman" w:eastAsia="宋体" w:cs="Times New Roman"/>
                <w:i w:val="0"/>
                <w:color w:val="000000"/>
                <w:kern w:val="0"/>
                <w:sz w:val="24"/>
                <w:szCs w:val="24"/>
                <w:u w:val="none"/>
                <w:lang w:val="en-US" w:eastAsia="zh-CN" w:bidi="ar"/>
              </w:rPr>
              <w:t>±</w:t>
            </w:r>
            <w:r>
              <w:rPr>
                <w:rFonts w:hint="eastAsia" w:ascii="Times New Roman" w:hAnsi="Times New Roman" w:eastAsia="宋体" w:cs="Times New Roman"/>
                <w:i w:val="0"/>
                <w:color w:val="000000"/>
                <w:kern w:val="0"/>
                <w:sz w:val="24"/>
                <w:szCs w:val="24"/>
                <w:u w:val="none"/>
                <w:lang w:val="en-US" w:eastAsia="zh-CN" w:bidi="ar"/>
              </w:rPr>
              <w:t>32.42a</w:t>
            </w:r>
          </w:p>
        </w:tc>
        <w:tc>
          <w:tcPr>
            <w:tcW w:w="1746"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Times New Roman" w:hAnsi="Times New Roman" w:eastAsia="宋体" w:cs="Times New Roman"/>
                <w:i w:val="0"/>
                <w:color w:val="000000"/>
                <w:kern w:val="0"/>
                <w:sz w:val="24"/>
                <w:szCs w:val="24"/>
                <w:u w:val="none"/>
                <w:lang w:val="en-US" w:eastAsia="zh-CN" w:bidi="ar"/>
              </w:rPr>
              <w:t>228.80</w:t>
            </w:r>
            <w:r>
              <w:rPr>
                <w:rFonts w:hint="default" w:ascii="Times New Roman" w:hAnsi="Times New Roman" w:eastAsia="宋体" w:cs="Times New Roman"/>
                <w:i w:val="0"/>
                <w:color w:val="000000"/>
                <w:kern w:val="0"/>
                <w:sz w:val="24"/>
                <w:szCs w:val="24"/>
                <w:u w:val="none"/>
                <w:lang w:val="en-US" w:eastAsia="zh-CN" w:bidi="ar"/>
              </w:rPr>
              <w:t>±1</w:t>
            </w:r>
            <w:r>
              <w:rPr>
                <w:rFonts w:hint="eastAsia" w:ascii="Times New Roman" w:hAnsi="Times New Roman" w:eastAsia="宋体" w:cs="Times New Roman"/>
                <w:i w:val="0"/>
                <w:color w:val="000000"/>
                <w:kern w:val="0"/>
                <w:sz w:val="24"/>
                <w:szCs w:val="24"/>
                <w:u w:val="none"/>
                <w:lang w:val="en-US" w:eastAsia="zh-CN" w:bidi="ar"/>
              </w:rPr>
              <w:t>0</w:t>
            </w:r>
            <w:r>
              <w:rPr>
                <w:rFonts w:hint="default" w:ascii="Times New Roman" w:hAnsi="Times New Roman" w:eastAsia="宋体" w:cs="Times New Roman"/>
                <w:i w:val="0"/>
                <w:color w:val="000000"/>
                <w:kern w:val="0"/>
                <w:sz w:val="24"/>
                <w:szCs w:val="24"/>
                <w:u w:val="none"/>
                <w:lang w:val="en-US" w:eastAsia="zh-CN" w:bidi="ar"/>
              </w:rPr>
              <w:t>.</w:t>
            </w:r>
            <w:r>
              <w:rPr>
                <w:rFonts w:hint="eastAsia" w:ascii="Times New Roman" w:hAnsi="Times New Roman" w:eastAsia="宋体" w:cs="Times New Roman"/>
                <w:i w:val="0"/>
                <w:color w:val="000000"/>
                <w:kern w:val="0"/>
                <w:sz w:val="24"/>
                <w:szCs w:val="24"/>
                <w:u w:val="none"/>
                <w:lang w:val="en-US" w:eastAsia="zh-CN" w:bidi="ar"/>
              </w:rPr>
              <w:t>96a</w:t>
            </w:r>
          </w:p>
        </w:tc>
        <w:tc>
          <w:tcPr>
            <w:tcW w:w="1746"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26</w:t>
            </w:r>
            <w:r>
              <w:rPr>
                <w:rFonts w:hint="eastAsia" w:ascii="Times New Roman" w:hAnsi="Times New Roman" w:eastAsia="宋体" w:cs="Times New Roman"/>
                <w:i w:val="0"/>
                <w:color w:val="000000"/>
                <w:kern w:val="0"/>
                <w:sz w:val="24"/>
                <w:szCs w:val="24"/>
                <w:u w:val="none"/>
                <w:lang w:val="en-US" w:eastAsia="zh-CN" w:bidi="ar"/>
              </w:rPr>
              <w:t>3</w:t>
            </w:r>
            <w:r>
              <w:rPr>
                <w:rFonts w:hint="default" w:ascii="Times New Roman" w:hAnsi="Times New Roman" w:eastAsia="宋体" w:cs="Times New Roman"/>
                <w:i w:val="0"/>
                <w:color w:val="000000"/>
                <w:kern w:val="0"/>
                <w:sz w:val="24"/>
                <w:szCs w:val="24"/>
                <w:u w:val="none"/>
                <w:lang w:val="en-US" w:eastAsia="zh-CN" w:bidi="ar"/>
              </w:rPr>
              <w:t>.</w:t>
            </w:r>
            <w:r>
              <w:rPr>
                <w:rFonts w:hint="eastAsia" w:ascii="Times New Roman" w:hAnsi="Times New Roman" w:eastAsia="宋体" w:cs="Times New Roman"/>
                <w:i w:val="0"/>
                <w:color w:val="000000"/>
                <w:kern w:val="0"/>
                <w:sz w:val="24"/>
                <w:szCs w:val="24"/>
                <w:u w:val="none"/>
                <w:lang w:val="en-US" w:eastAsia="zh-CN" w:bidi="ar"/>
              </w:rPr>
              <w:t>55</w:t>
            </w:r>
            <w:r>
              <w:rPr>
                <w:rFonts w:hint="default" w:ascii="Times New Roman" w:hAnsi="Times New Roman" w:eastAsia="宋体" w:cs="Times New Roman"/>
                <w:i w:val="0"/>
                <w:color w:val="000000"/>
                <w:kern w:val="0"/>
                <w:sz w:val="24"/>
                <w:szCs w:val="24"/>
                <w:u w:val="none"/>
                <w:lang w:val="en-US" w:eastAsia="zh-CN" w:bidi="ar"/>
              </w:rPr>
              <w:t>±1</w:t>
            </w:r>
            <w:r>
              <w:rPr>
                <w:rFonts w:hint="eastAsia" w:ascii="Times New Roman" w:hAnsi="Times New Roman" w:eastAsia="宋体" w:cs="Times New Roman"/>
                <w:i w:val="0"/>
                <w:color w:val="000000"/>
                <w:kern w:val="0"/>
                <w:sz w:val="24"/>
                <w:szCs w:val="24"/>
                <w:u w:val="none"/>
                <w:lang w:val="en-US" w:eastAsia="zh-CN" w:bidi="ar"/>
              </w:rPr>
              <w:t>7</w:t>
            </w:r>
            <w:r>
              <w:rPr>
                <w:rFonts w:hint="default" w:ascii="Times New Roman" w:hAnsi="Times New Roman" w:eastAsia="宋体" w:cs="Times New Roman"/>
                <w:i w:val="0"/>
                <w:color w:val="000000"/>
                <w:kern w:val="0"/>
                <w:sz w:val="24"/>
                <w:szCs w:val="24"/>
                <w:u w:val="none"/>
                <w:lang w:val="en-US" w:eastAsia="zh-CN" w:bidi="ar"/>
              </w:rPr>
              <w:t>.</w:t>
            </w:r>
            <w:r>
              <w:rPr>
                <w:rFonts w:hint="eastAsia" w:ascii="Times New Roman" w:hAnsi="Times New Roman" w:eastAsia="宋体" w:cs="Times New Roman"/>
                <w:i w:val="0"/>
                <w:color w:val="000000"/>
                <w:kern w:val="0"/>
                <w:sz w:val="24"/>
                <w:szCs w:val="24"/>
                <w:u w:val="none"/>
                <w:lang w:val="en-US" w:eastAsia="zh-CN" w:bidi="ar"/>
              </w:rPr>
              <w:t>81</w:t>
            </w:r>
            <w:r>
              <w:rPr>
                <w:rFonts w:hint="default" w:ascii="Times New Roman" w:hAnsi="Times New Roman" w:eastAsia="宋体" w:cs="Times New Roman"/>
                <w:i w:val="0"/>
                <w:color w:val="000000"/>
                <w:kern w:val="0"/>
                <w:sz w:val="24"/>
                <w:szCs w:val="24"/>
                <w:u w:val="none"/>
                <w:lang w:val="en-US" w:eastAsia="zh-CN" w:bidi="ar"/>
              </w:rPr>
              <w:t>a</w:t>
            </w:r>
          </w:p>
        </w:tc>
        <w:tc>
          <w:tcPr>
            <w:tcW w:w="1614" w:type="dxa"/>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r>
              <w:rPr>
                <w:rFonts w:hint="eastAsia" w:ascii="Times New Roman" w:hAnsi="Times New Roman" w:eastAsia="宋体" w:cs="Times New Roman"/>
                <w:i w:val="0"/>
                <w:color w:val="000000"/>
                <w:kern w:val="0"/>
                <w:sz w:val="24"/>
                <w:szCs w:val="24"/>
                <w:u w:val="none"/>
                <w:lang w:val="en-US" w:eastAsia="zh-CN" w:bidi="ar"/>
              </w:rPr>
              <w:t>74</w:t>
            </w:r>
            <w:r>
              <w:rPr>
                <w:rFonts w:hint="default" w:ascii="Times New Roman" w:hAnsi="Times New Roman" w:eastAsia="宋体" w:cs="Times New Roman"/>
                <w:i w:val="0"/>
                <w:color w:val="000000"/>
                <w:kern w:val="0"/>
                <w:sz w:val="24"/>
                <w:szCs w:val="24"/>
                <w:u w:val="none"/>
                <w:lang w:val="en-US" w:eastAsia="zh-CN" w:bidi="ar"/>
              </w:rPr>
              <w:t>.</w:t>
            </w:r>
            <w:r>
              <w:rPr>
                <w:rFonts w:hint="eastAsia" w:ascii="Times New Roman" w:hAnsi="Times New Roman" w:eastAsia="宋体" w:cs="Times New Roman"/>
                <w:i w:val="0"/>
                <w:color w:val="000000"/>
                <w:kern w:val="0"/>
                <w:sz w:val="24"/>
                <w:szCs w:val="24"/>
                <w:u w:val="none"/>
                <w:lang w:val="en-US" w:eastAsia="zh-CN" w:bidi="ar"/>
              </w:rPr>
              <w:t>99</w:t>
            </w:r>
            <w:r>
              <w:rPr>
                <w:rFonts w:hint="default" w:ascii="Times New Roman" w:hAnsi="Times New Roman" w:eastAsia="宋体" w:cs="Times New Roman"/>
                <w:i w:val="0"/>
                <w:color w:val="000000"/>
                <w:kern w:val="0"/>
                <w:sz w:val="24"/>
                <w:szCs w:val="24"/>
                <w:u w:val="none"/>
                <w:lang w:val="en-US" w:eastAsia="zh-CN" w:bidi="ar"/>
              </w:rPr>
              <w:t>±</w:t>
            </w:r>
            <w:r>
              <w:rPr>
                <w:rFonts w:hint="eastAsia" w:ascii="Times New Roman" w:hAnsi="Times New Roman" w:eastAsia="宋体" w:cs="Times New Roman"/>
                <w:i w:val="0"/>
                <w:color w:val="000000"/>
                <w:kern w:val="0"/>
                <w:sz w:val="24"/>
                <w:szCs w:val="24"/>
                <w:u w:val="none"/>
                <w:lang w:val="en-US" w:eastAsia="zh-CN" w:bidi="ar"/>
              </w:rPr>
              <w:t>15.09</w:t>
            </w:r>
            <w:r>
              <w:rPr>
                <w:rFonts w:hint="default" w:ascii="Times New Roman" w:hAnsi="Times New Roman" w:eastAsia="宋体" w:cs="Times New Roman"/>
                <w:i w:val="0"/>
                <w:color w:val="000000"/>
                <w:kern w:val="0"/>
                <w:sz w:val="24"/>
                <w:szCs w:val="24"/>
                <w:u w:val="none"/>
                <w:lang w:val="en-US" w:eastAsia="zh-CN" w:bidi="ar"/>
              </w:rPr>
              <w:t>a</w:t>
            </w:r>
          </w:p>
        </w:tc>
      </w:tr>
    </w:tbl>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drawing>
          <wp:inline distT="0" distB="0" distL="114300" distR="114300">
            <wp:extent cx="5677535" cy="7302500"/>
            <wp:effectExtent l="0" t="0" r="18415" b="12700"/>
            <wp:docPr id="5" name="图片 5" descr="xj_zj_稀释性曲线chart_1605430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xj_zj_稀释性曲线chart_1605430265"/>
                    <pic:cNvPicPr>
                      <a:picLocks noChangeAspect="1"/>
                    </pic:cNvPicPr>
                  </pic:nvPicPr>
                  <pic:blipFill>
                    <a:blip r:embed="rId4"/>
                    <a:stretch>
                      <a:fillRect/>
                    </a:stretch>
                  </pic:blipFill>
                  <pic:spPr>
                    <a:xfrm>
                      <a:off x="0" y="0"/>
                      <a:ext cx="5677535" cy="7302500"/>
                    </a:xfrm>
                    <a:prstGeom prst="rect">
                      <a:avLst/>
                    </a:prstGeom>
                  </pic:spPr>
                </pic:pic>
              </a:graphicData>
            </a:graphic>
          </wp:inline>
        </w:drawing>
      </w:r>
    </w:p>
    <w:p>
      <w:pPr>
        <w:jc w:val="both"/>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 xml:space="preserve">Fig.S1. The rarefection curve of bacterial </w:t>
      </w:r>
      <w:r>
        <w:rPr>
          <w:rFonts w:hint="default" w:ascii="Times New Roman" w:hAnsi="Times New Roman" w:eastAsia="宋体" w:cs="Times New Roman"/>
          <w:b w:val="0"/>
          <w:bCs w:val="0"/>
          <w:sz w:val="24"/>
          <w:szCs w:val="24"/>
          <w:lang w:val="en-US" w:eastAsia="zh-CN"/>
        </w:rPr>
        <w:t>α</w:t>
      </w:r>
      <w:r>
        <w:rPr>
          <w:rFonts w:hint="eastAsia" w:ascii="Times New Roman" w:hAnsi="Times New Roman" w:eastAsia="宋体" w:cs="Times New Roman"/>
          <w:b w:val="0"/>
          <w:bCs w:val="0"/>
          <w:sz w:val="24"/>
          <w:szCs w:val="24"/>
          <w:lang w:val="en-US" w:eastAsia="zh-CN"/>
        </w:rPr>
        <w:t>-diversity index (A-C), and the rarefection curve of the fungal related index (D-F). Different colors in the picture represent different fertilization treatments. CK: without fertilizer (0 kg/ha), CF: compound fertilizer (100 kg/ ha), BF1:bio-fertilizer (bio-fertilizer 100kg/ha + urea 3.8kg/ ha), BF2: bio-fertilizer (150kg/ ha bio-fertilizer + urea 3.8kg/ ha).</w:t>
      </w: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Table S2 Summary of the percentages of the top 10 microbial phyla in samples treated with different fertilizers</w:t>
      </w:r>
    </w:p>
    <w:tbl>
      <w:tblPr>
        <w:tblStyle w:val="2"/>
        <w:tblW w:w="12660" w:type="dxa"/>
        <w:tblInd w:w="0" w:type="dxa"/>
        <w:shd w:val="clear" w:color="auto" w:fill="auto"/>
        <w:tblLayout w:type="autofit"/>
        <w:tblCellMar>
          <w:top w:w="0" w:type="dxa"/>
          <w:left w:w="0" w:type="dxa"/>
          <w:bottom w:w="0" w:type="dxa"/>
          <w:right w:w="0" w:type="dxa"/>
        </w:tblCellMar>
      </w:tblPr>
      <w:tblGrid>
        <w:gridCol w:w="2325"/>
        <w:gridCol w:w="840"/>
        <w:gridCol w:w="750"/>
        <w:gridCol w:w="840"/>
        <w:gridCol w:w="810"/>
        <w:gridCol w:w="840"/>
        <w:gridCol w:w="870"/>
        <w:gridCol w:w="885"/>
        <w:gridCol w:w="900"/>
        <w:gridCol w:w="915"/>
        <w:gridCol w:w="930"/>
        <w:gridCol w:w="915"/>
        <w:gridCol w:w="840"/>
      </w:tblGrid>
      <w:tr>
        <w:tblPrEx>
          <w:shd w:val="clear" w:color="auto" w:fill="auto"/>
          <w:tblCellMar>
            <w:top w:w="0" w:type="dxa"/>
            <w:left w:w="0" w:type="dxa"/>
            <w:bottom w:w="0" w:type="dxa"/>
            <w:right w:w="0" w:type="dxa"/>
          </w:tblCellMar>
        </w:tblPrEx>
        <w:trPr>
          <w:trHeight w:val="600" w:hRule="atLeast"/>
        </w:trPr>
        <w:tc>
          <w:tcPr>
            <w:tcW w:w="2325"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Bacteria/</w:t>
            </w:r>
            <w:r>
              <w:rPr>
                <w:rStyle w:val="4"/>
                <w:rFonts w:eastAsia="宋体"/>
                <w:lang w:val="en-US" w:eastAsia="zh-CN" w:bidi="ar"/>
              </w:rPr>
              <w:t>Fungi phyla</w:t>
            </w:r>
          </w:p>
        </w:tc>
        <w:tc>
          <w:tcPr>
            <w:tcW w:w="84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CK-1</w:t>
            </w:r>
          </w:p>
        </w:tc>
        <w:tc>
          <w:tcPr>
            <w:tcW w:w="75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CK-2</w:t>
            </w:r>
          </w:p>
        </w:tc>
        <w:tc>
          <w:tcPr>
            <w:tcW w:w="84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CK-3</w:t>
            </w:r>
          </w:p>
        </w:tc>
        <w:tc>
          <w:tcPr>
            <w:tcW w:w="81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CF-1</w:t>
            </w:r>
          </w:p>
        </w:tc>
        <w:tc>
          <w:tcPr>
            <w:tcW w:w="84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CF-2</w:t>
            </w:r>
          </w:p>
        </w:tc>
        <w:tc>
          <w:tcPr>
            <w:tcW w:w="87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CF-3</w:t>
            </w:r>
          </w:p>
        </w:tc>
        <w:tc>
          <w:tcPr>
            <w:tcW w:w="885"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BF1-1</w:t>
            </w:r>
          </w:p>
        </w:tc>
        <w:tc>
          <w:tcPr>
            <w:tcW w:w="90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BF1-2</w:t>
            </w:r>
          </w:p>
        </w:tc>
        <w:tc>
          <w:tcPr>
            <w:tcW w:w="915"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BF1-3</w:t>
            </w:r>
          </w:p>
        </w:tc>
        <w:tc>
          <w:tcPr>
            <w:tcW w:w="93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BF2-1</w:t>
            </w:r>
          </w:p>
        </w:tc>
        <w:tc>
          <w:tcPr>
            <w:tcW w:w="915"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BF2-2</w:t>
            </w:r>
          </w:p>
        </w:tc>
        <w:tc>
          <w:tcPr>
            <w:tcW w:w="84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BF2-3</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Proteobacteria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0.2526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0.3391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0.3604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0.2946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0.3389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0.2565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0.3293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0.2914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0.3455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0.3816</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Actinobacteria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0.2323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0.2823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0.1548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0.3108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0.3291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0.2195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0.1923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0.1278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0.1656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0.1821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0.157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0.1482</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Chloroflexi</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0.1991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0.1827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0.1818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0.0976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0.1318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0.1638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0.1922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0.2079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0.2139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0.2171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0.1796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0.161</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Acidobacteria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0.1372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0.0687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0.181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0.0976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0.0869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0.1298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0.1733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0.1948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0.1953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0.2037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0.1735</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Firmicutes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0.0579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0.0616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0.0575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0.0546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0.0668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0.0211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0.0188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0.0254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0.0298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0.0327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0.026</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Cyanobacteria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0.0437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0.0195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0.0075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0.0542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0.0109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0.1014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0.0209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0.0188</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Gemmatimonadetes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0.0167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0.0376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0.0277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0.0222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0.0281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0.0334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0.0332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0.0407</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Planctomycetes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0.0576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0.0475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0.0143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0.0065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0.0063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0.0116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0.0057</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Bacteroidetes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0.0126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0.0198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0.0196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0.0269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0.0276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0.0159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0.0145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0.0208</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Nitrospirae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0.0034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0.0038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0.0141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0.0093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0.0466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0.0161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0.0238</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Ascomycota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0.8749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0.9173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0.8094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0.8206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0.7472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0.8496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0.8074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0.7939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0.7321</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Basidiomycota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0.0768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0.0432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0.0743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0.1642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0.1519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0.1607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0.2004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0.0856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0.1063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0.0951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0.1565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0.1254</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Zygomycota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0.0224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0.085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0.0157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0.0135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0.0134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0.0237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0.0322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0.0616</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Ciliophora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0.0066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0.0082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0.0206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0.0252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0.0149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0.0137</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Ochrophyta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0.0039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0.0034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0.0034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0.0073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0.0539</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Chytridiomycota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0.0044</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Choanomonada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0.0067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0.0038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0.0029</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Glomeromycota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0.0038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0.0021</w:t>
            </w:r>
          </w:p>
        </w:tc>
      </w:tr>
      <w:tr>
        <w:tblPrEx>
          <w:shd w:val="clear" w:color="auto" w:fill="auto"/>
          <w:tblCellMar>
            <w:top w:w="0" w:type="dxa"/>
            <w:left w:w="0" w:type="dxa"/>
            <w:bottom w:w="0" w:type="dxa"/>
            <w:right w:w="0" w:type="dxa"/>
          </w:tblCellMar>
        </w:tblPrEx>
        <w:trPr>
          <w:trHeight w:val="30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Schizoplasmodiida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0.0021</w:t>
            </w:r>
          </w:p>
        </w:tc>
      </w:tr>
      <w:tr>
        <w:tblPrEx>
          <w:shd w:val="clear" w:color="auto" w:fill="auto"/>
          <w:tblCellMar>
            <w:top w:w="0" w:type="dxa"/>
            <w:left w:w="0" w:type="dxa"/>
            <w:bottom w:w="0" w:type="dxa"/>
            <w:right w:w="0" w:type="dxa"/>
          </w:tblCellMar>
        </w:tblPrEx>
        <w:trPr>
          <w:trHeight w:val="315" w:hRule="atLeast"/>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Blastocladiomycota</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0.0005</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0.0006</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0.0004</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0.0007</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0.0003</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0.0019</w:t>
            </w:r>
          </w:p>
        </w:tc>
      </w:tr>
    </w:tbl>
    <w:p>
      <w:pPr>
        <w:rPr>
          <w:rFonts w:hint="eastAsia" w:ascii="Times New Roman" w:hAnsi="Times New Roman" w:eastAsia="宋体" w:cs="Times New Roman"/>
          <w:b w:val="0"/>
          <w:bCs w:val="0"/>
          <w:sz w:val="28"/>
          <w:szCs w:val="28"/>
          <w:lang w:val="en-US" w:eastAsia="zh-CN"/>
        </w:rPr>
      </w:pPr>
    </w:p>
    <w:p>
      <w:pPr>
        <w:rPr>
          <w:rFonts w:hint="eastAsia" w:ascii="Times New Roman" w:hAnsi="Times New Roman" w:eastAsia="宋体" w:cs="Times New Roman"/>
          <w:b w:val="0"/>
          <w:bCs w:val="0"/>
          <w:sz w:val="28"/>
          <w:szCs w:val="28"/>
          <w:lang w:val="en-US" w:eastAsia="zh-CN"/>
        </w:rPr>
      </w:pPr>
    </w:p>
    <w:p>
      <w:pPr>
        <w:rPr>
          <w:rFonts w:hint="eastAsia" w:ascii="Times New Roman" w:hAnsi="Times New Roman" w:eastAsia="宋体" w:cs="Times New Roman"/>
          <w:b w:val="0"/>
          <w:bCs w:val="0"/>
          <w:sz w:val="28"/>
          <w:szCs w:val="28"/>
          <w:lang w:val="en-US" w:eastAsia="zh-CN"/>
        </w:rPr>
      </w:pPr>
    </w:p>
    <w:p>
      <w:pPr>
        <w:rPr>
          <w:rFonts w:hint="eastAsia" w:ascii="Times New Roman" w:hAnsi="Times New Roman" w:eastAsia="宋体" w:cs="Times New Roman"/>
          <w:b w:val="0"/>
          <w:bCs w:val="0"/>
          <w:sz w:val="28"/>
          <w:szCs w:val="28"/>
          <w:lang w:val="en-US" w:eastAsia="zh-CN"/>
        </w:rPr>
      </w:pPr>
    </w:p>
    <w:p>
      <w:pPr>
        <w:jc w:val="cente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Table S3 Summary of specific values in RDA analysis</w:t>
      </w:r>
    </w:p>
    <w:tbl>
      <w:tblPr>
        <w:tblStyle w:val="2"/>
        <w:tblW w:w="7455" w:type="dxa"/>
        <w:jc w:val="center"/>
        <w:shd w:val="clear" w:color="auto" w:fill="auto"/>
        <w:tblLayout w:type="autofit"/>
        <w:tblCellMar>
          <w:top w:w="0" w:type="dxa"/>
          <w:left w:w="0" w:type="dxa"/>
          <w:bottom w:w="0" w:type="dxa"/>
          <w:right w:w="0" w:type="dxa"/>
        </w:tblCellMar>
      </w:tblPr>
      <w:tblGrid>
        <w:gridCol w:w="780"/>
        <w:gridCol w:w="778"/>
        <w:gridCol w:w="869"/>
        <w:gridCol w:w="778"/>
        <w:gridCol w:w="845"/>
        <w:gridCol w:w="810"/>
        <w:gridCol w:w="905"/>
        <w:gridCol w:w="810"/>
        <w:gridCol w:w="880"/>
      </w:tblGrid>
      <w:tr>
        <w:tblPrEx>
          <w:tblCellMar>
            <w:top w:w="0" w:type="dxa"/>
            <w:left w:w="0" w:type="dxa"/>
            <w:bottom w:w="0" w:type="dxa"/>
            <w:right w:w="0" w:type="dxa"/>
          </w:tblCellMar>
        </w:tblPrEx>
        <w:trPr>
          <w:trHeight w:val="315" w:hRule="atLeast"/>
          <w:jc w:val="center"/>
        </w:trPr>
        <w:tc>
          <w:tcPr>
            <w:tcW w:w="780" w:type="dxa"/>
            <w:tcBorders>
              <w:top w:val="single" w:color="000000" w:sz="8" w:space="0"/>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3270"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Bacteria</w:t>
            </w:r>
          </w:p>
        </w:tc>
        <w:tc>
          <w:tcPr>
            <w:tcW w:w="3405"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Fungi</w:t>
            </w:r>
          </w:p>
        </w:tc>
      </w:tr>
      <w:tr>
        <w:tblPrEx>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RDA1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RDA2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w:t>
            </w:r>
            <w:r>
              <w:rPr>
                <w:rFonts w:hint="default" w:ascii="Times New Roman" w:hAnsi="Times New Roman" w:eastAsia="宋体" w:cs="Times New Roman"/>
                <w:i w:val="0"/>
                <w:color w:val="000000"/>
                <w:kern w:val="0"/>
                <w:sz w:val="22"/>
                <w:szCs w:val="22"/>
                <w:u w:val="none"/>
                <w:vertAlign w:val="superscript"/>
                <w:lang w:val="en-US" w:eastAsia="zh-CN" w:bidi="ar"/>
              </w:rPr>
              <w:t>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p-value</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RDA1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RDA2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w:t>
            </w:r>
            <w:r>
              <w:rPr>
                <w:rFonts w:hint="default" w:ascii="Times New Roman" w:hAnsi="Times New Roman" w:eastAsia="宋体" w:cs="Times New Roman"/>
                <w:i w:val="0"/>
                <w:color w:val="000000"/>
                <w:kern w:val="0"/>
                <w:sz w:val="22"/>
                <w:szCs w:val="22"/>
                <w:u w:val="none"/>
                <w:vertAlign w:val="superscript"/>
                <w:lang w:val="en-US" w:eastAsia="zh-CN" w:bidi="ar"/>
              </w:rPr>
              <w:t>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p-value</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pH</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0.8145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kern w:val="0"/>
                <w:sz w:val="22"/>
                <w:szCs w:val="22"/>
                <w:u w:val="none"/>
                <w:lang w:val="en-US" w:eastAsia="zh-CN" w:bidi="ar"/>
              </w:rPr>
              <w:t>0.807</w:t>
            </w:r>
            <w:r>
              <w:rPr>
                <w:rFonts w:hint="eastAsia"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0.9843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-0.1764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0.0045</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SOC</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0.9897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-0.1433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0.4474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kern w:val="0"/>
                <w:sz w:val="22"/>
                <w:szCs w:val="22"/>
                <w:u w:val="none"/>
                <w:lang w:val="en-US" w:eastAsia="zh-CN" w:bidi="ar"/>
              </w:rPr>
              <w:t>0.083</w:t>
            </w:r>
            <w:r>
              <w:rPr>
                <w:rFonts w:hint="eastAsia"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0.3702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0.6974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0.0025</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TN</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0.9989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0.5918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0.0235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0.9556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0.2945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0.7558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kern w:val="0"/>
                <w:sz w:val="22"/>
                <w:szCs w:val="22"/>
                <w:u w:val="none"/>
                <w:lang w:val="en-US" w:eastAsia="zh-CN" w:bidi="ar"/>
              </w:rPr>
              <w:t>0.002</w:t>
            </w:r>
            <w:r>
              <w:rPr>
                <w:rFonts w:hint="eastAsia" w:ascii="Times New Roman" w:hAnsi="Times New Roman" w:eastAsia="宋体" w:cs="Times New Roman"/>
                <w:i w:val="0"/>
                <w:color w:val="000000"/>
                <w:kern w:val="0"/>
                <w:sz w:val="22"/>
                <w:szCs w:val="22"/>
                <w:u w:val="none"/>
                <w:lang w:val="en-US" w:eastAsia="zh-CN" w:bidi="ar"/>
              </w:rPr>
              <w:t>0</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TP</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0.8006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-0.5993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kern w:val="0"/>
                <w:sz w:val="22"/>
                <w:szCs w:val="22"/>
                <w:u w:val="none"/>
                <w:lang w:val="en-US" w:eastAsia="zh-CN" w:bidi="ar"/>
              </w:rPr>
              <w:t>0.592</w:t>
            </w:r>
            <w:r>
              <w:rPr>
                <w:rFonts w:hint="eastAsia"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0.9968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-0.0794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0.3494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0.1359</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AN</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kern w:val="0"/>
                <w:sz w:val="22"/>
                <w:szCs w:val="22"/>
                <w:u w:val="none"/>
                <w:lang w:val="en-US" w:eastAsia="zh-CN" w:bidi="ar"/>
              </w:rPr>
              <w:t>0.927</w:t>
            </w:r>
            <w:r>
              <w:rPr>
                <w:rFonts w:hint="eastAsia"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kern w:val="0"/>
                <w:sz w:val="22"/>
                <w:szCs w:val="22"/>
                <w:u w:val="none"/>
                <w:lang w:val="en-US" w:eastAsia="zh-CN" w:bidi="ar"/>
              </w:rPr>
              <w:t>-0.375</w:t>
            </w:r>
            <w:r>
              <w:rPr>
                <w:rFonts w:hint="eastAsia"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kern w:val="0"/>
                <w:sz w:val="22"/>
                <w:szCs w:val="22"/>
                <w:u w:val="none"/>
                <w:lang w:val="en-US" w:eastAsia="zh-CN" w:bidi="ar"/>
              </w:rPr>
              <w:t>0.578</w:t>
            </w:r>
            <w:r>
              <w:rPr>
                <w:rFonts w:hint="eastAsia"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0.9966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0.0826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0.2437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0.2939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AK</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0.9505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-0.3108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0.7988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0.8393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-0.5437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0.6303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0.0085</w:t>
            </w:r>
          </w:p>
        </w:tc>
      </w:tr>
      <w:tr>
        <w:tblPrEx>
          <w:shd w:val="clear" w:color="auto" w:fill="auto"/>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AP</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0.8339</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-0.5518</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0.0368</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0.8546</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0.8617</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0.5074</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kern w:val="0"/>
                <w:sz w:val="22"/>
                <w:szCs w:val="22"/>
                <w:u w:val="none"/>
                <w:lang w:val="en-US" w:eastAsia="zh-CN" w:bidi="ar"/>
              </w:rPr>
              <w:t>0.028</w:t>
            </w:r>
            <w:r>
              <w:rPr>
                <w:rFonts w:hint="eastAsia" w:ascii="Times New Roman" w:hAnsi="Times New Roman" w:eastAsia="宋体" w:cs="Times New Roman"/>
                <w:i w:val="0"/>
                <w:color w:val="000000"/>
                <w:kern w:val="0"/>
                <w:sz w:val="22"/>
                <w:szCs w:val="22"/>
                <w:u w:val="none"/>
                <w:lang w:val="en-US" w:eastAsia="zh-CN" w:bidi="ar"/>
              </w:rPr>
              <w:t>0</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0.8681</w:t>
            </w:r>
          </w:p>
        </w:tc>
      </w:tr>
    </w:tbl>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jc w:val="center"/>
        <w:rPr>
          <w:rFonts w:hint="default" w:ascii="Times New Roman" w:hAnsi="Times New Roman" w:eastAsia="宋体" w:cs="Times New Roman"/>
          <w:b w:val="0"/>
          <w:bCs w:val="0"/>
          <w:sz w:val="24"/>
          <w:szCs w:val="24"/>
          <w:lang w:val="en-US" w:eastAsia="zh-CN"/>
        </w:rPr>
      </w:pPr>
      <w:r>
        <w:rPr>
          <w:rFonts w:hint="eastAsia" w:ascii="Times New Roman" w:eastAsia="宋体"/>
          <w:b/>
          <w:bCs/>
          <w:sz w:val="44"/>
          <w:szCs w:val="44"/>
          <w:lang w:eastAsia="zh-CN"/>
        </w:rPr>
        <w:drawing>
          <wp:inline distT="0" distB="0" distL="114300" distR="114300">
            <wp:extent cx="4805045" cy="2235200"/>
            <wp:effectExtent l="0" t="0" r="14605" b="12700"/>
            <wp:docPr id="4" name="图片 4" descr="菌肥VPN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菌肥VPN分析"/>
                    <pic:cNvPicPr>
                      <a:picLocks noChangeAspect="1"/>
                    </pic:cNvPicPr>
                  </pic:nvPicPr>
                  <pic:blipFill>
                    <a:blip r:embed="rId5"/>
                    <a:stretch>
                      <a:fillRect/>
                    </a:stretch>
                  </pic:blipFill>
                  <pic:spPr>
                    <a:xfrm>
                      <a:off x="0" y="0"/>
                      <a:ext cx="4805045" cy="2235200"/>
                    </a:xfrm>
                    <a:prstGeom prst="rect">
                      <a:avLst/>
                    </a:prstGeom>
                  </pic:spPr>
                </pic:pic>
              </a:graphicData>
            </a:graphic>
          </wp:inline>
        </w:drawing>
      </w:r>
    </w:p>
    <w:p>
      <w:pP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 xml:space="preserve">Fig. S2. </w:t>
      </w:r>
      <w:r>
        <w:rPr>
          <w:rFonts w:hint="eastAsia" w:ascii="Times New Roman" w:hAnsi="Times New Roman" w:eastAsia="宋体" w:cs="Times New Roman"/>
          <w:b w:val="0"/>
          <w:bCs w:val="0"/>
          <w:sz w:val="24"/>
          <w:szCs w:val="24"/>
          <w:highlight w:val="none"/>
          <w:lang w:val="en-US" w:eastAsia="zh-CN"/>
        </w:rPr>
        <w:t>The map quantitatively analyzed the degree of explanation of the effects of different soil environmental factors on the species changes of microbial communities in the rhizosphere of sugarcane, with fungi on the left and bacteria on the right.</w:t>
      </w: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rPr>
          <w:rFonts w:hint="default" w:ascii="Times New Roman" w:hAnsi="Times New Roman" w:eastAsia="宋体" w:cs="Times New Roman"/>
          <w:b w:val="0"/>
          <w:bCs w:val="0"/>
          <w:sz w:val="24"/>
          <w:szCs w:val="24"/>
          <w:lang w:val="en-US" w:eastAsia="zh-CN"/>
        </w:rPr>
      </w:pPr>
    </w:p>
    <w:p>
      <w:pPr>
        <w:jc w:val="cente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Table S4 Microbial genera that changed significantly in different comparison groups</w:t>
      </w:r>
    </w:p>
    <w:tbl>
      <w:tblPr>
        <w:tblStyle w:val="2"/>
        <w:tblW w:w="7680" w:type="dxa"/>
        <w:jc w:val="center"/>
        <w:shd w:val="clear" w:color="auto" w:fill="auto"/>
        <w:tblLayout w:type="autofit"/>
        <w:tblCellMar>
          <w:top w:w="0" w:type="dxa"/>
          <w:left w:w="0" w:type="dxa"/>
          <w:bottom w:w="0" w:type="dxa"/>
          <w:right w:w="0" w:type="dxa"/>
        </w:tblCellMar>
      </w:tblPr>
      <w:tblGrid>
        <w:gridCol w:w="1050"/>
        <w:gridCol w:w="1255"/>
        <w:gridCol w:w="1557"/>
        <w:gridCol w:w="488"/>
        <w:gridCol w:w="1267"/>
        <w:gridCol w:w="1572"/>
        <w:gridCol w:w="491"/>
      </w:tblGrid>
      <w:tr>
        <w:tblPrEx>
          <w:shd w:val="clear" w:color="auto" w:fill="auto"/>
          <w:tblCellMar>
            <w:top w:w="0" w:type="dxa"/>
            <w:left w:w="0" w:type="dxa"/>
            <w:bottom w:w="0" w:type="dxa"/>
            <w:right w:w="0" w:type="dxa"/>
          </w:tblCellMar>
        </w:tblPrEx>
        <w:trPr>
          <w:trHeight w:val="315" w:hRule="atLeast"/>
          <w:jc w:val="center"/>
        </w:trPr>
        <w:tc>
          <w:tcPr>
            <w:tcW w:w="1050" w:type="dxa"/>
            <w:tcBorders>
              <w:top w:val="single" w:color="000000" w:sz="8" w:space="0"/>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3300" w:type="dxa"/>
            <w:gridSpan w:val="3"/>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Bacteria</w:t>
            </w:r>
          </w:p>
        </w:tc>
        <w:tc>
          <w:tcPr>
            <w:tcW w:w="3330" w:type="dxa"/>
            <w:gridSpan w:val="3"/>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Fungi</w:t>
            </w:r>
          </w:p>
        </w:tc>
      </w:tr>
      <w:tr>
        <w:tblPrEx>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Upregulated</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Downregulated</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Sum</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Upregulated</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Downregulated</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Sum</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CK vs CF</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CK vs BF2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122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220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29</w:t>
            </w:r>
          </w:p>
        </w:tc>
      </w:tr>
      <w:tr>
        <w:tblPrEx>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CF vs BF2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19</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29</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17</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28</w:t>
            </w:r>
          </w:p>
        </w:tc>
      </w:tr>
    </w:tbl>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drawing>
          <wp:inline distT="0" distB="0" distL="114300" distR="114300">
            <wp:extent cx="6287135" cy="7844155"/>
            <wp:effectExtent l="0" t="0" r="18415" b="4445"/>
            <wp:docPr id="3" name="图片 3" descr="D:\生物菌肥\生物菌肥再分析数据\生物菌肥论文图片\svm_roc_all_models.tifsvm_roc_all_mod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生物菌肥\生物菌肥再分析数据\生物菌肥论文图片\svm_roc_all_models.tifsvm_roc_all_models"/>
                    <pic:cNvPicPr>
                      <a:picLocks noChangeAspect="1"/>
                    </pic:cNvPicPr>
                  </pic:nvPicPr>
                  <pic:blipFill>
                    <a:blip r:embed="rId6"/>
                    <a:srcRect/>
                    <a:stretch>
                      <a:fillRect/>
                    </a:stretch>
                  </pic:blipFill>
                  <pic:spPr>
                    <a:xfrm>
                      <a:off x="0" y="0"/>
                      <a:ext cx="6287135" cy="7844155"/>
                    </a:xfrm>
                    <a:prstGeom prst="rect">
                      <a:avLst/>
                    </a:prstGeom>
                  </pic:spPr>
                </pic:pic>
              </a:graphicData>
            </a:graphic>
          </wp:inline>
        </w:drawing>
      </w:r>
    </w:p>
    <w:p>
      <w:pP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Fig. S3. The ROC curves of Support Vector Machine (SVM) for different comparison groups are false positive rate (FPR) in the horizontal coordinate and true positive rate (TPR) in the vertical coordinate. AUC represents the area under the curve. The larger the AUC value, the closer the ROC curve is to the upper left corner, and the better the classification result. Different models have different decision values (different ROC curves) for the same set of data.</w:t>
      </w:r>
    </w:p>
    <w:p>
      <w:pP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p>
    <w:p>
      <w:pPr>
        <w:jc w:val="cente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Table S5 Summary of the interactions of microbial genera in the network diagram</w:t>
      </w:r>
    </w:p>
    <w:tbl>
      <w:tblPr>
        <w:tblStyle w:val="2"/>
        <w:tblW w:w="9960" w:type="dxa"/>
        <w:jc w:val="center"/>
        <w:shd w:val="clear" w:color="auto" w:fill="auto"/>
        <w:tblLayout w:type="autofit"/>
        <w:tblCellMar>
          <w:top w:w="0" w:type="dxa"/>
          <w:left w:w="0" w:type="dxa"/>
          <w:bottom w:w="0" w:type="dxa"/>
          <w:right w:w="0" w:type="dxa"/>
        </w:tblCellMar>
      </w:tblPr>
      <w:tblGrid>
        <w:gridCol w:w="945"/>
        <w:gridCol w:w="915"/>
        <w:gridCol w:w="1022"/>
        <w:gridCol w:w="538"/>
        <w:gridCol w:w="2085"/>
        <w:gridCol w:w="898"/>
        <w:gridCol w:w="1003"/>
        <w:gridCol w:w="527"/>
        <w:gridCol w:w="2027"/>
      </w:tblGrid>
      <w:tr>
        <w:tblPrEx>
          <w:shd w:val="clear" w:color="auto" w:fill="auto"/>
          <w:tblCellMar>
            <w:top w:w="0" w:type="dxa"/>
            <w:left w:w="0" w:type="dxa"/>
            <w:bottom w:w="0" w:type="dxa"/>
            <w:right w:w="0" w:type="dxa"/>
          </w:tblCellMar>
        </w:tblPrEx>
        <w:trPr>
          <w:trHeight w:val="315" w:hRule="atLeast"/>
          <w:jc w:val="center"/>
        </w:trPr>
        <w:tc>
          <w:tcPr>
            <w:tcW w:w="945" w:type="dxa"/>
            <w:tcBorders>
              <w:top w:val="single" w:color="000000" w:sz="8" w:space="0"/>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4560"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Bacteria</w:t>
            </w:r>
          </w:p>
        </w:tc>
        <w:tc>
          <w:tcPr>
            <w:tcW w:w="4455"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Fungi</w:t>
            </w:r>
          </w:p>
        </w:tc>
      </w:tr>
      <w:tr>
        <w:tblPrEx>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Positive</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Negative</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Sum</w:t>
            </w:r>
          </w:p>
        </w:tc>
        <w:tc>
          <w:tcPr>
            <w:tcW w:w="1770"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Positive/Negative</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Positive</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Negative</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Sum</w:t>
            </w:r>
          </w:p>
        </w:tc>
        <w:tc>
          <w:tcPr>
            <w:tcW w:w="1740"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Positive/Negative</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CK</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134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1.16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80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2.85</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CF</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82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2.72</w:t>
            </w:r>
          </w:p>
        </w:tc>
      </w:tr>
      <w:tr>
        <w:tblPrEx>
          <w:shd w:val="clear" w:color="auto" w:fill="auto"/>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40</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26</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66</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1.53</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38</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54</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w:t>
            </w:r>
          </w:p>
        </w:tc>
      </w:tr>
    </w:tbl>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jc w:val="both"/>
        <w:rPr>
          <w:rFonts w:hint="eastAsia" w:ascii="Times New Roman" w:hAnsi="Times New Roman" w:eastAsia="宋体" w:cs="Times New Roman"/>
          <w:b w:val="0"/>
          <w:bCs w:val="0"/>
          <w:sz w:val="24"/>
          <w:szCs w:val="24"/>
          <w:highlight w:val="none"/>
          <w:lang w:val="en-US" w:eastAsia="zh-CN"/>
        </w:rPr>
      </w:pPr>
    </w:p>
    <w:p>
      <w:pPr>
        <w:jc w:val="center"/>
        <w:rPr>
          <w:rFonts w:hint="default" w:ascii="Times New Roman" w:hAnsi="Times New Roman" w:eastAsia="宋体" w:cs="Times New Roman"/>
          <w:b w:val="0"/>
          <w:bCs w:val="0"/>
          <w:sz w:val="24"/>
          <w:szCs w:val="24"/>
          <w:highlight w:val="yellow"/>
          <w:lang w:val="en-US" w:eastAsia="zh-CN"/>
        </w:rPr>
      </w:pPr>
      <w:r>
        <w:rPr>
          <w:rFonts w:hint="eastAsia" w:ascii="Times New Roman" w:hAnsi="Times New Roman" w:eastAsia="宋体" w:cs="Times New Roman"/>
          <w:b w:val="0"/>
          <w:bCs w:val="0"/>
          <w:sz w:val="24"/>
          <w:szCs w:val="24"/>
          <w:highlight w:val="none"/>
          <w:lang w:val="en-US" w:eastAsia="zh-CN"/>
        </w:rPr>
        <w:t>Table S6 Global network properties of top 40 microbial genera</w:t>
      </w:r>
    </w:p>
    <w:tbl>
      <w:tblPr>
        <w:tblStyle w:val="2"/>
        <w:tblW w:w="11070" w:type="dxa"/>
        <w:jc w:val="center"/>
        <w:shd w:val="clear" w:color="auto" w:fill="auto"/>
        <w:tblLayout w:type="autofit"/>
        <w:tblCellMar>
          <w:top w:w="0" w:type="dxa"/>
          <w:left w:w="0" w:type="dxa"/>
          <w:bottom w:w="0" w:type="dxa"/>
          <w:right w:w="0" w:type="dxa"/>
        </w:tblCellMar>
      </w:tblPr>
      <w:tblGrid>
        <w:gridCol w:w="2430"/>
        <w:gridCol w:w="1080"/>
        <w:gridCol w:w="1080"/>
        <w:gridCol w:w="1080"/>
        <w:gridCol w:w="1080"/>
        <w:gridCol w:w="1080"/>
        <w:gridCol w:w="1080"/>
        <w:gridCol w:w="1080"/>
        <w:gridCol w:w="1080"/>
      </w:tblGrid>
      <w:tr>
        <w:tblPrEx>
          <w:shd w:val="clear" w:color="auto" w:fill="auto"/>
          <w:tblCellMar>
            <w:top w:w="0" w:type="dxa"/>
            <w:left w:w="0" w:type="dxa"/>
            <w:bottom w:w="0" w:type="dxa"/>
            <w:right w:w="0" w:type="dxa"/>
          </w:tblCellMar>
        </w:tblPrEx>
        <w:trPr>
          <w:trHeight w:val="315" w:hRule="atLeast"/>
          <w:jc w:val="center"/>
        </w:trPr>
        <w:tc>
          <w:tcPr>
            <w:tcW w:w="2430" w:type="dxa"/>
            <w:tcBorders>
              <w:top w:val="single" w:color="000000" w:sz="8" w:space="0"/>
              <w:left w:val="nil"/>
              <w:bottom w:val="nil"/>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4320"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Bacteria</w:t>
            </w:r>
          </w:p>
        </w:tc>
        <w:tc>
          <w:tcPr>
            <w:tcW w:w="4320"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Fungi</w:t>
            </w:r>
          </w:p>
        </w:tc>
      </w:tr>
      <w:tr>
        <w:tblPrEx>
          <w:shd w:val="clear" w:color="auto" w:fill="auto"/>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CK</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CF</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CK</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CF</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BF1</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BF2</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Mean degree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1.528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4.534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0.988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1.721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1.129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0.996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0.517</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Clustering coefficient</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0.794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0.740 </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0.800 </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0.775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0.744</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Centralization closeness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2.442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2.403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2.505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2.417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2.431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2.433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2.426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2.428</w:t>
            </w:r>
          </w:p>
        </w:tc>
      </w:tr>
      <w:tr>
        <w:tblPrEx>
          <w:shd w:val="clear" w:color="auto" w:fill="auto"/>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Network centralization</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29.00%</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22.40%</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22.40%</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15.52%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19.43%</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21.32%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19.97%</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17.00%</w:t>
            </w:r>
          </w:p>
        </w:tc>
      </w:tr>
    </w:tbl>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jc w:val="cente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highlight w:val="none"/>
          <w:lang w:val="en-US" w:eastAsia="zh-CN"/>
        </w:rPr>
        <w:t>Table S7 Summary of clustering coefficients for each bacterial genus in the network diagram</w:t>
      </w:r>
    </w:p>
    <w:tbl>
      <w:tblPr>
        <w:tblStyle w:val="2"/>
        <w:tblW w:w="7470" w:type="dxa"/>
        <w:jc w:val="center"/>
        <w:shd w:val="clear" w:color="auto" w:fill="auto"/>
        <w:tblLayout w:type="autofit"/>
        <w:tblCellMar>
          <w:top w:w="0" w:type="dxa"/>
          <w:left w:w="0" w:type="dxa"/>
          <w:bottom w:w="0" w:type="dxa"/>
          <w:right w:w="0" w:type="dxa"/>
        </w:tblCellMar>
      </w:tblPr>
      <w:tblGrid>
        <w:gridCol w:w="3570"/>
        <w:gridCol w:w="975"/>
        <w:gridCol w:w="975"/>
        <w:gridCol w:w="975"/>
        <w:gridCol w:w="975"/>
      </w:tblGrid>
      <w:tr>
        <w:tblPrEx>
          <w:shd w:val="clear" w:color="auto" w:fill="auto"/>
        </w:tblPrEx>
        <w:trPr>
          <w:trHeight w:val="315" w:hRule="atLeast"/>
          <w:jc w:val="center"/>
        </w:trPr>
        <w:tc>
          <w:tcPr>
            <w:tcW w:w="3570" w:type="dxa"/>
            <w:vMerge w:val="restart"/>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Bacteria</w:t>
            </w:r>
          </w:p>
        </w:tc>
        <w:tc>
          <w:tcPr>
            <w:tcW w:w="3900"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Clustering coefficient</w:t>
            </w:r>
          </w:p>
        </w:tc>
      </w:tr>
      <w:tr>
        <w:tblPrEx>
          <w:tblCellMar>
            <w:top w:w="0" w:type="dxa"/>
            <w:left w:w="0" w:type="dxa"/>
            <w:bottom w:w="0" w:type="dxa"/>
            <w:right w:w="0" w:type="dxa"/>
          </w:tblCellMar>
        </w:tblPrEx>
        <w:trPr>
          <w:trHeight w:val="315" w:hRule="atLeast"/>
          <w:jc w:val="center"/>
        </w:trPr>
        <w:tc>
          <w:tcPr>
            <w:tcW w:w="3570" w:type="dxa"/>
            <w:vMerge w:val="continue"/>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0" w:type="auto"/>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CK</w:t>
            </w:r>
          </w:p>
        </w:tc>
        <w:tc>
          <w:tcPr>
            <w:tcW w:w="0" w:type="auto"/>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CF</w:t>
            </w:r>
          </w:p>
        </w:tc>
        <w:tc>
          <w:tcPr>
            <w:tcW w:w="0" w:type="auto"/>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BF1</w:t>
            </w:r>
          </w:p>
        </w:tc>
        <w:tc>
          <w:tcPr>
            <w:tcW w:w="0" w:type="auto"/>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BF2</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norank_Acidobacteria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0.906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0.765</w:t>
            </w:r>
          </w:p>
        </w:tc>
      </w:tr>
      <w:tr>
        <w:tblPrEx>
          <w:shd w:val="clear" w:color="auto" w:fill="auto"/>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norank_Gaiellales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0.765</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norank_Anaerolineaceae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0.633</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Candidatus_Solibacter</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0.765</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norank_JG30_KF_AS9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Haliangium</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0.792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0.652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Bradyrhizobium</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0.757</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norank_Nitrosomonadaceae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0.616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0.684</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Bacillus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0.538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0.765</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norank_TK10</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0.831</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Bryobacter</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Roseiflexus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0.854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0.857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Streptomyces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0.85</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norank_SC-I-84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0.933</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norank_Gemmatimonadaceae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0.784</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Nitrospira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norank_Saccharibacteria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0.858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0.595</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Acidobacteriaceae_Subgroup_1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0.633</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norank_Acidobacteriaceae_Subgroup_1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0.906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0.684</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norank_DA111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0.589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Sphingomonas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0.667</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norank_KD4-96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0.779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norank_Acidimicrobiales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0.684</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RB41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0.743</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Acidibacter</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0.743</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norank_Xanthobacteraceae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0.658</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norank_Planctomycetaceae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0.854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0.719</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Intrasporangiaceae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0.721</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FamilyI_SubsectionIII</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0.933</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norank_FCPS473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Acidothermus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0.752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0.831</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Mizugakiibacter</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0.674</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H16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norank_C0119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0.649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Micrococcaceae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0.854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norank_Cyanobacteria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0.875</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Frankiales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0.627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0.657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0.857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norank_JG30_KF_CM45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0.765</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norank_OPB35_soil_group</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0.688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0.455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0.719</w:t>
            </w:r>
          </w:p>
        </w:tc>
      </w:tr>
      <w:tr>
        <w:tblPrEx>
          <w:shd w:val="clear" w:color="auto" w:fill="auto"/>
          <w:tblCellMar>
            <w:top w:w="0" w:type="dxa"/>
            <w:left w:w="0" w:type="dxa"/>
            <w:bottom w:w="0" w:type="dxa"/>
            <w:right w:w="0" w:type="dxa"/>
          </w:tblCellMar>
        </w:tblPrEx>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Rhizomicrobium</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0.763</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0.783</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0.725</w:t>
            </w:r>
          </w:p>
        </w:tc>
      </w:tr>
    </w:tbl>
    <w:p>
      <w:pPr>
        <w:rPr>
          <w:rFonts w:hint="eastAsia" w:ascii="Times New Roman" w:hAnsi="Times New Roman" w:eastAsia="宋体" w:cs="Times New Roman"/>
          <w:b w:val="0"/>
          <w:bCs w:val="0"/>
          <w:sz w:val="24"/>
          <w:szCs w:val="24"/>
          <w:lang w:val="en-US" w:eastAsia="zh-CN"/>
        </w:rPr>
      </w:pPr>
    </w:p>
    <w:p>
      <w:pPr>
        <w:jc w:val="both"/>
        <w:rPr>
          <w:rFonts w:hint="eastAsia" w:ascii="Times New Roman" w:hAnsi="Times New Roman" w:eastAsia="宋体" w:cs="Times New Roman"/>
          <w:b w:val="0"/>
          <w:bCs w:val="0"/>
          <w:sz w:val="24"/>
          <w:szCs w:val="24"/>
          <w:highlight w:val="none"/>
          <w:lang w:val="en-US" w:eastAsia="zh-CN"/>
        </w:rPr>
      </w:pPr>
    </w:p>
    <w:p>
      <w:pPr>
        <w:jc w:val="cente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highlight w:val="none"/>
          <w:lang w:val="en-US" w:eastAsia="zh-CN"/>
        </w:rPr>
        <w:t>Table S8 Summary of clustering coefficients for each fungal genus in the network diagram</w:t>
      </w:r>
    </w:p>
    <w:tbl>
      <w:tblPr>
        <w:tblStyle w:val="2"/>
        <w:tblW w:w="6510" w:type="dxa"/>
        <w:jc w:val="center"/>
        <w:shd w:val="clear" w:color="auto" w:fill="auto"/>
        <w:tblLayout w:type="autofit"/>
        <w:tblCellMar>
          <w:top w:w="0" w:type="dxa"/>
          <w:left w:w="0" w:type="dxa"/>
          <w:bottom w:w="0" w:type="dxa"/>
          <w:right w:w="0" w:type="dxa"/>
        </w:tblCellMar>
      </w:tblPr>
      <w:tblGrid>
        <w:gridCol w:w="2520"/>
        <w:gridCol w:w="998"/>
        <w:gridCol w:w="998"/>
        <w:gridCol w:w="998"/>
        <w:gridCol w:w="996"/>
      </w:tblGrid>
      <w:tr>
        <w:tblPrEx>
          <w:tblCellMar>
            <w:top w:w="0" w:type="dxa"/>
            <w:left w:w="0" w:type="dxa"/>
            <w:bottom w:w="0" w:type="dxa"/>
            <w:right w:w="0" w:type="dxa"/>
          </w:tblCellMar>
        </w:tblPrEx>
        <w:trPr>
          <w:trHeight w:val="315" w:hRule="atLeast"/>
          <w:jc w:val="center"/>
        </w:trPr>
        <w:tc>
          <w:tcPr>
            <w:tcW w:w="2520" w:type="dxa"/>
            <w:vMerge w:val="restart"/>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Fungi</w:t>
            </w:r>
          </w:p>
        </w:tc>
        <w:tc>
          <w:tcPr>
            <w:tcW w:w="3990" w:type="dxa"/>
            <w:gridSpan w:val="4"/>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Clustering coefficient</w:t>
            </w:r>
          </w:p>
        </w:tc>
      </w:tr>
      <w:tr>
        <w:tblPrEx>
          <w:shd w:val="clear" w:color="auto" w:fill="auto"/>
          <w:tblCellMar>
            <w:top w:w="0" w:type="dxa"/>
            <w:left w:w="0" w:type="dxa"/>
            <w:bottom w:w="0" w:type="dxa"/>
            <w:right w:w="0" w:type="dxa"/>
          </w:tblCellMar>
        </w:tblPrEx>
        <w:trPr>
          <w:trHeight w:val="315" w:hRule="atLeast"/>
          <w:jc w:val="center"/>
        </w:trPr>
        <w:tc>
          <w:tcPr>
            <w:tcW w:w="2520" w:type="dxa"/>
            <w:vMerge w:val="continue"/>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jc w:val="center"/>
              <w:rPr>
                <w:rFonts w:hint="default" w:ascii="Times New Roman" w:hAnsi="Times New Roman" w:eastAsia="宋体" w:cs="Times New Roman"/>
                <w:i w:val="0"/>
                <w:color w:val="000000"/>
                <w:sz w:val="22"/>
                <w:szCs w:val="22"/>
                <w:u w:val="none"/>
              </w:rPr>
            </w:pPr>
          </w:p>
        </w:tc>
        <w:tc>
          <w:tcPr>
            <w:tcW w:w="0" w:type="auto"/>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CK</w:t>
            </w:r>
          </w:p>
        </w:tc>
        <w:tc>
          <w:tcPr>
            <w:tcW w:w="0" w:type="auto"/>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CF</w:t>
            </w:r>
          </w:p>
        </w:tc>
        <w:tc>
          <w:tcPr>
            <w:tcW w:w="0" w:type="auto"/>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BF1</w:t>
            </w:r>
          </w:p>
        </w:tc>
        <w:tc>
          <w:tcPr>
            <w:tcW w:w="0" w:type="auto"/>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BF2</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Talaromyces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0.701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norank_Sordariales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0.685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0.758</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Fusarium</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0.685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0.573</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Hypocreales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0.758</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Dothideomycetes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0.758</w:t>
            </w:r>
          </w:p>
        </w:tc>
      </w:tr>
      <w:tr>
        <w:tblPrEx>
          <w:shd w:val="clear" w:color="auto" w:fill="auto"/>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Agaricomycetes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0.737</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Trichocomaceae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0.719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norank_Zygomycota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0.543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norank_Sordariomycetes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0.627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norank_Agaricomycetes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0.608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0.739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0.637</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norank_Tremellales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0.596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0.824</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Magnaporthaceae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0.784</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Ascomycota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0.649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0.897</w:t>
            </w:r>
          </w:p>
        </w:tc>
      </w:tr>
      <w:tr>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Pinnularia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Pseudallescheria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Sordariomycetes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0.685</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Mrakia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0.627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0.869</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Bromeliothrix</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0.543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norank_Pezizales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0.648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w:t>
            </w:r>
          </w:p>
        </w:tc>
      </w:tr>
      <w:tr>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Nectriaceae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0.637</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Dichostereum</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Pleosporales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0.737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0.708</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Phialophora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0.704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norank_Hypocreales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0.678</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d__Eukaryota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0.719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0.733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0.678</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Pyxidiophora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norank_Ascobolaceae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Colpodea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Cryptococcus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0.624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Phallus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0.649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Eurotiales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0.737</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Chalazion</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0.881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norank_Helotiales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0.926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0.784</w:t>
            </w:r>
          </w:p>
        </w:tc>
      </w:tr>
      <w:tr>
        <w:tblPrEx>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norank_Chytridiomycota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0.823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norank_Saccharomycetales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0.747</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Onygenaceae</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0.956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0.649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0.801</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Obertrumia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0.846</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0.663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0.695</w:t>
            </w:r>
          </w:p>
        </w:tc>
      </w:tr>
      <w:tr>
        <w:tblPrEx>
          <w:shd w:val="clear" w:color="auto" w:fill="auto"/>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norank_Glomeromycota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0.913</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0.762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0.89</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0.719</w:t>
            </w:r>
          </w:p>
        </w:tc>
      </w:tr>
      <w:tr>
        <w:tblPrEx>
          <w:shd w:val="clear" w:color="auto" w:fill="auto"/>
          <w:tblCellMar>
            <w:top w:w="0" w:type="dxa"/>
            <w:left w:w="0" w:type="dxa"/>
            <w:bottom w:w="0" w:type="dxa"/>
            <w:right w:w="0" w:type="dxa"/>
          </w:tblCellMar>
        </w:tblPrEx>
        <w:trPr>
          <w:trHeight w:val="300"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Galactomyces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0.784</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0.871</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0.869</w:t>
            </w:r>
          </w:p>
        </w:tc>
      </w:tr>
      <w:tr>
        <w:trPr>
          <w:trHeight w:val="315" w:hRule="atLeast"/>
          <w:jc w:val="center"/>
        </w:trPr>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Orbiliaceae</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0.866</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0.802</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0.835</w:t>
            </w:r>
          </w:p>
        </w:tc>
        <w:tc>
          <w:tcPr>
            <w:tcW w:w="0" w:type="auto"/>
            <w:tcBorders>
              <w:top w:val="nil"/>
              <w:left w:val="nil"/>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0.758</w:t>
            </w:r>
          </w:p>
        </w:tc>
      </w:tr>
    </w:tbl>
    <w:p>
      <w:pP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highlight w:val="none"/>
          <w:lang w:val="en-US" w:eastAsia="zh-CN"/>
        </w:rPr>
      </w:pPr>
    </w:p>
    <w:p>
      <w:pPr>
        <w:jc w:val="center"/>
        <w:rPr>
          <w:rFonts w:hint="eastAsia" w:ascii="Times New Roman" w:hAnsi="Times New Roman" w:eastAsia="宋体" w:cs="Times New Roman"/>
          <w:b w:val="0"/>
          <w:bCs w:val="0"/>
          <w:sz w:val="24"/>
          <w:szCs w:val="24"/>
          <w:highlight w:val="none"/>
          <w:lang w:val="en-US" w:eastAsia="zh-CN"/>
        </w:rPr>
      </w:pPr>
    </w:p>
    <w:p>
      <w:pPr>
        <w:jc w:val="center"/>
        <w:rPr>
          <w:rFonts w:hint="eastAsia" w:ascii="Times New Roman" w:hAnsi="Times New Roman" w:eastAsia="宋体" w:cs="Times New Roman"/>
          <w:b w:val="0"/>
          <w:bCs w:val="0"/>
          <w:sz w:val="24"/>
          <w:szCs w:val="24"/>
          <w:highlight w:val="none"/>
          <w:lang w:val="en-US" w:eastAsia="zh-CN"/>
        </w:rPr>
      </w:pPr>
    </w:p>
    <w:p>
      <w:pPr>
        <w:jc w:val="cente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highlight w:val="none"/>
          <w:lang w:val="en-US" w:eastAsia="zh-CN"/>
        </w:rPr>
        <w:t>Table S9 Ranking of relative abundance of bacterial genera by treatment in the network diagram</w:t>
      </w:r>
    </w:p>
    <w:tbl>
      <w:tblPr>
        <w:tblStyle w:val="2"/>
        <w:tblW w:w="12765" w:type="dxa"/>
        <w:tblInd w:w="93" w:type="dxa"/>
        <w:shd w:val="clear" w:color="auto" w:fill="auto"/>
        <w:tblLayout w:type="autofit"/>
        <w:tblCellMar>
          <w:top w:w="0" w:type="dxa"/>
          <w:left w:w="108" w:type="dxa"/>
          <w:bottom w:w="0" w:type="dxa"/>
          <w:right w:w="108" w:type="dxa"/>
        </w:tblCellMar>
      </w:tblPr>
      <w:tblGrid>
        <w:gridCol w:w="915"/>
        <w:gridCol w:w="3765"/>
        <w:gridCol w:w="2730"/>
        <w:gridCol w:w="2684"/>
        <w:gridCol w:w="2843"/>
      </w:tblGrid>
      <w:tr>
        <w:tblPrEx>
          <w:tblCellMar>
            <w:top w:w="0" w:type="dxa"/>
            <w:left w:w="108" w:type="dxa"/>
            <w:bottom w:w="0" w:type="dxa"/>
            <w:right w:w="108" w:type="dxa"/>
          </w:tblCellMar>
        </w:tblPrEx>
        <w:trPr>
          <w:trHeight w:val="315" w:hRule="atLeast"/>
        </w:trPr>
        <w:tc>
          <w:tcPr>
            <w:tcW w:w="915" w:type="dxa"/>
            <w:tcBorders>
              <w:top w:val="single" w:color="000000" w:sz="8" w:space="0"/>
              <w:left w:val="nil"/>
              <w:bottom w:val="single" w:color="000000" w:sz="8" w:space="0"/>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3765"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CK</w:t>
            </w:r>
          </w:p>
        </w:tc>
        <w:tc>
          <w:tcPr>
            <w:tcW w:w="273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CF</w:t>
            </w:r>
          </w:p>
        </w:tc>
        <w:tc>
          <w:tcPr>
            <w:tcW w:w="2595"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BF1</w:t>
            </w:r>
          </w:p>
        </w:tc>
        <w:tc>
          <w:tcPr>
            <w:tcW w:w="276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BF2</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norank_JG30_KF_AS9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norank_Gaiellales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norank_Acidobacteria</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norank_Acidobacteria</w:t>
            </w:r>
          </w:p>
        </w:tc>
      </w:tr>
      <w:tr>
        <w:tblPrEx>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norank_Gaiellales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Bradyrhizobium</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norank_Anaerolineaceae</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Candidatus_Solibacter</w:t>
            </w:r>
          </w:p>
        </w:tc>
      </w:tr>
      <w:tr>
        <w:tblPrEx>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norank_FCPS473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Bacillus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norank_Nitrosomonadaceae</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norank_Anaerolineaceae</w:t>
            </w:r>
          </w:p>
        </w:tc>
      </w:tr>
      <w:tr>
        <w:tblPrEx>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Acidobacteriaceae_Subgroup_1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Candidatus_Solibacter</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Haliangium</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norank_Nitrosomonadaceae</w:t>
            </w:r>
          </w:p>
        </w:tc>
      </w:tr>
      <w:tr>
        <w:tblPrEx>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norank_Planctomycetaceae</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Streptomyces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Roseiflexus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norank_Gaiellales</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Mizugakiibacter</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norank_JG30_KF_AS9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RB41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Haliangium</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Bradyrhizobium</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norank_SC-I-84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Nitrospira</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Bryobacter</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norank_Acidobacteriaceae_Subgroup_1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norank_Saccharibacteria</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norank_KD4-96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norank_JG30_KF_AS9</w:t>
            </w:r>
          </w:p>
        </w:tc>
      </w:tr>
      <w:tr>
        <w:tblPrEx>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norank_DA111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Sphingomonas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norank_TK10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norank_Gemmatimonadaceae</w:t>
            </w:r>
          </w:p>
        </w:tc>
      </w:tr>
      <w:tr>
        <w:trPr>
          <w:trHeight w:val="315" w:hRule="atLeast"/>
        </w:trPr>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Bacillus</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Intrasporangiaceae</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FamilyI_SubsectionIII</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norank_TK10</w:t>
            </w:r>
          </w:p>
        </w:tc>
      </w:tr>
    </w:tbl>
    <w:p>
      <w:pPr>
        <w:jc w:val="both"/>
        <w:rPr>
          <w:rFonts w:hint="eastAsia" w:ascii="Times New Roman" w:eastAsia="宋体"/>
          <w:sz w:val="32"/>
          <w:szCs w:val="32"/>
        </w:rPr>
      </w:pPr>
    </w:p>
    <w:p>
      <w:pPr>
        <w:jc w:val="both"/>
        <w:rPr>
          <w:rFonts w:hint="eastAsia" w:ascii="Times New Roman" w:eastAsia="宋体"/>
          <w:sz w:val="32"/>
          <w:szCs w:val="32"/>
        </w:rPr>
      </w:pPr>
    </w:p>
    <w:p>
      <w:pPr>
        <w:jc w:val="both"/>
        <w:rPr>
          <w:rFonts w:hint="eastAsia" w:ascii="Times New Roman" w:hAnsi="Times New Roman" w:eastAsia="宋体" w:cs="Times New Roman"/>
          <w:b w:val="0"/>
          <w:bCs w:val="0"/>
          <w:sz w:val="24"/>
          <w:szCs w:val="24"/>
          <w:highlight w:val="none"/>
          <w:lang w:val="en-US" w:eastAsia="zh-CN"/>
        </w:rPr>
      </w:pPr>
    </w:p>
    <w:p>
      <w:pPr>
        <w:jc w:val="center"/>
        <w:rPr>
          <w:rFonts w:hint="default" w:ascii="Times New Roman" w:eastAsia="宋体"/>
          <w:sz w:val="32"/>
          <w:szCs w:val="32"/>
          <w:lang w:val="en-US"/>
        </w:rPr>
      </w:pPr>
      <w:r>
        <w:rPr>
          <w:rFonts w:hint="eastAsia" w:ascii="Times New Roman" w:hAnsi="Times New Roman" w:eastAsia="宋体" w:cs="Times New Roman"/>
          <w:b w:val="0"/>
          <w:bCs w:val="0"/>
          <w:sz w:val="24"/>
          <w:szCs w:val="24"/>
          <w:highlight w:val="none"/>
          <w:lang w:val="en-US" w:eastAsia="zh-CN"/>
        </w:rPr>
        <w:t>Table S10 Ranking of relative abundance of fungal genera by treatment in the network diagram</w:t>
      </w:r>
    </w:p>
    <w:tbl>
      <w:tblPr>
        <w:tblStyle w:val="2"/>
        <w:tblW w:w="10275" w:type="dxa"/>
        <w:jc w:val="center"/>
        <w:shd w:val="clear" w:color="auto" w:fill="auto"/>
        <w:tblLayout w:type="autofit"/>
        <w:tblCellMar>
          <w:top w:w="0" w:type="dxa"/>
          <w:left w:w="108" w:type="dxa"/>
          <w:bottom w:w="0" w:type="dxa"/>
          <w:right w:w="108" w:type="dxa"/>
        </w:tblCellMar>
      </w:tblPr>
      <w:tblGrid>
        <w:gridCol w:w="1080"/>
        <w:gridCol w:w="2416"/>
        <w:gridCol w:w="2430"/>
        <w:gridCol w:w="2416"/>
        <w:gridCol w:w="2070"/>
      </w:tblGrid>
      <w:tr>
        <w:tblPrEx>
          <w:shd w:val="clear" w:color="auto" w:fill="auto"/>
          <w:tblCellMar>
            <w:top w:w="0" w:type="dxa"/>
            <w:left w:w="108" w:type="dxa"/>
            <w:bottom w:w="0" w:type="dxa"/>
            <w:right w:w="108" w:type="dxa"/>
          </w:tblCellMar>
        </w:tblPrEx>
        <w:trPr>
          <w:trHeight w:val="315" w:hRule="atLeast"/>
          <w:jc w:val="center"/>
        </w:trPr>
        <w:tc>
          <w:tcPr>
            <w:tcW w:w="1080" w:type="dxa"/>
            <w:tcBorders>
              <w:top w:val="single" w:color="000000" w:sz="8" w:space="0"/>
              <w:left w:val="nil"/>
              <w:bottom w:val="single" w:color="000000" w:sz="8" w:space="0"/>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2295"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CK</w:t>
            </w:r>
          </w:p>
        </w:tc>
        <w:tc>
          <w:tcPr>
            <w:tcW w:w="243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CF</w:t>
            </w:r>
          </w:p>
        </w:tc>
        <w:tc>
          <w:tcPr>
            <w:tcW w:w="240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BF1</w:t>
            </w:r>
          </w:p>
        </w:tc>
        <w:tc>
          <w:tcPr>
            <w:tcW w:w="2070" w:type="dxa"/>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BF2</w:t>
            </w:r>
          </w:p>
        </w:tc>
      </w:tr>
      <w:tr>
        <w:tblPrEx>
          <w:shd w:val="clear" w:color="auto" w:fill="auto"/>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Talaromyces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Talaromyces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Talaromyces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Talaromyces</w:t>
            </w:r>
          </w:p>
        </w:tc>
      </w:tr>
      <w:tr>
        <w:tblPrEx>
          <w:shd w:val="clear" w:color="auto" w:fill="auto"/>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norank_Sordariales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Dothideomycetes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norank_Sordariales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norank_Sordariales</w:t>
            </w: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Fusarium</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Hypocreales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Agaricomycetes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Fusarium</w:t>
            </w:r>
          </w:p>
        </w:tc>
      </w:tr>
      <w:tr>
        <w:tblPrEx>
          <w:shd w:val="clear" w:color="auto" w:fill="auto"/>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Hypocreales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Fusarium</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Hypocreales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Hypocreales</w:t>
            </w: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Trichocomaceae</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Agaricomycetes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Fusarium</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norank_Zygomycota</w:t>
            </w: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norank_Zygomycota</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norank_Sordariales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Magnaporthaceae</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Dichostereum</w:t>
            </w:r>
          </w:p>
        </w:tc>
      </w:tr>
      <w:tr>
        <w:tblPrEx>
          <w:shd w:val="clear" w:color="auto" w:fill="auto"/>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Dothideomycetes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norank_Sordariomycetes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Dothideomycetes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Pinnularia</w:t>
            </w:r>
          </w:p>
        </w:tc>
      </w:tr>
      <w:tr>
        <w:tblPrEx>
          <w:shd w:val="clear" w:color="auto" w:fill="auto"/>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norank_Sordariomycetes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norank_Tremellales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norank_Sordariomycetes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Mrakia</w:t>
            </w:r>
          </w:p>
        </w:tc>
      </w:tr>
      <w:tr>
        <w:tblPrEx>
          <w:shd w:val="clear" w:color="auto" w:fill="auto"/>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Ascomycota</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Trichocomaceae</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norank_Agaricomycetes</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Trichocomaceae</w:t>
            </w:r>
          </w:p>
        </w:tc>
      </w:tr>
      <w:tr>
        <w:tblPrEx>
          <w:tblCellMar>
            <w:top w:w="0" w:type="dxa"/>
            <w:left w:w="108" w:type="dxa"/>
            <w:bottom w:w="0" w:type="dxa"/>
            <w:right w:w="108" w:type="dxa"/>
          </w:tblCellMar>
        </w:tblPrEx>
        <w:trPr>
          <w:trHeight w:val="315" w:hRule="atLeast"/>
          <w:jc w:val="center"/>
        </w:trPr>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Agaricomycetes</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norank_Agaricomycetes</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Trichocomaceae</w:t>
            </w:r>
          </w:p>
        </w:tc>
        <w:tc>
          <w:tcPr>
            <w:tcW w:w="0" w:type="auto"/>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Pseudallescheria</w:t>
            </w:r>
          </w:p>
        </w:tc>
      </w:tr>
    </w:tbl>
    <w:p>
      <w:pPr>
        <w:jc w:val="center"/>
        <w:rPr>
          <w:rFonts w:hint="eastAsia" w:ascii="Times New Roman" w:eastAsia="宋体"/>
          <w:sz w:val="32"/>
          <w:szCs w:val="32"/>
        </w:rPr>
      </w:pPr>
    </w:p>
    <w:p>
      <w:pPr>
        <w:jc w:val="both"/>
        <w:rPr>
          <w:rFonts w:hint="eastAsia" w:ascii="Times New Roman" w:eastAsia="宋体"/>
          <w:sz w:val="32"/>
          <w:szCs w:val="32"/>
        </w:rPr>
      </w:pPr>
    </w:p>
    <w:p>
      <w:pPr>
        <w:jc w:val="center"/>
        <w:rPr>
          <w:rFonts w:hint="eastAsia" w:ascii="Times New Roman" w:eastAsia="宋体"/>
          <w:sz w:val="32"/>
          <w:szCs w:val="32"/>
        </w:rPr>
      </w:pPr>
    </w:p>
    <w:p>
      <w:pPr>
        <w:jc w:val="center"/>
        <w:rPr>
          <w:rFonts w:hint="eastAsia" w:ascii="Times New Roman" w:hAnsi="Times New Roman" w:eastAsia="宋体" w:cs="Times New Roman"/>
          <w:b w:val="0"/>
          <w:bCs w:val="0"/>
          <w:sz w:val="24"/>
          <w:szCs w:val="24"/>
          <w:lang w:val="en-US" w:eastAsia="zh-CN"/>
        </w:rPr>
      </w:pPr>
      <w:r>
        <w:rPr>
          <w:rFonts w:hint="eastAsia" w:ascii="Times New Roman" w:eastAsia="宋体"/>
          <w:sz w:val="32"/>
          <w:szCs w:val="32"/>
        </w:rPr>
        <w:drawing>
          <wp:inline distT="0" distB="0" distL="114300" distR="114300">
            <wp:extent cx="3263900" cy="3722370"/>
            <wp:effectExtent l="0" t="0" r="12700" b="11430"/>
            <wp:docPr id="6" name="图片 6" descr="D:\生物菌肥论文图片\KEGG_FH_JF1_CK_JF2.tifKEGG_FH_JF1_CK_J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生物菌肥论文图片\KEGG_FH_JF1_CK_JF2.tifKEGG_FH_JF1_CK_JF2"/>
                    <pic:cNvPicPr>
                      <a:picLocks noChangeAspect="1"/>
                    </pic:cNvPicPr>
                  </pic:nvPicPr>
                  <pic:blipFill>
                    <a:blip r:embed="rId7"/>
                    <a:srcRect/>
                    <a:stretch>
                      <a:fillRect/>
                    </a:stretch>
                  </pic:blipFill>
                  <pic:spPr>
                    <a:xfrm>
                      <a:off x="0" y="0"/>
                      <a:ext cx="3263900" cy="3722370"/>
                    </a:xfrm>
                    <a:prstGeom prst="rect">
                      <a:avLst/>
                    </a:prstGeom>
                  </pic:spPr>
                </pic:pic>
              </a:graphicData>
            </a:graphic>
          </wp:inline>
        </w:drawing>
      </w:r>
    </w:p>
    <w:p>
      <w:pP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 xml:space="preserve">Fig. S4. </w:t>
      </w:r>
      <w:r>
        <w:rPr>
          <w:rFonts w:hint="eastAsia" w:ascii="Times New Roman" w:eastAsia="宋体"/>
          <w:sz w:val="24"/>
        </w:rPr>
        <w:t>Through the prediction of PICRUSt functional genes, an example of the relative abundance of significant functional differences in KEGG was obtained. The map showed the prediction results of KEGG functional pathways of soil microorganisms after different fertilization treatments, The figure illustrates the differences in CK, CF, BF1, and BF2 processing (blue, orange, green, and purple bars, respectively)</w:t>
      </w:r>
    </w:p>
    <w:p>
      <w:pPr>
        <w:rPr>
          <w:rFonts w:hint="eastAsia" w:ascii="Times New Roman" w:hAnsi="Times New Roman" w:eastAsia="宋体" w:cs="Times New Roman"/>
          <w:b w:val="0"/>
          <w:bCs w:val="0"/>
          <w:sz w:val="24"/>
          <w:szCs w:val="24"/>
          <w:lang w:val="en-US" w:eastAsia="zh-CN"/>
        </w:rPr>
      </w:pPr>
    </w:p>
    <w:p>
      <w:pPr>
        <w:rPr>
          <w:rFonts w:hint="eastAsia" w:ascii="Times New Roman" w:hAnsi="Times New Roman" w:eastAsia="宋体" w:cs="Times New Roman"/>
          <w:b w:val="0"/>
          <w:bCs w:val="0"/>
          <w:sz w:val="24"/>
          <w:szCs w:val="24"/>
          <w:lang w:val="en-US" w:eastAsia="zh-CN"/>
        </w:rPr>
      </w:pPr>
    </w:p>
    <w:p>
      <w:pPr>
        <w:jc w:val="center"/>
        <w:rPr>
          <w:rFonts w:hint="eastAsia" w:ascii="Times New Roman" w:hAnsi="Times New Roman" w:eastAsia="宋体" w:cs="Times New Roman"/>
          <w:b w:val="0"/>
          <w:bCs w:val="0"/>
          <w:sz w:val="24"/>
          <w:szCs w:val="24"/>
          <w:lang w:val="en-US" w:eastAsia="zh-CN"/>
        </w:rPr>
      </w:pPr>
      <w:r>
        <w:rPr>
          <w:rFonts w:hint="eastAsia" w:ascii="Times New Roman" w:eastAsia="宋体"/>
          <w:sz w:val="32"/>
          <w:szCs w:val="32"/>
        </w:rPr>
        <w:drawing>
          <wp:inline distT="0" distB="0" distL="114300" distR="114300">
            <wp:extent cx="3951605" cy="1769745"/>
            <wp:effectExtent l="0" t="0" r="10795" b="1905"/>
            <wp:docPr id="7" name="图片 7" descr="D:\生物菌肥论文图片\FUNGUild_FH_CK_jf1_jf2.tifFUNGUild_FH_CK_jf1_j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生物菌肥论文图片\FUNGUild_FH_CK_jf1_jf2.tifFUNGUild_FH_CK_jf1_jf2"/>
                    <pic:cNvPicPr>
                      <a:picLocks noChangeAspect="1"/>
                    </pic:cNvPicPr>
                  </pic:nvPicPr>
                  <pic:blipFill>
                    <a:blip r:embed="rId8"/>
                    <a:srcRect/>
                    <a:stretch>
                      <a:fillRect/>
                    </a:stretch>
                  </pic:blipFill>
                  <pic:spPr>
                    <a:xfrm>
                      <a:off x="0" y="0"/>
                      <a:ext cx="3951605" cy="1769745"/>
                    </a:xfrm>
                    <a:prstGeom prst="rect">
                      <a:avLst/>
                    </a:prstGeom>
                  </pic:spPr>
                </pic:pic>
              </a:graphicData>
            </a:graphic>
          </wp:inline>
        </w:drawing>
      </w:r>
    </w:p>
    <w:p>
      <w:pP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 xml:space="preserve">Fig. S5. </w:t>
      </w:r>
      <w:r>
        <w:rPr>
          <w:rFonts w:hint="eastAsia" w:ascii="Times New Roman" w:eastAsia="宋体"/>
          <w:sz w:val="24"/>
        </w:rPr>
        <w:t>Fungal function prediction analysis based on FUNGuild database, differences in CK, CF, BF1 and BF2 treatments (blue, orange, green and purple strips, respectively)</w:t>
      </w:r>
    </w:p>
    <w:p>
      <w:pPr>
        <w:rPr>
          <w:rFonts w:hint="eastAsia" w:ascii="Times New Roman" w:hAnsi="Times New Roman" w:eastAsia="宋体" w:cs="Times New Roman"/>
          <w:b w:val="0"/>
          <w:bCs w:val="0"/>
          <w:sz w:val="24"/>
          <w:szCs w:val="24"/>
          <w:lang w:val="en-US" w:eastAsia="zh-CN"/>
        </w:rPr>
      </w:pPr>
    </w:p>
    <w:p>
      <w:pPr>
        <w:jc w:val="both"/>
        <w:rPr>
          <w:rFonts w:hint="default" w:ascii="Times New Roman" w:hAnsi="Times New Roman" w:eastAsia="宋体" w:cs="Times New Roman"/>
          <w:b w:val="0"/>
          <w:bCs w:val="0"/>
          <w:sz w:val="28"/>
          <w:szCs w:val="28"/>
          <w:lang w:val="en-US" w:eastAsia="zh-CN"/>
        </w:rPr>
      </w:pPr>
    </w:p>
    <w:sectPr>
      <w:pgSz w:w="16783" w:h="23757"/>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ED0F00"/>
    <w:rsid w:val="025E7999"/>
    <w:rsid w:val="032D496D"/>
    <w:rsid w:val="07564D1D"/>
    <w:rsid w:val="078F08F8"/>
    <w:rsid w:val="0A33470A"/>
    <w:rsid w:val="0A8D25FF"/>
    <w:rsid w:val="0CE653EE"/>
    <w:rsid w:val="101F374E"/>
    <w:rsid w:val="12B3370B"/>
    <w:rsid w:val="142941C5"/>
    <w:rsid w:val="14E93C77"/>
    <w:rsid w:val="1564078F"/>
    <w:rsid w:val="16672235"/>
    <w:rsid w:val="16C4189A"/>
    <w:rsid w:val="186B4C20"/>
    <w:rsid w:val="19ED0F00"/>
    <w:rsid w:val="1CD402EA"/>
    <w:rsid w:val="2018188A"/>
    <w:rsid w:val="22085A46"/>
    <w:rsid w:val="22C706E4"/>
    <w:rsid w:val="22F31E2B"/>
    <w:rsid w:val="239F655D"/>
    <w:rsid w:val="2E8B7C4B"/>
    <w:rsid w:val="33B67CF0"/>
    <w:rsid w:val="380475BF"/>
    <w:rsid w:val="38C90614"/>
    <w:rsid w:val="393E0925"/>
    <w:rsid w:val="3B0E066A"/>
    <w:rsid w:val="3B306886"/>
    <w:rsid w:val="40291912"/>
    <w:rsid w:val="40C334DB"/>
    <w:rsid w:val="40EC26F1"/>
    <w:rsid w:val="40F53593"/>
    <w:rsid w:val="422E273B"/>
    <w:rsid w:val="42DA1E20"/>
    <w:rsid w:val="459555F5"/>
    <w:rsid w:val="4663464A"/>
    <w:rsid w:val="470D4532"/>
    <w:rsid w:val="494A32EB"/>
    <w:rsid w:val="4C2B4997"/>
    <w:rsid w:val="4D976D9F"/>
    <w:rsid w:val="500E00ED"/>
    <w:rsid w:val="52C0799A"/>
    <w:rsid w:val="57AE535C"/>
    <w:rsid w:val="5FB56C3E"/>
    <w:rsid w:val="60762364"/>
    <w:rsid w:val="61A53ADB"/>
    <w:rsid w:val="620508D5"/>
    <w:rsid w:val="63EE1D7F"/>
    <w:rsid w:val="652D0E19"/>
    <w:rsid w:val="664D261E"/>
    <w:rsid w:val="67923ED5"/>
    <w:rsid w:val="69FB19F2"/>
    <w:rsid w:val="6C4F2214"/>
    <w:rsid w:val="6E424D88"/>
    <w:rsid w:val="6F9165E7"/>
    <w:rsid w:val="6FF23FAF"/>
    <w:rsid w:val="71CB1503"/>
    <w:rsid w:val="738963F9"/>
    <w:rsid w:val="75D047F2"/>
    <w:rsid w:val="765F62A8"/>
    <w:rsid w:val="7723338F"/>
    <w:rsid w:val="7908365A"/>
    <w:rsid w:val="7BBF2EC4"/>
    <w:rsid w:val="7C197A77"/>
    <w:rsid w:val="7F264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1"/>
    <w:basedOn w:val="3"/>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jpeg"/><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2020-11-16T07:51:00Z</dcterms:created>
  <dc:creator>提莫队长</dc:creator>
  <cp:lastModifiedBy>WPS_1047505633</cp:lastModifiedBy>
  <dcterms:modified xsi:type="dcterms:W3CDTF">2021-09-05T06:17:48Z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FE84544AB3444FD7A0BCBEED2CADB183</vt:lpwstr>
  </property>
</Properties>
</file>