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9E01" w14:textId="77777777" w:rsidR="009027FB" w:rsidRPr="009027FB" w:rsidRDefault="009027FB" w:rsidP="009027FB">
      <w:pPr>
        <w:keepNext/>
        <w:keepLines/>
        <w:spacing w:before="360" w:after="80" w:line="480" w:lineRule="auto"/>
        <w:jc w:val="both"/>
        <w:outlineLvl w:val="0"/>
        <w:rPr>
          <w:rFonts w:ascii="Aptos" w:eastAsiaTheme="majorEastAsia" w:hAnsi="Aptos" w:cstheme="majorBidi"/>
          <w:bCs/>
          <w:color w:val="000000" w:themeColor="text1"/>
          <w:lang w:val="en-US"/>
        </w:rPr>
      </w:pPr>
      <w:r w:rsidRPr="009027FB">
        <w:rPr>
          <w:rFonts w:ascii="Aptos" w:eastAsiaTheme="majorEastAsia" w:hAnsi="Aptos" w:cstheme="majorBidi"/>
          <w:b/>
          <w:color w:val="000000" w:themeColor="text1"/>
          <w:lang w:val="en-US"/>
        </w:rPr>
        <w:t xml:space="preserve">Table 3. </w:t>
      </w:r>
      <w:r w:rsidRPr="009027FB">
        <w:rPr>
          <w:rFonts w:ascii="Aptos" w:eastAsiaTheme="majorEastAsia" w:hAnsi="Aptos" w:cstheme="majorBidi"/>
          <w:color w:val="000000" w:themeColor="text1"/>
          <w:lang w:val="en-US"/>
        </w:rPr>
        <w:t>Univariate</w:t>
      </w:r>
      <w:r w:rsidRPr="009027FB">
        <w:rPr>
          <w:rFonts w:ascii="Aptos" w:eastAsiaTheme="majorEastAsia" w:hAnsi="Aptos" w:cstheme="majorBidi"/>
          <w:b/>
          <w:color w:val="000000" w:themeColor="text1"/>
          <w:lang w:val="en-US"/>
        </w:rPr>
        <w:t xml:space="preserve"> </w:t>
      </w:r>
      <w:r w:rsidRPr="009027FB">
        <w:rPr>
          <w:rFonts w:ascii="Aptos" w:eastAsiaTheme="majorEastAsia" w:hAnsi="Aptos" w:cstheme="majorBidi"/>
          <w:color w:val="000000" w:themeColor="text1"/>
          <w:lang w:val="en-US"/>
        </w:rPr>
        <w:t>association between the variables chosen for the predictive model according to PPC status at day-1.</w:t>
      </w:r>
    </w:p>
    <w:tbl>
      <w:tblPr>
        <w:tblW w:w="9923" w:type="dxa"/>
        <w:tblInd w:w="-709" w:type="dxa"/>
        <w:tblLook w:val="04A0" w:firstRow="1" w:lastRow="0" w:firstColumn="1" w:lastColumn="0" w:noHBand="0" w:noVBand="1"/>
      </w:tblPr>
      <w:tblGrid>
        <w:gridCol w:w="2860"/>
        <w:gridCol w:w="1718"/>
        <w:gridCol w:w="1819"/>
        <w:gridCol w:w="1951"/>
        <w:gridCol w:w="1575"/>
      </w:tblGrid>
      <w:tr w:rsidR="009027FB" w:rsidRPr="009027FB" w14:paraId="43D8103B" w14:textId="77777777" w:rsidTr="005C17A9"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</w:tcPr>
          <w:p w14:paraId="58DA3D4A" w14:textId="77777777" w:rsidR="009027FB" w:rsidRPr="009027FB" w:rsidRDefault="009027FB" w:rsidP="009027FB">
            <w:pPr>
              <w:spacing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E312D" w14:textId="77777777" w:rsidR="009027FB" w:rsidRPr="009027FB" w:rsidRDefault="009027FB" w:rsidP="009027FB">
            <w:pPr>
              <w:spacing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PPC (n = 115)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15766" w14:textId="77777777" w:rsidR="009027FB" w:rsidRPr="009027FB" w:rsidRDefault="009027FB" w:rsidP="009027FB">
            <w:pPr>
              <w:spacing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Non-PPC (n = 160)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5662CBE7" w14:textId="77777777" w:rsidR="009027FB" w:rsidRPr="009027FB" w:rsidRDefault="009027FB" w:rsidP="009027FB">
            <w:pPr>
              <w:spacing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OR [CI95%]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553AE" w14:textId="77777777" w:rsidR="009027FB" w:rsidRPr="009027FB" w:rsidRDefault="009027FB" w:rsidP="009027FB">
            <w:pPr>
              <w:spacing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p-value</w:t>
            </w:r>
          </w:p>
        </w:tc>
      </w:tr>
      <w:tr w:rsidR="009027FB" w:rsidRPr="009027FB" w14:paraId="1DD645A4" w14:textId="77777777" w:rsidTr="005C17A9">
        <w:tc>
          <w:tcPr>
            <w:tcW w:w="2860" w:type="dxa"/>
            <w:tcBorders>
              <w:top w:val="single" w:sz="4" w:space="0" w:color="auto"/>
            </w:tcBorders>
            <w:vAlign w:val="center"/>
          </w:tcPr>
          <w:p w14:paraId="52F36EFD" w14:textId="77777777" w:rsidR="009027FB" w:rsidRPr="009027FB" w:rsidRDefault="009027FB" w:rsidP="009027FB">
            <w:pPr>
              <w:spacing w:after="0" w:line="276" w:lineRule="auto"/>
              <w:ind w:left="708"/>
              <w:jc w:val="both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LUS POD1 (per point)*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14:paraId="5FF5CBA8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9.8 ± 4.5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vAlign w:val="center"/>
          </w:tcPr>
          <w:p w14:paraId="7392CD83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5.2 ± 3.4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14:paraId="61E3007E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1.36 [1.25 to 1.48]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5C96BCCF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&lt;0.001</w:t>
            </w:r>
          </w:p>
        </w:tc>
      </w:tr>
      <w:tr w:rsidR="009027FB" w:rsidRPr="009027FB" w14:paraId="1AADD30F" w14:textId="77777777" w:rsidTr="005C17A9">
        <w:tc>
          <w:tcPr>
            <w:tcW w:w="2860" w:type="dxa"/>
            <w:vAlign w:val="center"/>
          </w:tcPr>
          <w:p w14:paraId="403A6265" w14:textId="77777777" w:rsidR="009027FB" w:rsidRPr="009027FB" w:rsidRDefault="009027FB" w:rsidP="009027FB">
            <w:pPr>
              <w:spacing w:after="0" w:line="276" w:lineRule="auto"/>
              <w:ind w:left="708"/>
              <w:jc w:val="both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DUS excursion POD1 (per mm)</w:t>
            </w:r>
            <w:r w:rsidRPr="009027FB">
              <w:rPr>
                <w:rFonts w:ascii="Aptos" w:hAnsi="Aptos"/>
                <w:sz w:val="22"/>
                <w:vertAlign w:val="superscript"/>
                <w:lang w:val="en-US"/>
              </w:rPr>
              <w:t>£</w:t>
            </w:r>
          </w:p>
        </w:tc>
        <w:tc>
          <w:tcPr>
            <w:tcW w:w="1718" w:type="dxa"/>
            <w:vAlign w:val="center"/>
          </w:tcPr>
          <w:p w14:paraId="1ADD90EA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15.6 ± 7.6</w:t>
            </w:r>
          </w:p>
        </w:tc>
        <w:tc>
          <w:tcPr>
            <w:tcW w:w="1819" w:type="dxa"/>
            <w:vAlign w:val="center"/>
          </w:tcPr>
          <w:p w14:paraId="410D1AC7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20.1 ± 6.4</w:t>
            </w:r>
          </w:p>
        </w:tc>
        <w:tc>
          <w:tcPr>
            <w:tcW w:w="1951" w:type="dxa"/>
          </w:tcPr>
          <w:p w14:paraId="2EC91FDB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0.87 [0.83 to 0.92]</w:t>
            </w:r>
          </w:p>
        </w:tc>
        <w:tc>
          <w:tcPr>
            <w:tcW w:w="1575" w:type="dxa"/>
            <w:vAlign w:val="center"/>
          </w:tcPr>
          <w:p w14:paraId="74D7ED0C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&lt;0.001</w:t>
            </w:r>
          </w:p>
        </w:tc>
      </w:tr>
      <w:tr w:rsidR="009027FB" w:rsidRPr="009027FB" w14:paraId="541E0D3B" w14:textId="77777777" w:rsidTr="005C17A9">
        <w:tc>
          <w:tcPr>
            <w:tcW w:w="2860" w:type="dxa"/>
            <w:vAlign w:val="center"/>
          </w:tcPr>
          <w:p w14:paraId="198696EE" w14:textId="77777777" w:rsidR="009027FB" w:rsidRPr="009027FB" w:rsidRDefault="009027FB" w:rsidP="009027FB">
            <w:pPr>
              <w:spacing w:after="0" w:line="276" w:lineRule="auto"/>
              <w:ind w:left="708"/>
              <w:jc w:val="both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DUS forced excursion POD1 (per mm)</w:t>
            </w:r>
            <w:r w:rsidRPr="009027FB">
              <w:rPr>
                <w:rFonts w:ascii="Aptos" w:hAnsi="Aptos"/>
                <w:sz w:val="22"/>
                <w:vertAlign w:val="superscript"/>
                <w:lang w:val="en-US"/>
              </w:rPr>
              <w:t>$</w:t>
            </w:r>
          </w:p>
        </w:tc>
        <w:tc>
          <w:tcPr>
            <w:tcW w:w="1718" w:type="dxa"/>
            <w:vAlign w:val="center"/>
          </w:tcPr>
          <w:p w14:paraId="5B58EFF1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26.4 ± 13.5</w:t>
            </w:r>
          </w:p>
        </w:tc>
        <w:tc>
          <w:tcPr>
            <w:tcW w:w="1819" w:type="dxa"/>
            <w:vAlign w:val="center"/>
          </w:tcPr>
          <w:p w14:paraId="7DF9D553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40.8 ± 13.7</w:t>
            </w:r>
          </w:p>
        </w:tc>
        <w:tc>
          <w:tcPr>
            <w:tcW w:w="1951" w:type="dxa"/>
            <w:vAlign w:val="center"/>
          </w:tcPr>
          <w:p w14:paraId="7479DD1E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0.89 [0.87 to 0.92]</w:t>
            </w:r>
          </w:p>
        </w:tc>
        <w:tc>
          <w:tcPr>
            <w:tcW w:w="1575" w:type="dxa"/>
            <w:vAlign w:val="center"/>
          </w:tcPr>
          <w:p w14:paraId="0224AD6E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&lt;0.001</w:t>
            </w:r>
          </w:p>
        </w:tc>
      </w:tr>
      <w:tr w:rsidR="009027FB" w:rsidRPr="009027FB" w14:paraId="23E4EB18" w14:textId="77777777" w:rsidTr="005C17A9">
        <w:tc>
          <w:tcPr>
            <w:tcW w:w="2860" w:type="dxa"/>
            <w:vAlign w:val="center"/>
          </w:tcPr>
          <w:p w14:paraId="1FEE7A16" w14:textId="77777777" w:rsidR="009027FB" w:rsidRPr="009027FB" w:rsidRDefault="009027FB" w:rsidP="009027FB">
            <w:pPr>
              <w:spacing w:after="0" w:line="276" w:lineRule="auto"/>
              <w:ind w:left="708"/>
              <w:jc w:val="both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DUS ratio POD1 (forced/quiet)</w:t>
            </w:r>
            <w:r w:rsidRPr="009027FB">
              <w:rPr>
                <w:rFonts w:ascii="Aptos" w:hAnsi="Aptos"/>
                <w:sz w:val="22"/>
                <w:vertAlign w:val="superscript"/>
                <w:lang w:val="en-US"/>
              </w:rPr>
              <w:t xml:space="preserve"> $</w:t>
            </w:r>
          </w:p>
        </w:tc>
        <w:tc>
          <w:tcPr>
            <w:tcW w:w="1718" w:type="dxa"/>
            <w:vAlign w:val="center"/>
          </w:tcPr>
          <w:p w14:paraId="1ACE6CD2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1.8 ± 0.4</w:t>
            </w:r>
          </w:p>
        </w:tc>
        <w:tc>
          <w:tcPr>
            <w:tcW w:w="1819" w:type="dxa"/>
            <w:vAlign w:val="center"/>
          </w:tcPr>
          <w:p w14:paraId="7C316B0F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2.1 ± 0.5</w:t>
            </w:r>
          </w:p>
        </w:tc>
        <w:tc>
          <w:tcPr>
            <w:tcW w:w="1951" w:type="dxa"/>
            <w:vAlign w:val="center"/>
          </w:tcPr>
          <w:p w14:paraId="0EE51630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0.17 [0.08 to 0.36]</w:t>
            </w:r>
          </w:p>
        </w:tc>
        <w:tc>
          <w:tcPr>
            <w:tcW w:w="1575" w:type="dxa"/>
            <w:vAlign w:val="center"/>
          </w:tcPr>
          <w:p w14:paraId="0590ED1B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&lt;0.001</w:t>
            </w:r>
          </w:p>
        </w:tc>
      </w:tr>
      <w:tr w:rsidR="009027FB" w:rsidRPr="009027FB" w14:paraId="542CDE24" w14:textId="77777777" w:rsidTr="005C17A9">
        <w:tc>
          <w:tcPr>
            <w:tcW w:w="2860" w:type="dxa"/>
            <w:vAlign w:val="center"/>
          </w:tcPr>
          <w:p w14:paraId="201BB9BC" w14:textId="77777777" w:rsidR="009027FB" w:rsidRPr="009027FB" w:rsidRDefault="009027FB" w:rsidP="009027FB">
            <w:pPr>
              <w:spacing w:after="0" w:line="276" w:lineRule="auto"/>
              <w:ind w:left="708"/>
              <w:jc w:val="both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Alveolar consolidation POD1</w:t>
            </w:r>
            <w:r w:rsidRPr="009027FB">
              <w:rPr>
                <w:rFonts w:ascii="Aptos" w:hAnsi="Aptos"/>
                <w:sz w:val="22"/>
                <w:vertAlign w:val="superscript"/>
                <w:lang w:val="en-US"/>
              </w:rPr>
              <w:t>&amp;</w:t>
            </w:r>
          </w:p>
        </w:tc>
        <w:tc>
          <w:tcPr>
            <w:tcW w:w="1718" w:type="dxa"/>
            <w:vAlign w:val="center"/>
          </w:tcPr>
          <w:p w14:paraId="62B115BF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70/108 (64.8)</w:t>
            </w:r>
          </w:p>
        </w:tc>
        <w:tc>
          <w:tcPr>
            <w:tcW w:w="1819" w:type="dxa"/>
            <w:vAlign w:val="center"/>
          </w:tcPr>
          <w:p w14:paraId="3E9C1FEC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11/155 (7.1)</w:t>
            </w:r>
          </w:p>
        </w:tc>
        <w:tc>
          <w:tcPr>
            <w:tcW w:w="1951" w:type="dxa"/>
            <w:vAlign w:val="center"/>
          </w:tcPr>
          <w:p w14:paraId="06816AEB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24.12 [11.63 to 50.01]</w:t>
            </w:r>
          </w:p>
        </w:tc>
        <w:tc>
          <w:tcPr>
            <w:tcW w:w="1575" w:type="dxa"/>
            <w:vAlign w:val="center"/>
          </w:tcPr>
          <w:p w14:paraId="2DEF661B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&lt;0.001</w:t>
            </w:r>
          </w:p>
        </w:tc>
      </w:tr>
      <w:tr w:rsidR="009027FB" w:rsidRPr="009027FB" w14:paraId="4E9A85F4" w14:textId="77777777" w:rsidTr="005C17A9">
        <w:tc>
          <w:tcPr>
            <w:tcW w:w="2860" w:type="dxa"/>
            <w:vAlign w:val="center"/>
          </w:tcPr>
          <w:p w14:paraId="5852FE18" w14:textId="77777777" w:rsidR="009027FB" w:rsidRPr="009027FB" w:rsidRDefault="009027FB" w:rsidP="009027FB">
            <w:pPr>
              <w:spacing w:after="0" w:line="276" w:lineRule="auto"/>
              <w:ind w:left="708"/>
              <w:jc w:val="both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Incision (ref. = totally minimally invasive)</w:t>
            </w:r>
          </w:p>
        </w:tc>
        <w:tc>
          <w:tcPr>
            <w:tcW w:w="1718" w:type="dxa"/>
            <w:vAlign w:val="center"/>
          </w:tcPr>
          <w:p w14:paraId="02EAB198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</w:p>
        </w:tc>
        <w:tc>
          <w:tcPr>
            <w:tcW w:w="1819" w:type="dxa"/>
            <w:vAlign w:val="center"/>
          </w:tcPr>
          <w:p w14:paraId="00ABC3A7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</w:p>
        </w:tc>
        <w:tc>
          <w:tcPr>
            <w:tcW w:w="1951" w:type="dxa"/>
            <w:vAlign w:val="center"/>
          </w:tcPr>
          <w:p w14:paraId="587D9052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</w:p>
        </w:tc>
        <w:tc>
          <w:tcPr>
            <w:tcW w:w="1575" w:type="dxa"/>
            <w:vAlign w:val="center"/>
          </w:tcPr>
          <w:p w14:paraId="64168288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</w:p>
        </w:tc>
      </w:tr>
      <w:tr w:rsidR="009027FB" w:rsidRPr="009027FB" w14:paraId="2CFA194F" w14:textId="77777777" w:rsidTr="005C17A9">
        <w:tc>
          <w:tcPr>
            <w:tcW w:w="2860" w:type="dxa"/>
            <w:vAlign w:val="center"/>
          </w:tcPr>
          <w:p w14:paraId="1911C6B9" w14:textId="77777777" w:rsidR="009027FB" w:rsidRPr="009027FB" w:rsidRDefault="009027FB" w:rsidP="009027FB">
            <w:pPr>
              <w:spacing w:after="0" w:line="276" w:lineRule="auto"/>
              <w:ind w:left="708"/>
              <w:jc w:val="both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 xml:space="preserve">     Hybrid    </w:t>
            </w:r>
          </w:p>
        </w:tc>
        <w:tc>
          <w:tcPr>
            <w:tcW w:w="1718" w:type="dxa"/>
            <w:vAlign w:val="center"/>
          </w:tcPr>
          <w:p w14:paraId="5A015BF5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15/115 (13.0)</w:t>
            </w:r>
          </w:p>
        </w:tc>
        <w:tc>
          <w:tcPr>
            <w:tcW w:w="1819" w:type="dxa"/>
            <w:vAlign w:val="center"/>
          </w:tcPr>
          <w:p w14:paraId="01319B0D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15/160 (9.4)</w:t>
            </w:r>
          </w:p>
        </w:tc>
        <w:tc>
          <w:tcPr>
            <w:tcW w:w="1951" w:type="dxa"/>
            <w:vAlign w:val="center"/>
          </w:tcPr>
          <w:p w14:paraId="6715FB6A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1.57 [0.73 to 3.38]</w:t>
            </w:r>
          </w:p>
        </w:tc>
        <w:tc>
          <w:tcPr>
            <w:tcW w:w="1575" w:type="dxa"/>
            <w:vAlign w:val="center"/>
          </w:tcPr>
          <w:p w14:paraId="515B0C77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0.24</w:t>
            </w:r>
          </w:p>
        </w:tc>
      </w:tr>
      <w:tr w:rsidR="009027FB" w:rsidRPr="009027FB" w14:paraId="2B003A4C" w14:textId="77777777" w:rsidTr="005C17A9">
        <w:tc>
          <w:tcPr>
            <w:tcW w:w="2860" w:type="dxa"/>
            <w:vAlign w:val="center"/>
          </w:tcPr>
          <w:p w14:paraId="11A9AAA4" w14:textId="77777777" w:rsidR="009027FB" w:rsidRPr="009027FB" w:rsidRDefault="009027FB" w:rsidP="009027FB">
            <w:pPr>
              <w:spacing w:after="0" w:line="276" w:lineRule="auto"/>
              <w:ind w:left="708"/>
              <w:jc w:val="both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 xml:space="preserve">     Open</w:t>
            </w:r>
          </w:p>
        </w:tc>
        <w:tc>
          <w:tcPr>
            <w:tcW w:w="1718" w:type="dxa"/>
            <w:vAlign w:val="center"/>
          </w:tcPr>
          <w:p w14:paraId="35041F3C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13/115 (11.3)</w:t>
            </w:r>
          </w:p>
        </w:tc>
        <w:tc>
          <w:tcPr>
            <w:tcW w:w="1819" w:type="dxa"/>
            <w:vAlign w:val="center"/>
          </w:tcPr>
          <w:p w14:paraId="7A2F0979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8/160 (5.0)</w:t>
            </w:r>
          </w:p>
        </w:tc>
        <w:tc>
          <w:tcPr>
            <w:tcW w:w="1951" w:type="dxa"/>
            <w:vAlign w:val="center"/>
          </w:tcPr>
          <w:p w14:paraId="798B6E80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2.56 [1.02 to 6.43]</w:t>
            </w:r>
          </w:p>
        </w:tc>
        <w:tc>
          <w:tcPr>
            <w:tcW w:w="1575" w:type="dxa"/>
            <w:vAlign w:val="center"/>
          </w:tcPr>
          <w:p w14:paraId="751B14F7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0.046</w:t>
            </w:r>
          </w:p>
        </w:tc>
      </w:tr>
      <w:tr w:rsidR="009027FB" w:rsidRPr="009027FB" w14:paraId="3422A520" w14:textId="77777777" w:rsidTr="005C17A9">
        <w:tc>
          <w:tcPr>
            <w:tcW w:w="2860" w:type="dxa"/>
            <w:tcBorders>
              <w:bottom w:val="single" w:sz="4" w:space="0" w:color="auto"/>
            </w:tcBorders>
            <w:vAlign w:val="center"/>
          </w:tcPr>
          <w:p w14:paraId="42C9451C" w14:textId="77777777" w:rsidR="009027FB" w:rsidRPr="009027FB" w:rsidRDefault="009027FB" w:rsidP="009027FB">
            <w:pPr>
              <w:spacing w:after="0" w:line="276" w:lineRule="auto"/>
              <w:ind w:left="708"/>
              <w:jc w:val="both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Age (per one-year)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14:paraId="3E6D124C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61.7 ± 10.9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7963C041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65.1 ± 9.5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2D364DE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0.97 [0.95 to 0.99]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02D157D1" w14:textId="77777777" w:rsidR="009027FB" w:rsidRPr="009027FB" w:rsidRDefault="009027FB" w:rsidP="009027FB">
            <w:pPr>
              <w:spacing w:after="0" w:line="276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9027FB">
              <w:rPr>
                <w:rFonts w:ascii="Aptos" w:hAnsi="Aptos"/>
                <w:sz w:val="22"/>
                <w:lang w:val="en-US"/>
              </w:rPr>
              <w:t>0.008</w:t>
            </w:r>
          </w:p>
        </w:tc>
      </w:tr>
    </w:tbl>
    <w:p w14:paraId="30258FF1" w14:textId="77777777" w:rsidR="009027FB" w:rsidRPr="009027FB" w:rsidRDefault="009027FB" w:rsidP="009027FB">
      <w:pPr>
        <w:spacing w:line="480" w:lineRule="auto"/>
        <w:jc w:val="both"/>
        <w:rPr>
          <w:sz w:val="20"/>
          <w:szCs w:val="20"/>
          <w:lang w:val="en-US"/>
        </w:rPr>
      </w:pPr>
      <w:r w:rsidRPr="009027FB">
        <w:rPr>
          <w:sz w:val="20"/>
          <w:szCs w:val="20"/>
        </w:rPr>
        <w:t xml:space="preserve">* available on 259 patients. </w:t>
      </w:r>
      <w:r w:rsidRPr="009027FB">
        <w:rPr>
          <w:rFonts w:ascii="Aptos" w:hAnsi="Aptos"/>
          <w:sz w:val="20"/>
          <w:szCs w:val="20"/>
          <w:vertAlign w:val="superscript"/>
        </w:rPr>
        <w:t>£</w:t>
      </w:r>
      <w:r w:rsidRPr="009027FB">
        <w:rPr>
          <w:rFonts w:ascii="Aptos" w:hAnsi="Aptos"/>
          <w:sz w:val="20"/>
          <w:szCs w:val="20"/>
        </w:rPr>
        <w:t xml:space="preserve"> available on 251 patients</w:t>
      </w:r>
      <w:r w:rsidRPr="009027FB">
        <w:rPr>
          <w:sz w:val="20"/>
          <w:szCs w:val="20"/>
        </w:rPr>
        <w:t xml:space="preserve">. </w:t>
      </w:r>
      <w:r w:rsidRPr="009027FB">
        <w:rPr>
          <w:rFonts w:ascii="Aptos" w:hAnsi="Aptos"/>
          <w:sz w:val="20"/>
          <w:szCs w:val="20"/>
          <w:vertAlign w:val="superscript"/>
          <w:lang w:val="en-US"/>
        </w:rPr>
        <w:t>$</w:t>
      </w:r>
      <w:r w:rsidRPr="009027FB">
        <w:rPr>
          <w:rFonts w:ascii="Aptos" w:hAnsi="Aptos"/>
          <w:sz w:val="20"/>
          <w:szCs w:val="20"/>
          <w:lang w:val="en-US"/>
        </w:rPr>
        <w:t xml:space="preserve"> available on 248 patients</w:t>
      </w:r>
      <w:r w:rsidRPr="009027FB">
        <w:rPr>
          <w:sz w:val="20"/>
          <w:szCs w:val="20"/>
          <w:lang w:val="en-US"/>
        </w:rPr>
        <w:t xml:space="preserve">. </w:t>
      </w:r>
      <w:r w:rsidRPr="009027FB">
        <w:rPr>
          <w:rFonts w:ascii="Aptos" w:hAnsi="Aptos"/>
          <w:sz w:val="20"/>
          <w:szCs w:val="20"/>
          <w:vertAlign w:val="superscript"/>
          <w:lang w:val="en-US"/>
        </w:rPr>
        <w:t>&amp;</w:t>
      </w:r>
      <w:r w:rsidRPr="009027FB">
        <w:rPr>
          <w:rFonts w:ascii="Aptos" w:hAnsi="Aptos"/>
          <w:sz w:val="20"/>
          <w:szCs w:val="20"/>
          <w:lang w:val="en-US"/>
        </w:rPr>
        <w:t xml:space="preserve"> available on 263 patients.</w:t>
      </w:r>
    </w:p>
    <w:p w14:paraId="2C0FE226" w14:textId="77777777" w:rsidR="009027FB" w:rsidRPr="009027FB" w:rsidRDefault="009027FB" w:rsidP="009027FB">
      <w:pPr>
        <w:spacing w:line="480" w:lineRule="auto"/>
        <w:jc w:val="both"/>
        <w:rPr>
          <w:sz w:val="20"/>
          <w:szCs w:val="20"/>
          <w:lang w:val="en-US"/>
        </w:rPr>
      </w:pPr>
      <w:r w:rsidRPr="009027FB">
        <w:rPr>
          <w:sz w:val="20"/>
          <w:szCs w:val="20"/>
          <w:lang w:val="en-US"/>
        </w:rPr>
        <w:t xml:space="preserve">Abbrevations : ref.= reference; OR = odds-ratio; CI : confidence interval, POD1 = performed within one hour after extubation. </w:t>
      </w:r>
    </w:p>
    <w:p w14:paraId="18C891E2" w14:textId="6FEAC551" w:rsidR="00A22891" w:rsidRDefault="00A22891"/>
    <w:sectPr w:rsidR="00A22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FB"/>
    <w:rsid w:val="000D4D1C"/>
    <w:rsid w:val="002E5B33"/>
    <w:rsid w:val="00412674"/>
    <w:rsid w:val="004B538D"/>
    <w:rsid w:val="00652F8F"/>
    <w:rsid w:val="007B29C0"/>
    <w:rsid w:val="009027FB"/>
    <w:rsid w:val="00A22891"/>
    <w:rsid w:val="00C824A5"/>
    <w:rsid w:val="00D4747B"/>
    <w:rsid w:val="00E5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18E4"/>
  <w15:chartTrackingRefBased/>
  <w15:docId w15:val="{FD515616-A8F8-41E6-BFCD-548D385C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2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2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2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2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2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2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2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2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2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2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2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2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27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27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27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27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27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27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2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2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2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2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2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27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27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27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2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27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2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CIRENEI Cedric</dc:creator>
  <cp:keywords/>
  <dc:description/>
  <cp:lastModifiedBy>CIRENEI Cedric</cp:lastModifiedBy>
  <cp:revision>1</cp:revision>
  <dcterms:created xsi:type="dcterms:W3CDTF">2026-02-06T20:19:00Z</dcterms:created>
  <dcterms:modified xsi:type="dcterms:W3CDTF">2026-02-06T20:20:00Z</dcterms:modified>
</cp:coreProperties>
</file>