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A288F" w14:textId="5BB80622" w:rsidR="006B25BE" w:rsidRDefault="006B25BE" w:rsidP="006B25BE">
      <w:pPr>
        <w:rPr>
          <w:b/>
          <w:sz w:val="28"/>
          <w:lang w:val="en-GB"/>
        </w:rPr>
      </w:pPr>
      <w:r>
        <w:rPr>
          <w:b/>
          <w:sz w:val="28"/>
          <w:lang w:val="en-GB"/>
        </w:rPr>
        <w:t>Supplementary material for</w:t>
      </w:r>
    </w:p>
    <w:p w14:paraId="49E50FFB" w14:textId="735160D2" w:rsidR="008308E9" w:rsidRDefault="008308E9" w:rsidP="006B25BE">
      <w:pPr>
        <w:rPr>
          <w:b/>
          <w:sz w:val="28"/>
          <w:lang w:val="en-GB"/>
        </w:rPr>
      </w:pPr>
      <w:r w:rsidRPr="008308E9">
        <w:rPr>
          <w:b/>
          <w:sz w:val="28"/>
          <w:lang w:val="en-GB"/>
        </w:rPr>
        <w:t>Making drawings speak through mathematical metrics.</w:t>
      </w:r>
    </w:p>
    <w:p w14:paraId="24AB21B5" w14:textId="688177FD" w:rsidR="006B25BE" w:rsidRPr="008308E9" w:rsidRDefault="006B25BE" w:rsidP="006B25BE">
      <w:r w:rsidRPr="008308E9">
        <w:t>Cédric Sueur</w:t>
      </w:r>
      <w:r w:rsidRPr="008308E9">
        <w:rPr>
          <w:vertAlign w:val="superscript"/>
        </w:rPr>
        <w:t>1,2</w:t>
      </w:r>
      <w:r w:rsidRPr="008308E9">
        <w:t>, Lison Martinet</w:t>
      </w:r>
      <w:r w:rsidRPr="008308E9">
        <w:rPr>
          <w:vertAlign w:val="superscript"/>
        </w:rPr>
        <w:t>1</w:t>
      </w:r>
      <w:r w:rsidRPr="008308E9">
        <w:t>, Benjamin Beltzung</w:t>
      </w:r>
      <w:r w:rsidRPr="008308E9">
        <w:rPr>
          <w:vertAlign w:val="superscript"/>
        </w:rPr>
        <w:t>1</w:t>
      </w:r>
      <w:r w:rsidRPr="008308E9">
        <w:t>, Marie Pelé</w:t>
      </w:r>
      <w:r w:rsidRPr="008308E9">
        <w:rPr>
          <w:vertAlign w:val="superscript"/>
        </w:rPr>
        <w:t>3</w:t>
      </w:r>
    </w:p>
    <w:p w14:paraId="5438E25D" w14:textId="77777777" w:rsidR="006B25BE" w:rsidRPr="00DB5E7E" w:rsidRDefault="006B25BE" w:rsidP="006B25BE">
      <w:r w:rsidRPr="00DB5E7E">
        <w:t>1: Université de Strasbourg, CNRS, IPHC UMR 7178, Strasbourg, France</w:t>
      </w:r>
    </w:p>
    <w:p w14:paraId="2550D9CF" w14:textId="77777777" w:rsidR="006B25BE" w:rsidRPr="00DB5E7E" w:rsidRDefault="006B25BE" w:rsidP="006B25BE">
      <w:r w:rsidRPr="00DB5E7E">
        <w:t>2: Institut Universitaire de France, Paris, France</w:t>
      </w:r>
    </w:p>
    <w:p w14:paraId="29C0B3BD" w14:textId="1D451A6B" w:rsidR="006B25BE" w:rsidRPr="005D0981" w:rsidRDefault="006B25BE" w:rsidP="006B25BE">
      <w:r w:rsidRPr="005D0981">
        <w:t>3 : Anthropo-Lab, ETHICS</w:t>
      </w:r>
      <w:r w:rsidR="00670296" w:rsidRPr="005D0981">
        <w:t> </w:t>
      </w:r>
      <w:r w:rsidRPr="005D0981">
        <w:t>EA7446, Lille Catholic University</w:t>
      </w:r>
      <w:r w:rsidR="003D63D7" w:rsidRPr="005D0981">
        <w:t>, Lille, France</w:t>
      </w:r>
    </w:p>
    <w:p w14:paraId="60BC35D2" w14:textId="3A16057D" w:rsidR="006B25BE" w:rsidRPr="00136219" w:rsidRDefault="006B25BE" w:rsidP="006B25BE">
      <w:r w:rsidRPr="00136219">
        <w:t>Corresponding author: Cédric Sueur, cedric.sueur@iphc.cnrs.fr; IPHC UMR</w:t>
      </w:r>
      <w:r w:rsidR="00670296" w:rsidRPr="00136219">
        <w:t> </w:t>
      </w:r>
      <w:r w:rsidRPr="00136219">
        <w:t>7178, 23 rue Becquerel</w:t>
      </w:r>
      <w:r w:rsidR="00670296" w:rsidRPr="00136219">
        <w:t> </w:t>
      </w:r>
      <w:r w:rsidRPr="00136219">
        <w:t>67087 Strasbourg, France</w:t>
      </w:r>
    </w:p>
    <w:p w14:paraId="2F69A32A" w14:textId="77777777" w:rsidR="007A07FF" w:rsidRPr="00136219" w:rsidRDefault="007A07FF"/>
    <w:p w14:paraId="02A54EFD" w14:textId="6B81ED5B" w:rsidR="006B25BE" w:rsidRPr="00136219" w:rsidRDefault="006B25BE"/>
    <w:p w14:paraId="727BBBA9" w14:textId="0FDB2920" w:rsidR="00991E95" w:rsidRPr="00136219" w:rsidRDefault="00991E95"/>
    <w:p w14:paraId="65C5654C" w14:textId="23FC4F86" w:rsidR="00991E95" w:rsidRDefault="00991E95">
      <w:pPr>
        <w:rPr>
          <w:b/>
          <w:lang w:val="en-GB"/>
        </w:rPr>
      </w:pPr>
      <w:r w:rsidRPr="00991E95">
        <w:rPr>
          <w:b/>
          <w:lang w:val="en-GB"/>
        </w:rPr>
        <w:t xml:space="preserve">Details about metrics, their calculation </w:t>
      </w:r>
      <w:r w:rsidR="005664A7">
        <w:rPr>
          <w:b/>
          <w:lang w:val="en-GB"/>
        </w:rPr>
        <w:t xml:space="preserve">and </w:t>
      </w:r>
      <w:r w:rsidR="00670296">
        <w:rPr>
          <w:b/>
          <w:lang w:val="en-GB"/>
        </w:rPr>
        <w:t xml:space="preserve">a </w:t>
      </w:r>
      <w:r w:rsidR="00993F77">
        <w:rPr>
          <w:b/>
          <w:lang w:val="en-GB"/>
        </w:rPr>
        <w:t xml:space="preserve">value </w:t>
      </w:r>
      <w:r w:rsidRPr="00991E95">
        <w:rPr>
          <w:b/>
          <w:lang w:val="en-GB"/>
        </w:rPr>
        <w:t>range for each instruction</w:t>
      </w:r>
      <w:r w:rsidR="005664A7">
        <w:rPr>
          <w:b/>
          <w:lang w:val="en-GB"/>
        </w:rPr>
        <w:t xml:space="preserve"> in </w:t>
      </w:r>
      <w:r w:rsidRPr="00991E95">
        <w:rPr>
          <w:b/>
          <w:lang w:val="en-GB"/>
        </w:rPr>
        <w:t>dataset#1</w:t>
      </w:r>
    </w:p>
    <w:p w14:paraId="47A4CBEA" w14:textId="314ED30A" w:rsidR="00C801EB" w:rsidRDefault="00C801EB">
      <w:pPr>
        <w:rPr>
          <w:b/>
          <w:lang w:val="en-GB"/>
        </w:rPr>
      </w:pPr>
      <w:r>
        <w:rPr>
          <w:b/>
          <w:lang w:val="en-GB"/>
        </w:rPr>
        <w:t xml:space="preserve">1. </w:t>
      </w:r>
      <w:r>
        <w:rPr>
          <w:rFonts w:cstheme="minorHAnsi"/>
          <w:b/>
          <w:lang w:val="en-GB"/>
        </w:rPr>
        <w:t>μ</w:t>
      </w:r>
      <w:r w:rsidR="005664A7">
        <w:rPr>
          <w:b/>
          <w:lang w:val="en-GB"/>
        </w:rPr>
        <w:t>MLE</w:t>
      </w:r>
    </w:p>
    <w:p w14:paraId="7FAC61E8" w14:textId="355AE40E" w:rsidR="00C801EB" w:rsidRDefault="000C04D0" w:rsidP="00C801EB">
      <w:pPr>
        <w:rPr>
          <w:lang w:val="en-GB"/>
        </w:rPr>
      </w:pPr>
      <w:r>
        <w:rPr>
          <w:lang w:val="en-GB"/>
        </w:rPr>
        <w:t xml:space="preserve">Details about the use of this metric for drawing analysis are developed and detailed in </w:t>
      </w:r>
      <w:r>
        <w:rPr>
          <w:lang w:val="en-GB"/>
        </w:rPr>
        <w:t>Martinet et al. (2021)</w:t>
      </w:r>
      <w:r>
        <w:rPr>
          <w:lang w:val="en-GB"/>
        </w:rPr>
        <w:fldChar w:fldCharType="begin"/>
      </w:r>
      <w:r>
        <w:rPr>
          <w:lang w:val="en-GB"/>
        </w:rPr>
        <w:instrText xml:space="preserve"> ADDIN ZOTERO_ITEM CSL_CITATION {"citationID":"EwXeGwJN","properties":{"formattedCitation":"\\super 1\\nosupersub{}","plainCitation":"1","noteIndex":0},"citationItems":[{"id":6750,"uris":["http://zotero.org/users/289520/items/GJX5EH8J"],"uri":["http://zotero.org/users/289520/items/GJX5EH8J"],"itemData":{"id":6750,"type":"article-journal","abstract":"Techniques used in cave art suggest that drawing skills emerged long before the oldest known representative human productions (44,000 years bc). This study seeks to improve our knowledge of the evolutionary origins and the ontogenetic development of drawing behavior by studying drawings of humans (N = 178, 3- to 10-year-old children and adults) and chimpanzees (N = 5). Drawings were characterized with an innovative index based on spatial measures which provides the degree of efficiency for the lines that are drawn. Results showed that this index was lowest in chimpanzees, increased and reached its maximum between 5-year-old and 10-year-old children and decreased in adults, whose drawing efficiency was reduced by the addition of details. Drawings of chimpanzees are not random suggesting that their movements are constrained by cognitive or locomotor aspect and we cannot conclude to the absence of representativeness. We also used indices based on colors and time and asked children about what they drew. These indices can be considered relevant tools to improve our understanding of drawing development and evolution in hominids.","container-title":"Scientific Reports","DOI":"10.1038/s41598-021-83043-0","ISSN":"2045-2322","issue":"1","language":"en","note":"number: 1\npublisher: Nature Publishing Group","page":"3860","source":"www.nature.com","title":"New indices to characterize drawing behavior in humans ( Homo sapiens ) and chimpanzees ( Pan troglodytes )","volume":"11","author":[{"family":"Martinet","given":"Lison"},{"family":"Sueur","given":"Cédric"},{"family":"Hirata","given":"Satoshi"},{"family":"Hosselet","given":"Jérôme"},{"family":"Matsuzawa","given":"Tetsuro"},{"family":"Pelé","given":"Marie"}],"issued":{"date-parts":[["2021",2,16]]}}}],"schema":"https://github.com/citation-style-language/schema/raw/master/csl-citation.json"} </w:instrText>
      </w:r>
      <w:r>
        <w:rPr>
          <w:lang w:val="en-GB"/>
        </w:rPr>
        <w:fldChar w:fldCharType="separate"/>
      </w:r>
      <w:r w:rsidRPr="000C04D0">
        <w:rPr>
          <w:rFonts w:ascii="Calibri" w:hAnsi="Calibri" w:cs="Calibri"/>
          <w:szCs w:val="24"/>
          <w:vertAlign w:val="superscript"/>
          <w:lang w:val="en-US"/>
        </w:rPr>
        <w:t>1</w:t>
      </w:r>
      <w:r>
        <w:rPr>
          <w:lang w:val="en-GB"/>
        </w:rPr>
        <w:fldChar w:fldCharType="end"/>
      </w:r>
      <w:r>
        <w:rPr>
          <w:lang w:val="en-GB"/>
        </w:rPr>
        <w:t xml:space="preserve">. </w:t>
      </w:r>
      <w:r w:rsidR="00C801EB" w:rsidRPr="00C801EB">
        <w:rPr>
          <w:lang w:val="en-GB"/>
        </w:rPr>
        <w:t>μ</w:t>
      </w:r>
      <w:r w:rsidR="005664A7">
        <w:rPr>
          <w:lang w:val="en-GB"/>
        </w:rPr>
        <w:t>MLE</w:t>
      </w:r>
      <w:r w:rsidR="00C801EB" w:rsidRPr="00C801EB">
        <w:rPr>
          <w:lang w:val="en-GB"/>
        </w:rPr>
        <w:t xml:space="preserve"> </w:t>
      </w:r>
      <w:r w:rsidR="00C801EB">
        <w:rPr>
          <w:lang w:val="en-GB"/>
        </w:rPr>
        <w:t xml:space="preserve">is the maximum likelihood exponent </w:t>
      </w:r>
      <w:r w:rsidR="005664A7">
        <w:rPr>
          <w:lang w:val="en-GB"/>
        </w:rPr>
        <w:t xml:space="preserve">that results </w:t>
      </w:r>
      <w:r w:rsidR="00C801EB">
        <w:rPr>
          <w:lang w:val="en-GB"/>
        </w:rPr>
        <w:t xml:space="preserve">from the analyses of the </w:t>
      </w:r>
      <w:r w:rsidR="005664A7">
        <w:rPr>
          <w:lang w:val="en-GB"/>
        </w:rPr>
        <w:t xml:space="preserve">drawing-line length </w:t>
      </w:r>
      <w:r w:rsidR="00C801EB">
        <w:rPr>
          <w:lang w:val="en-GB"/>
        </w:rPr>
        <w:t xml:space="preserve">distribution. This analysis </w:t>
      </w:r>
      <w:r w:rsidR="005664A7">
        <w:rPr>
          <w:lang w:val="en-GB"/>
        </w:rPr>
        <w:t xml:space="preserve">originates </w:t>
      </w:r>
      <w:r w:rsidR="00C801EB">
        <w:rPr>
          <w:lang w:val="en-GB"/>
        </w:rPr>
        <w:t xml:space="preserve">from </w:t>
      </w:r>
      <w:r w:rsidR="005664A7">
        <w:rPr>
          <w:lang w:val="en-GB"/>
        </w:rPr>
        <w:t xml:space="preserve">the </w:t>
      </w:r>
      <w:r w:rsidR="00C801EB">
        <w:rPr>
          <w:lang w:val="en-GB"/>
        </w:rPr>
        <w:t xml:space="preserve">random walk or Lévy walk theory </w:t>
      </w:r>
      <w:r w:rsidR="00C801EB">
        <w:rPr>
          <w:lang w:val="en-GB"/>
        </w:rPr>
        <w:fldChar w:fldCharType="begin"/>
      </w:r>
      <w:r>
        <w:rPr>
          <w:lang w:val="en-GB"/>
        </w:rPr>
        <w:instrText xml:space="preserve"> ADDIN ZOTERO_ITEM CSL_CITATION {"citationID":"upVnynev","properties":{"formattedCitation":"\\super 2,3\\nosupersub{}","plainCitation":"2,3","noteIndex":0},"citationItems":[{"id":333,"uris":["http://zotero.org/users/289520/items/AXP6RJBG"],"uri":["http://zotero.org/users/289520/items/AXP6RJBG"],"itemData":{"id":333,"type":"article-journal","abstract":"The Lévy walk is found from amoebas to humans and has been described as the optimal strategy for food research. Recent results, however, have generated controversy about this conclusion since animals also display alternatives to the Lévy walk such as the Brownian walk or mental maps and because movement patterns found in some species only seem to depend on food patches distribution. Here I show that movement patterns of chacma baboons do not follow a Lévy walk but a Brownian process. Moreover this Brownian walk is not the main process responsible for movement patterns of baboons. Findings about their speed and trajectories show that baboons use metal maps and memory to find resources. Thus the Brownian process found in this species appears to be more dependent on the environment or might be an alternative when known food patches are depleted and when animals have to find new resources.","container-title":"PLoS ONE","DOI":"10.1371/journal.pone.0016131","issue":"1","journalAbbreviation":"PLoS One","note":"PMID: 21249200\nPMCID: 3020952","page":"e16131","source":"PubMed Central","title":"A Non-Lévy Random Walk in Chacma Baboons: What Does It Mean?","title-short":"A Non-Lévy Random Walk in Chacma Baboons","volume":"6","author":[{"family":"Sueur","given":"Cédric"}],"issued":{"date-parts":[["2011"]]}}},{"id":856,"uris":["http://zotero.org/users/289520/items/S66IA9T5"],"uri":["http://zotero.org/users/289520/items/S66IA9T5"],"itemData":{"id":856,"type":"article-journal","abstract":"Animals adapt their movement patterns to their environment in order to maximize their efficiency when searching for food. The Lévy walk and the Brownian walk are two types of random movement found in different species. Studies have shown that these random movements can switch from a Brownian to a Lévy walk according to the size distribution of food patches. However no study to date has analysed how characteristics such as sex, age, dominance or body mass affect the movement patterns of an individual. In this study we used the maximum likelihood method to examine the nature of the distribution of step lengths and waiting times and assessed how these distributions are influenced by the age and the sex of group members in a semi free-ranging group of ten Tonkean macaques. Individuals highly differed in their activity budget and in their movement patterns. We found an effect of age and sex of individuals on the power distribution of their step lengths and of their waiting times. The males and old individuals displayed a higher proportion of longer trajectories than females and young ones. As regards waiting times, females and old individuals displayed higher rates of long stationary periods than males and young individuals. These movement patterns resembling random walks can probably be explained by the animals moving from one location to other known locations. The power distribution of step lengths might be due to a power distribution of food patches in the enclosure while the power distribution of waiting times might be due to the power distribution of the patch sizes.","container-title":"PLoS ONE","DOI":"10.1371/journal.pone.0026788","issue":"10","journalAbbreviation":"PLoS ONE","page":"e26788","source":"PLoS ONE","title":"Individual Analyses of Lévy Walk in Semi-Free Ranging Tonkean Macaques (Macaca tonkeana)","volume":"6","author":[{"family":"Sueur","given":"Cédric"},{"family":"Briard","given":"Léa"},{"family":"Petit","given":"Odile"}],"issued":{"date-parts":[["2011",10,26]]}}}],"schema":"https://github.com/citation-style-language/schema/raw/master/csl-citation.json"} </w:instrText>
      </w:r>
      <w:r w:rsidR="00C801EB">
        <w:rPr>
          <w:lang w:val="en-GB"/>
        </w:rPr>
        <w:fldChar w:fldCharType="separate"/>
      </w:r>
      <w:r w:rsidRPr="000C04D0">
        <w:rPr>
          <w:rFonts w:ascii="Calibri" w:hAnsi="Calibri" w:cs="Calibri"/>
          <w:szCs w:val="24"/>
          <w:vertAlign w:val="superscript"/>
        </w:rPr>
        <w:t>2,3</w:t>
      </w:r>
      <w:r w:rsidR="00C801EB">
        <w:rPr>
          <w:lang w:val="en-GB"/>
        </w:rPr>
        <w:fldChar w:fldCharType="end"/>
      </w:r>
      <w:r w:rsidR="00C801EB">
        <w:rPr>
          <w:lang w:val="en-GB"/>
        </w:rPr>
        <w:t xml:space="preserve">. </w:t>
      </w:r>
      <w:r w:rsidR="00C801EB" w:rsidRPr="00C801EB">
        <w:rPr>
          <w:lang w:val="en-GB"/>
        </w:rPr>
        <w:t>The random walk analysis determines whether the distribution of</w:t>
      </w:r>
      <w:r w:rsidR="00C801EB">
        <w:rPr>
          <w:lang w:val="en-GB"/>
        </w:rPr>
        <w:t xml:space="preserve"> </w:t>
      </w:r>
      <w:r w:rsidR="00C801EB" w:rsidRPr="00C801EB">
        <w:rPr>
          <w:lang w:val="en-GB"/>
        </w:rPr>
        <w:t xml:space="preserve">drawing lines follows a power law or an exponential law. If the distribution follows an exponential law, we expect the drawing to be random, meaning that the individual who is drawing </w:t>
      </w:r>
      <w:r w:rsidR="005664A7">
        <w:rPr>
          <w:lang w:val="en-GB"/>
        </w:rPr>
        <w:t xml:space="preserve">does not </w:t>
      </w:r>
      <w:r w:rsidR="00C801EB" w:rsidRPr="00C801EB">
        <w:rPr>
          <w:lang w:val="en-GB"/>
        </w:rPr>
        <w:t>inten</w:t>
      </w:r>
      <w:r w:rsidR="005664A7">
        <w:rPr>
          <w:lang w:val="en-GB"/>
        </w:rPr>
        <w:t>d to</w:t>
      </w:r>
      <w:r w:rsidR="00C801EB" w:rsidRPr="00C801EB">
        <w:rPr>
          <w:lang w:val="en-GB"/>
        </w:rPr>
        <w:t xml:space="preserve"> represent any</w:t>
      </w:r>
      <w:r w:rsidR="005664A7">
        <w:rPr>
          <w:lang w:val="en-GB"/>
        </w:rPr>
        <w:t xml:space="preserve"> specific </w:t>
      </w:r>
      <w:r w:rsidR="00C801EB" w:rsidRPr="00C801EB">
        <w:rPr>
          <w:lang w:val="en-GB"/>
        </w:rPr>
        <w:t xml:space="preserve">thing. </w:t>
      </w:r>
      <w:r w:rsidR="005664A7">
        <w:rPr>
          <w:lang w:val="en-GB"/>
        </w:rPr>
        <w:t>In contrast,</w:t>
      </w:r>
      <w:r w:rsidR="00C801EB" w:rsidRPr="00C801EB">
        <w:rPr>
          <w:lang w:val="en-GB"/>
        </w:rPr>
        <w:t xml:space="preserve"> a power distribution should reflect a non-random and oriented </w:t>
      </w:r>
      <w:r w:rsidR="00AF0AA2" w:rsidRPr="00C801EB">
        <w:rPr>
          <w:lang w:val="en-GB"/>
        </w:rPr>
        <w:t>behaviour</w:t>
      </w:r>
      <w:r w:rsidR="00C801EB" w:rsidRPr="00C801EB">
        <w:rPr>
          <w:lang w:val="en-GB"/>
        </w:rPr>
        <w:t>, as found for the daily paths of animals in their natural</w:t>
      </w:r>
      <w:r w:rsidR="00C801EB">
        <w:rPr>
          <w:lang w:val="en-GB"/>
        </w:rPr>
        <w:t xml:space="preserve"> </w:t>
      </w:r>
      <w:r w:rsidR="00C801EB" w:rsidRPr="00C801EB">
        <w:rPr>
          <w:lang w:val="en-GB"/>
        </w:rPr>
        <w:t>environments (i.e. goal-orie</w:t>
      </w:r>
      <w:r w:rsidR="00C801EB">
        <w:rPr>
          <w:lang w:val="en-GB"/>
        </w:rPr>
        <w:t xml:space="preserve">nted and efficient movements </w:t>
      </w:r>
      <w:r w:rsidR="00C801EB">
        <w:rPr>
          <w:lang w:val="en-GB"/>
        </w:rPr>
        <w:fldChar w:fldCharType="begin"/>
      </w:r>
      <w:r>
        <w:rPr>
          <w:lang w:val="en-GB"/>
        </w:rPr>
        <w:instrText xml:space="preserve"> ADDIN ZOTERO_ITEM CSL_CITATION {"citationID":"Kx3ALBup","properties":{"formattedCitation":"\\super 2,3\\nosupersub{}","plainCitation":"2,3","noteIndex":0},"citationItems":[{"id":333,"uris":["http://zotero.org/users/289520/items/AXP6RJBG"],"uri":["http://zotero.org/users/289520/items/AXP6RJBG"],"itemData":{"id":333,"type":"article-journal","abstract":"The Lévy walk is found from amoebas to humans and has been described as the optimal strategy for food research. Recent results, however, have generated controversy about this conclusion since animals also display alternatives to the Lévy walk such as the Brownian walk or mental maps and because movement patterns found in some species only seem to depend on food patches distribution. Here I show that movement patterns of chacma baboons do not follow a Lévy walk but a Brownian process. Moreover this Brownian walk is not the main process responsible for movement patterns of baboons. Findings about their speed and trajectories show that baboons use metal maps and memory to find resources. Thus the Brownian process found in this species appears to be more dependent on the environment or might be an alternative when known food patches are depleted and when animals have to find new resources.","container-title":"PLoS ONE","DOI":"10.1371/journal.pone.0016131","issue":"1","journalAbbreviation":"PLoS One","note":"PMID: 21249200\nPMCID: 3020952","page":"e16131","source":"PubMed Central","title":"A Non-Lévy Random Walk in Chacma Baboons: What Does It Mean?","title-short":"A Non-Lévy Random Walk in Chacma Baboons","volume":"6","author":[{"family":"Sueur","given":"Cédric"}],"issued":{"date-parts":[["2011"]]}}},{"id":856,"uris":["http://zotero.org/users/289520/items/S66IA9T5"],"uri":["http://zotero.org/users/289520/items/S66IA9T5"],"itemData":{"id":856,"type":"article-journal","abstract":"Animals adapt their movement patterns to their environment in order to maximize their efficiency when searching for food. The Lévy walk and the Brownian walk are two types of random movement found in different species. Studies have shown that these random movements can switch from a Brownian to a Lévy walk according to the size distribution of food patches. However no study to date has analysed how characteristics such as sex, age, dominance or body mass affect the movement patterns of an individual. In this study we used the maximum likelihood method to examine the nature of the distribution of step lengths and waiting times and assessed how these distributions are influenced by the age and the sex of group members in a semi free-ranging group of ten Tonkean macaques. Individuals highly differed in their activity budget and in their movement patterns. We found an effect of age and sex of individuals on the power distribution of their step lengths and of their waiting times. The males and old individuals displayed a higher proportion of longer trajectories than females and young ones. As regards waiting times, females and old individuals displayed higher rates of long stationary periods than males and young individuals. These movement patterns resembling random walks can probably be explained by the animals moving from one location to other known locations. The power distribution of step lengths might be due to a power distribution of food patches in the enclosure while the power distribution of waiting times might be due to the power distribution of the patch sizes.","container-title":"PLoS ONE","DOI":"10.1371/journal.pone.0026788","issue":"10","journalAbbreviation":"PLoS ONE","page":"e26788","source":"PLoS ONE","title":"Individual Analyses of Lévy Walk in Semi-Free Ranging Tonkean Macaques (Macaca tonkeana)","volume":"6","author":[{"family":"Sueur","given":"Cédric"},{"family":"Briard","given":"Léa"},{"family":"Petit","given":"Odile"}],"issued":{"date-parts":[["2011",10,26]]}}}],"schema":"https://github.com/citation-style-language/schema/raw/master/csl-citation.json"} </w:instrText>
      </w:r>
      <w:r w:rsidR="00C801EB">
        <w:rPr>
          <w:lang w:val="en-GB"/>
        </w:rPr>
        <w:fldChar w:fldCharType="separate"/>
      </w:r>
      <w:r w:rsidRPr="000C04D0">
        <w:rPr>
          <w:rFonts w:ascii="Calibri" w:hAnsi="Calibri" w:cs="Calibri"/>
          <w:szCs w:val="24"/>
          <w:vertAlign w:val="superscript"/>
        </w:rPr>
        <w:t>2,3</w:t>
      </w:r>
      <w:r w:rsidR="00C801EB">
        <w:rPr>
          <w:lang w:val="en-GB"/>
        </w:rPr>
        <w:fldChar w:fldCharType="end"/>
      </w:r>
      <w:r w:rsidR="00C801EB" w:rsidRPr="00C801EB">
        <w:rPr>
          <w:lang w:val="en-GB"/>
        </w:rPr>
        <w:t>).</w:t>
      </w:r>
      <w:r w:rsidR="00C801EB">
        <w:rPr>
          <w:lang w:val="en-GB"/>
        </w:rPr>
        <w:t xml:space="preserve"> </w:t>
      </w:r>
    </w:p>
    <w:p w14:paraId="0134AEC3" w14:textId="7FA06A0A" w:rsidR="00C801EB" w:rsidRDefault="00C801EB" w:rsidP="00D358C3">
      <w:pPr>
        <w:rPr>
          <w:lang w:val="en-GB"/>
        </w:rPr>
      </w:pPr>
      <w:r w:rsidRPr="00C801EB">
        <w:rPr>
          <w:lang w:val="en-GB"/>
        </w:rPr>
        <w:t xml:space="preserve">As </w:t>
      </w:r>
      <w:r w:rsidR="005664A7">
        <w:rPr>
          <w:lang w:val="en-GB"/>
        </w:rPr>
        <w:t xml:space="preserve">the </w:t>
      </w:r>
      <w:r w:rsidRPr="00C801EB">
        <w:rPr>
          <w:lang w:val="en-GB"/>
        </w:rPr>
        <w:t>coordinate scoring of the drawing was continuous (one point per frame), we focused on active changes</w:t>
      </w:r>
      <w:r w:rsidR="00D358C3">
        <w:rPr>
          <w:lang w:val="en-GB"/>
        </w:rPr>
        <w:t xml:space="preserve"> </w:t>
      </w:r>
      <w:r w:rsidR="00D358C3">
        <w:rPr>
          <w:lang w:val="en-GB"/>
        </w:rPr>
        <w:fldChar w:fldCharType="begin"/>
      </w:r>
      <w:r w:rsidR="00B43B3B">
        <w:rPr>
          <w:lang w:val="en-GB"/>
        </w:rPr>
        <w:instrText xml:space="preserve"> ADDIN ZOTERO_ITEM CSL_CITATION {"citationID":"FEnFrxQH","properties":{"formattedCitation":"\\super 4,5\\nosupersub{}","plainCitation":"4,5","noteIndex":0},"citationItems":[{"id":872,"uris":["http://zotero.org/users/289520/items/SF7KP67R"],"uri":["http://zotero.org/users/289520/items/SF7KP67R"],"itemData":{"id":872,"type":"article-journal","abstract":"Efficient exploitation of large-scale space is crucial to many species of animal, but the difficulties of studying how animals decide on travel routes in natural environments have hampered scientific understanding of environmental cognition. Field experiments allow researchers to define travel goals for their subjects, but practical difficulties restrict large-scale studies. In contrast, data on natural travel patterns are abundant and easy to record, but hard to interpret without circularity and subjectivity when making inferences about when and why an animal began heading to a particular location. We present a method of determining objectively the point at which an animal's travel path becomes directed at a location, for instance a distant feeding site, based on the statistical characteristics of its route. We evaluate this method and illustrate how it can be tailored to particular problems, using data that are (1) synthetic, (2) from chacma baboons, Papio ursinus, where travel is from a single sleeping site in an overlapping home range, and (3) from chimpanzees, Pan troglodytes, where sleeping sites are unlimited within a large territory. We suggest that this [`]change-point test' might usefully become a routine first step in interpreting the decision making behind animal travel under natural conditions.","call-number":"0011","container-title":"Animal Behaviour","DOI":"10.1016/j.anbehav.2008.11.014","ISSN":"0003-3472","issue":"3","page":"619-631","source":"ScienceDirect","title":"How did they get here from there? Detecting changes of direction in terrestrial ranging","title-short":"How did they get here from there?","volume":"77","author":[{"family":"Byrne","given":"R.W."},{"family":"Noser","given":"R."},{"family":"Bates","given":"L.A."},{"family":"Jupp","given":"P.E."}],"issued":{"date-parts":[["2009",3]]}}},{"id":1025,"uris":["http://zotero.org/users/289520/items/WCFD9FR6"],"uri":["http://zotero.org/users/289520/items/WCFD9FR6"],"itemData":{"id":1025,"type":"article-journal","abstract":"Efficient space use is a critical challenge for animals relying on stationary resources. It is often difficult with purely observational methods to gain unambiguous insight into any ability of primates to manage and process spatial information. Investigating the visible signs of the decision processes underlying space use often leaves open important issues. We applied the change point test [Byrne et al. (2009). Anim Behav 77: 619–631], a statistical tool to objectively determine change points (CPs) in animal travel paths, to investigate to what degree directional changes in our study group's (Papio ursinus) dry season ranging were associated with important resources and prominent landmarks. One-third of directional changes were associated with fruit feeding, 1/3 with traveling, and 1/3 with dry matter feeding, travel feeding and with drinking. When directional changes were associated with traveling, the subsequent directional changes were likely to result in fruit feeding. Fruit feeding mostly occurred at the apex of the day journeys, while drinking, dry matter feeding, and travel feeding often occurred along straight travel segments. The majority of directional changes did not occur in clusters at distinctive locations, but at distances of more than 120 m apart from each other, many of them along prominent landmarks. We conclude that the CPs do not represent nodes or route bends of a network map. Rather, they represent (1) locations where the decision to turn back to their sleeping site was taken, and (2) locations next to important landmarks (changes of slope, car tracks) where slight adjustment of a movement direction was possible. We found no evidence for a Euclidean map and discuss our findings in the light of a network map representation of space. Am. J. Primatol. Am. J. Primatol. 76:399–409, 2014. © 2013 Wiley Periodicals, Inc.","container-title":"American Journal of Primatology","DOI":"10.1002/ajp.22181","ISSN":"1098-2345","issue":"5","journalAbbreviation":"Am. J. Primatol.","language":"en","page":"399-409","source":"Wiley Online Library","title":"Change point analysis of travel routes reveals novel insights into foraging strategies and cognitive maps of wild baboons","volume":"76","author":[{"family":"Noser","given":"Rahel"},{"family":"Byrne","given":"Richard W."}],"issued":{"date-parts":[["2014",5,1]]}}}],"schema":"https://github.com/citation-style-language/schema/raw/master/csl-citation.json"} </w:instrText>
      </w:r>
      <w:r w:rsidR="00D358C3">
        <w:rPr>
          <w:lang w:val="en-GB"/>
        </w:rPr>
        <w:fldChar w:fldCharType="separate"/>
      </w:r>
      <w:r w:rsidR="00B43B3B" w:rsidRPr="00B43B3B">
        <w:rPr>
          <w:rFonts w:ascii="Calibri" w:hAnsi="Calibri" w:cs="Calibri"/>
          <w:szCs w:val="24"/>
          <w:vertAlign w:val="superscript"/>
          <w:lang w:val="en-US"/>
        </w:rPr>
        <w:t>4,5</w:t>
      </w:r>
      <w:r w:rsidR="00D358C3">
        <w:rPr>
          <w:lang w:val="en-GB"/>
        </w:rPr>
        <w:fldChar w:fldCharType="end"/>
      </w:r>
      <w:r w:rsidRPr="00C801EB">
        <w:rPr>
          <w:lang w:val="en-GB"/>
        </w:rPr>
        <w:t>: a selection of points was carried out for each drawing via a change-point test under R s</w:t>
      </w:r>
      <w:r w:rsidR="00D358C3">
        <w:rPr>
          <w:lang w:val="en-GB"/>
        </w:rPr>
        <w:t>oftware (version 1.1.383; CPT</w:t>
      </w:r>
      <w:r w:rsidR="00204311">
        <w:rPr>
          <w:lang w:val="en-GB"/>
        </w:rPr>
        <w:t xml:space="preserve">, script available in </w:t>
      </w:r>
      <w:r w:rsidR="00204311">
        <w:rPr>
          <w:lang w:val="en-GB"/>
        </w:rPr>
        <w:fldChar w:fldCharType="begin"/>
      </w:r>
      <w:r w:rsidR="008B6730">
        <w:rPr>
          <w:lang w:val="en-GB"/>
        </w:rPr>
        <w:instrText xml:space="preserve"> ADDIN ZOTERO_ITEM CSL_CITATION {"citationID":"qHaorrXO","properties":{"formattedCitation":"(Noser and Byrne, 2014)","plainCitation":"(Noser and Byrne, 2014)","dontUpdate":true,"noteIndex":0},"citationItems":[{"id":1025,"uris":["http://zotero.org/users/289520/items/WCFD9FR6"],"uri":["http://zotero.org/users/289520/items/WCFD9FR6"],"itemData":{"id":1025,"type":"article-journal","abstract":"Efficient space use is a critical challenge for animals relying on stationary resources. It is often difficult with purely observational methods to gain unambiguous insight into any ability of primates to manage and process spatial information. Investigating the visible signs of the decision processes underlying space use often leaves open important issues. We applied the change point test [Byrne et al. (2009). Anim Behav 77: 619–631], a statistical tool to objectively determine change points (CPs) in animal travel paths, to investigate to what degree directional changes in our study group's (Papio ursinus) dry season ranging were associated with important resources and prominent landmarks. One-third of directional changes were associated with fruit feeding, 1/3 with traveling, and 1/3 with dry matter feeding, travel feeding and with drinking. When directional changes were associated with traveling, the subsequent directional changes were likely to result in fruit feeding. Fruit feeding mostly occurred at the apex of the day journeys, while drinking, dry matter feeding, and travel feeding often occurred along straight travel segments. The majority of directional changes did not occur in clusters at distinctive locations, but at distances of more than 120 m apart from each other, many of them along prominent landmarks. We conclude that the CPs do not represent nodes or route bends of a network map. Rather, they represent (1) locations where the decision to turn back to their sleeping site was taken, and (2) locations next to important landmarks (changes of slope, car tracks) where slight adjustment of a movement direction was possible. We found no evidence for a Euclidean map and discuss our findings in the light of a network map representation of space. Am. J. Primatol. Am. J. Primatol. 76:399–409, 2014. © 2013 Wiley Periodicals, Inc.","container-title":"American Journal of Primatology","DOI":"10.1002/ajp.22181","ISSN":"1098-2345","issue":"5","journalAbbreviation":"Am. J. Primatol.","language":"en","page":"399-409","source":"Wiley Online Library","title":"Change point analysis of travel routes reveals novel insights into foraging strategies and cognitive maps of wild baboons","volume":"76","author":[{"family":"Noser","given":"Rahel"},{"family":"Byrne","given":"Richard W."}],"issued":{"date-parts":[["2014",5,1]]}}}],"schema":"https://github.com/citation-style-language/schema/raw/master/csl-citation.json"} </w:instrText>
      </w:r>
      <w:r w:rsidR="00204311">
        <w:rPr>
          <w:lang w:val="en-GB"/>
        </w:rPr>
        <w:fldChar w:fldCharType="separate"/>
      </w:r>
      <w:r w:rsidR="00204311" w:rsidRPr="008B6730">
        <w:rPr>
          <w:rFonts w:ascii="Calibri" w:hAnsi="Calibri" w:cs="Calibri"/>
          <w:lang w:val="en-US"/>
        </w:rPr>
        <w:t>Noser and Byrne, 2014</w:t>
      </w:r>
      <w:r w:rsidR="00204311">
        <w:rPr>
          <w:lang w:val="en-GB"/>
        </w:rPr>
        <w:fldChar w:fldCharType="end"/>
      </w:r>
      <w:r w:rsidRPr="00C801EB">
        <w:rPr>
          <w:lang w:val="en-GB"/>
        </w:rPr>
        <w:t xml:space="preserve">). </w:t>
      </w:r>
      <w:r w:rsidR="00D358C3" w:rsidRPr="00D358C3">
        <w:rPr>
          <w:lang w:val="en-GB"/>
        </w:rPr>
        <w:t>Two consecutive po</w:t>
      </w:r>
      <w:r w:rsidR="006A6713">
        <w:rPr>
          <w:lang w:val="en-GB"/>
        </w:rPr>
        <w:t xml:space="preserve">ints (i and j) in the drawing </w:t>
      </w:r>
      <w:r w:rsidR="00D358C3" w:rsidRPr="00D358C3">
        <w:rPr>
          <w:lang w:val="en-GB"/>
        </w:rPr>
        <w:t>determined a step or a vector of a length L</w:t>
      </w:r>
      <w:r w:rsidR="00670296">
        <w:rPr>
          <w:lang w:val="en-GB"/>
        </w:rPr>
        <w:t xml:space="preserve"> </w:t>
      </w:r>
      <w:r w:rsidR="00D358C3" w:rsidRPr="00D358C3">
        <w:rPr>
          <w:lang w:val="en-GB"/>
        </w:rPr>
        <w:t>(i,</w:t>
      </w:r>
      <w:r w:rsidR="00670296">
        <w:rPr>
          <w:lang w:val="en-GB"/>
        </w:rPr>
        <w:t xml:space="preserve"> </w:t>
      </w:r>
      <w:r w:rsidR="00D358C3" w:rsidRPr="00D358C3">
        <w:rPr>
          <w:lang w:val="en-GB"/>
        </w:rPr>
        <w:t>j). We then calculated the step lengths S on Excel with latitude x and longitude y (in pixels).</w:t>
      </w:r>
      <w:r w:rsidR="00D358C3" w:rsidRPr="00D358C3">
        <w:rPr>
          <w:lang w:val="en-US"/>
        </w:rPr>
        <w:t xml:space="preserve"> </w:t>
      </w:r>
      <w:r w:rsidR="00D358C3" w:rsidRPr="00D358C3">
        <w:rPr>
          <w:lang w:val="en-GB"/>
        </w:rPr>
        <w:t>Step lengths between 0 and 10 pixels were removed since they often corresponded to very short, inactive movements such as imprecise lines or finger sideslips</w:t>
      </w:r>
      <w:r w:rsidR="005664A7">
        <w:rPr>
          <w:lang w:val="en-GB"/>
        </w:rPr>
        <w:t>,</w:t>
      </w:r>
      <w:r w:rsidR="00D358C3" w:rsidRPr="00D358C3">
        <w:rPr>
          <w:lang w:val="en-GB"/>
        </w:rPr>
        <w:t xml:space="preserve"> and caused inaccuracies.</w:t>
      </w:r>
      <w:r w:rsidR="00D358C3">
        <w:rPr>
          <w:lang w:val="en-GB"/>
        </w:rPr>
        <w:t xml:space="preserve"> </w:t>
      </w:r>
      <w:r w:rsidR="00D358C3" w:rsidRPr="00D358C3">
        <w:rPr>
          <w:lang w:val="en-GB"/>
        </w:rPr>
        <w:t>We then determined whether the step length frequency distribution of a drawing followed a power law (y = a*x</w:t>
      </w:r>
      <w:r w:rsidR="00D358C3" w:rsidRPr="00D358C3">
        <w:rPr>
          <w:vertAlign w:val="superscript"/>
          <w:lang w:val="en-GB"/>
        </w:rPr>
        <w:t>μ</w:t>
      </w:r>
      <w:r w:rsidR="00D358C3" w:rsidRPr="00D358C3">
        <w:rPr>
          <w:lang w:val="en-GB"/>
        </w:rPr>
        <w:t xml:space="preserve">) or </w:t>
      </w:r>
      <w:r w:rsidR="00D358C3">
        <w:rPr>
          <w:lang w:val="en-GB"/>
        </w:rPr>
        <w:t xml:space="preserve">an exponential law (y = a.e </w:t>
      </w:r>
      <w:r w:rsidR="00D358C3" w:rsidRPr="00D358C3">
        <w:rPr>
          <w:vertAlign w:val="superscript"/>
          <w:lang w:val="en-GB"/>
        </w:rPr>
        <w:t>x*</w:t>
      </w:r>
      <w:r w:rsidR="00D358C3" w:rsidRPr="00D358C3">
        <w:rPr>
          <w:rFonts w:cstheme="minorHAnsi"/>
          <w:vertAlign w:val="superscript"/>
          <w:lang w:val="en-GB"/>
        </w:rPr>
        <w:t>λ</w:t>
      </w:r>
      <w:r w:rsidR="00D358C3" w:rsidRPr="00D358C3">
        <w:rPr>
          <w:lang w:val="en-GB"/>
        </w:rPr>
        <w:t>) using the Maximum Likelihood Method</w:t>
      </w:r>
      <w:r w:rsidR="00D358C3">
        <w:rPr>
          <w:lang w:val="en-GB"/>
        </w:rPr>
        <w:t xml:space="preserve"> </w:t>
      </w:r>
      <w:r w:rsidR="00D358C3">
        <w:rPr>
          <w:lang w:val="en-GB"/>
        </w:rPr>
        <w:fldChar w:fldCharType="begin"/>
      </w:r>
      <w:r w:rsidR="000C04D0">
        <w:rPr>
          <w:lang w:val="en-GB"/>
        </w:rPr>
        <w:instrText xml:space="preserve"> ADDIN ZOTERO_ITEM CSL_CITATION {"citationID":"zH03MuZm","properties":{"formattedCitation":"\\super 1,6\\nosupersub{}","plainCitation":"1,6","noteIndex":0},"citationItems":[{"id":827,"uris":["http://zotero.org/users/289520/items/RCHQMJU7"],"uri":["http://zotero.org/users/289520/items/RCHQMJU7"],"itemData":{"id":827,"type":"article-journal","abstract":"The study of animal foraging behaviour is of practical ecological importance(1), and exemplifies the wider scientific problem of optimizing search strategies(2). Levy flights are random walks, the step lengths of which come from probability distributions with heavy power-law tails(3,4), such that clusters of short steps are connected by rare long steps. Levy flights display fractal properties, have no typical scale, and occur in physical(3-5) and chemical(6) systems. An attempt to demonstrate their existence in a natural biological system presented evidence that wandering albatrosses perform Levy flights when searching for prey on the ocean surface(7). This well known finding(2,4,8,9) was followed by similar inferences about the search strategies of deer(10) and bumblebees(10). These pioneering studies have triggered much theoretical work in physics (for example, refs 11, 12), as well as empirical ecological analyses regarding reindeer(13), microzooplankton(14), grey seals(15), spider monkeys(16) and fishing boats(17). Here we analyse a new, high-resolution data set of wandering albatross flights, and find no evidence for Levy flight behaviour. Instead we find that flight times are gamma distributed, with an exponential decay for the longest flights. We re-analyse the original albatross data(7) using additional information, and conclude that the extremely long flights, essential for demonstrating Levy flight behaviour, were spurious. Furthermore, we propose a widely applicable method to test for power-law distributions using likelihood(18) and Akaike weights(19,20). We apply this to the four original deer and bumblebee data sets(10), finding that none exhibits evidence of Levy flights, and that the original graphical approach(10) is insufficient. Such a graphical approach has been adopted to conclude Levy flight movement for other organisms(13-17), and to propose Levy flight analysis as a potential real-time ecosystem monitoring tool(17). Our results question the strength of the empirical evidence for biological Levy flights.","container-title":"NATURE","DOI":"10.1038/nature06199","ISSN":"0028-0836","issue":"7165","page":"1044-U5","source":"ISI Web of Knowledge","title":"Revisiting Levy flight search patterns of wandering albatrosses, bumblebees and deer","volume":"449","author":[{"family":"Edwards","given":"AM"},{"family":"Phillips","given":"RA"},{"family":"Watkins","given":"NW"},{"family":"Freeman","given":"MP"},{"family":"Murphy","given":"EJ"},{"family":"Afanasyev","given":"V"},{"family":"Buldyrev","given":"SV"},{"family":"Luz","given":"MGE","non-dropping-particle":"da"},{"family":"Raposo","given":"EP"},{"family":"Stanley","given":"HE"},{"family":"Viswanathan","given":"GM"}],"issued":{"date-parts":[["2007",10,25]]}}},{"id":6750,"uris":["http://zotero.org/users/289520/items/GJX5EH8J"],"uri":["http://zotero.org/users/289520/items/GJX5EH8J"],"itemData":{"id":6750,"type":"article-journal","abstract":"Techniques used in cave art suggest that drawing skills emerged long before the oldest known representative human productions (44,000 years bc). This study seeks to improve our knowledge of the evolutionary origins and the ontogenetic development of drawing behavior by studying drawings of humans (N = 178, 3- to 10-year-old children and adults) and chimpanzees (N = 5). Drawings were characterized with an innovative index based on spatial measures which provides the degree of efficiency for the lines that are drawn. Results showed that this index was lowest in chimpanzees, increased and reached its maximum between 5-year-old and 10-year-old children and decreased in adults, whose drawing efficiency was reduced by the addition of details. Drawings of chimpanzees are not random suggesting that their movements are constrained by cognitive or locomotor aspect and we cannot conclude to the absence of representativeness. We also used indices based on colors and time and asked children about what they drew. These indices can be considered relevant tools to improve our understanding of drawing development and evolution in hominids.","container-title":"Scientific Reports","DOI":"10.1038/s41598-021-83043-0","ISSN":"2045-2322","issue":"1","language":"en","note":"number: 1\npublisher: Nature Publishing Group","page":"3860","source":"www.nature.com","title":"New indices to characterize drawing behavior in humans ( Homo sapiens ) and chimpanzees ( Pan troglodytes )","volume":"11","author":[{"family":"Martinet","given":"Lison"},{"family":"Sueur","given":"Cédric"},{"family":"Hirata","given":"Satoshi"},{"family":"Hosselet","given":"Jérôme"},{"family":"Matsuzawa","given":"Tetsuro"},{"family":"Pelé","given":"Marie"}],"issued":{"date-parts":[["2021",2,16]]}}}],"schema":"https://github.com/citation-style-language/schema/raw/master/csl-citation.json"} </w:instrText>
      </w:r>
      <w:r w:rsidR="00D358C3">
        <w:rPr>
          <w:lang w:val="en-GB"/>
        </w:rPr>
        <w:fldChar w:fldCharType="separate"/>
      </w:r>
      <w:r w:rsidR="000C04D0" w:rsidRPr="000C04D0">
        <w:rPr>
          <w:rFonts w:ascii="Calibri" w:hAnsi="Calibri" w:cs="Calibri"/>
          <w:szCs w:val="24"/>
          <w:vertAlign w:val="superscript"/>
        </w:rPr>
        <w:t>1,6</w:t>
      </w:r>
      <w:r w:rsidR="00D358C3">
        <w:rPr>
          <w:lang w:val="en-GB"/>
        </w:rPr>
        <w:fldChar w:fldCharType="end"/>
      </w:r>
      <w:r w:rsidR="00D358C3" w:rsidRPr="00D358C3">
        <w:rPr>
          <w:lang w:val="en-GB"/>
        </w:rPr>
        <w:t>.</w:t>
      </w:r>
      <w:r w:rsidR="00D358C3">
        <w:rPr>
          <w:lang w:val="en-GB"/>
        </w:rPr>
        <w:t xml:space="preserve"> </w:t>
      </w:r>
      <w:r w:rsidR="00D358C3" w:rsidRPr="00D358C3">
        <w:rPr>
          <w:lang w:val="en-GB"/>
        </w:rPr>
        <w:t>Log-likelihood of the exponential and power d</w:t>
      </w:r>
      <w:r w:rsidR="00D358C3">
        <w:rPr>
          <w:lang w:val="en-GB"/>
        </w:rPr>
        <w:t xml:space="preserve">istributions for each drawing </w:t>
      </w:r>
      <w:r w:rsidR="00D358C3" w:rsidRPr="00D358C3">
        <w:rPr>
          <w:lang w:val="en-GB"/>
        </w:rPr>
        <w:t>could then be compared using the Akaike Information Criterion (AIC)</w:t>
      </w:r>
      <w:r w:rsidR="00D358C3">
        <w:rPr>
          <w:lang w:val="en-GB"/>
        </w:rPr>
        <w:t xml:space="preserve">. </w:t>
      </w:r>
      <w:r w:rsidR="005664A7">
        <w:rPr>
          <w:lang w:val="en-GB"/>
        </w:rPr>
        <w:t>We retained the</w:t>
      </w:r>
      <w:r w:rsidR="00D358C3" w:rsidRPr="00D358C3">
        <w:rPr>
          <w:lang w:val="en-GB"/>
        </w:rPr>
        <w:t xml:space="preserve"> model retained (power or exponential) with the lowest AIC, </w:t>
      </w:r>
      <w:r w:rsidR="005664A7">
        <w:rPr>
          <w:lang w:val="en-GB"/>
        </w:rPr>
        <w:t xml:space="preserve">with </w:t>
      </w:r>
      <w:r w:rsidR="00D358C3" w:rsidRPr="00D358C3">
        <w:rPr>
          <w:lang w:val="en-GB"/>
        </w:rPr>
        <w:t>a minimum difference of 2 between the two AICs</w:t>
      </w:r>
      <w:r w:rsidR="00D358C3">
        <w:rPr>
          <w:lang w:val="en-GB"/>
        </w:rPr>
        <w:t xml:space="preserve"> </w:t>
      </w:r>
      <w:r w:rsidR="00D358C3">
        <w:rPr>
          <w:lang w:val="en-GB"/>
        </w:rPr>
        <w:fldChar w:fldCharType="begin"/>
      </w:r>
      <w:r w:rsidR="00B43B3B">
        <w:rPr>
          <w:lang w:val="en-GB"/>
        </w:rPr>
        <w:instrText xml:space="preserve"> ADDIN ZOTERO_ITEM CSL_CITATION {"citationID":"YvrAaomr","properties":{"formattedCitation":"\\super 7\\nosupersub{}","plainCitation":"7","noteIndex":0},"citationItems":[{"id":618,"uris":["http://zotero.org/users/289520/items/JMBQBZI2"],"uri":["http://zotero.org/users/289520/items/JMBQBZI2"],"itemData":{"id":618,"type":"article-journal","container-title":"Sociological methods &amp; research","ISSN":"0049-1241","issue":"2","journalAbbreviation":"Sociological methods &amp; research","page":"261-304","title":"Multimodel inference understanding AIC and BIC in model selection","volume":"33","author":[{"family":"Burnham","given":"Kenneth P"},{"family":"Anderson","given":"David R"}],"issued":{"date-parts":[["2004"]]}}}],"schema":"https://github.com/citation-style-language/schema/raw/master/csl-citation.json"} </w:instrText>
      </w:r>
      <w:r w:rsidR="00D358C3">
        <w:rPr>
          <w:lang w:val="en-GB"/>
        </w:rPr>
        <w:fldChar w:fldCharType="separate"/>
      </w:r>
      <w:r w:rsidR="00B43B3B" w:rsidRPr="00B43B3B">
        <w:rPr>
          <w:rFonts w:ascii="Calibri" w:hAnsi="Calibri" w:cs="Calibri"/>
          <w:szCs w:val="24"/>
          <w:vertAlign w:val="superscript"/>
          <w:lang w:val="en-US"/>
        </w:rPr>
        <w:t>7</w:t>
      </w:r>
      <w:r w:rsidR="00D358C3">
        <w:rPr>
          <w:lang w:val="en-GB"/>
        </w:rPr>
        <w:fldChar w:fldCharType="end"/>
      </w:r>
      <w:r w:rsidR="00D358C3" w:rsidRPr="00D358C3">
        <w:rPr>
          <w:lang w:val="en-GB"/>
        </w:rPr>
        <w:t>.</w:t>
      </w:r>
      <w:r w:rsidR="00D358C3">
        <w:rPr>
          <w:lang w:val="en-GB"/>
        </w:rPr>
        <w:t xml:space="preserve"> </w:t>
      </w:r>
      <w:r w:rsidR="00D358C3" w:rsidRPr="00D358C3">
        <w:rPr>
          <w:lang w:val="en-GB"/>
        </w:rPr>
        <w:t>All the drawings produced followed a power law</w:t>
      </w:r>
      <w:r w:rsidR="00D358C3">
        <w:rPr>
          <w:lang w:val="en-GB"/>
        </w:rPr>
        <w:t xml:space="preserve">. </w:t>
      </w:r>
      <w:r w:rsidR="00D358C3" w:rsidRPr="00D358C3">
        <w:rPr>
          <w:lang w:val="en-GB"/>
        </w:rPr>
        <w:t>The Maximum Likelihood Estimate of the power law exponent μMLE was then</w:t>
      </w:r>
      <w:r w:rsidR="00D358C3">
        <w:rPr>
          <w:lang w:val="en-GB"/>
        </w:rPr>
        <w:t xml:space="preserve"> </w:t>
      </w:r>
      <w:r w:rsidR="00D358C3" w:rsidRPr="00D358C3">
        <w:rPr>
          <w:lang w:val="en-GB"/>
        </w:rPr>
        <w:t>used to draw conclusions on the efficiency of the representation for each drawing. This index is comprised of values between 1 and 3. The higher the index, the more the line was considered to be directed, well planned and efficient</w:t>
      </w:r>
      <w:r w:rsidR="00D358C3">
        <w:rPr>
          <w:lang w:val="en-GB"/>
        </w:rPr>
        <w:t xml:space="preserve"> </w:t>
      </w:r>
      <w:r w:rsidR="00D358C3">
        <w:rPr>
          <w:lang w:val="en-GB"/>
        </w:rPr>
        <w:fldChar w:fldCharType="begin"/>
      </w:r>
      <w:r w:rsidR="00B43B3B">
        <w:rPr>
          <w:lang w:val="en-GB"/>
        </w:rPr>
        <w:instrText xml:space="preserve"> ADDIN ZOTERO_ITEM CSL_CITATION {"citationID":"04MYYWY8","properties":{"formattedCitation":"\\super 8,9\\nosupersub{}","plainCitation":"8,9","noteIndex":0},"citationItems":[{"id":354,"uris":["http://zotero.org/users/289520/items/BFJSJMHG"],"uri":["http://zotero.org/users/289520/items/BFJSJMHG"],"itemData":{"id":354,"type":"article-journal","abstract":"Recent advances in spatial ecology have improved our understanding of the role of large-scale animal movements. However, an unsolved problem concerns the inherent stochasticity involved in many animal search displacements and its possible adaptive value. When animals have no information about where targets (i.e., resource patches, mates, etc.) are located, different random search strategies may provide different chances to find them. Assuming random-walk models as a necessary tool to understand how animals face such environmental uncertainty, we analyze the statistical differences between two random-walk models commonly used to fit animal movement data, the Levy walks and the correlated random walks, and we quantify their efficiencies (i.e., the number of targets found in relation to total displacement) within a random search context. Correlated random-walk properties (i.e., scale-finite correlations) may be interpreted as the by-product of locally scanning mechanisms. Levy walks, instead, have fundamental properties (i.e., super-diffusivity and scale invariance) that allow a higher efficiency in random search scenarios. Specific biological mechanisms related to how animals punctuate their movement with sudden reorientations in a random search would be sufficient to, sustain Levy walk properties. Furthermore, we investigate a new model (the Levy-modulated correlated random walk) that combines the properties of correlated and Levy walks. This model shows that Levy walk properties are robust to any behavioral mechanism providing short-range correlations in the walk. We propose that some animals may have evolved the. ability of performing Levy walks as adaptive strategies in order to face search uncertainties.","container-title":"ECOLOGY","ISSN":"0012-9658","issue":"11","page":"3078-3087","source":"ISI Web of Knowledge","title":"Animal search strategies: A quantitative. random-walk analysis","title-short":"Animal search strategies","volume":"86","author":[{"family":"Bartumeus","given":"F"},{"family":"Da Luz","given":"MGE"},{"family":"Viswanathan","given":"GM"},{"family":"Catalan","given":"J"}],"issued":{"date-parts":[["2005",11]]}}},{"id":526,"uris":["http://zotero.org/users/289520/items/HDVHA89E"],"uri":["http://zotero.org/users/289520/items/HDVHA89E"],"itemData":{"id":526,"type":"article-journal","abstract":"LéVY flights are a special class of random walks whose step\nlengths are not constant but rather are chosen from a probability\ndistribution with a power-law tail. Realizations of Lévy flights\nin physical phenomena are very diverse, examples including fluid\ndynamics, dynamical systems, and micelles1,2. This diversity\nraises the possibility that Lévy flights may be found in\nbiological systems. A decade ago, it was proposed that Lévy\nflights may be observed in the behaviour of foraging ants3.\nRecently, it was argued that Drosophila might perform Lévy\nflights4, but the hypothesis that foraging animals in natural\nenvironments perform Lévy flights has not been tested. Here we\nstudy the foraging behaviour of the wandering albatross Diomedea\nexulans, and find a power-law distribution of flight-time intervals. We\ninterpret our finding of temporal scale invariance in terms of a\nscale-invariant spatial distribution of food on the ocean surface.\nFinally, we examine the significance of our finding in relation to the\nbasis of scale-invariant phenomena observed in biological systems.","container-title":"Nature","page":"413-415","source":"NASA ADS","title":"Lévy flight search patterns of wandering albatrosses","volume":"381","author":[{"family":"Viswanathan","given":"G. M."},{"family":"Afanasyev","given":"V."},{"family":"Buldyrev","given":"S. V."},{"family":"Murphy","given":"E. J."},{"family":"Prince","given":"P. A."},{"family":"Stanley","given":"H. E."}],"issued":{"date-parts":[["1996",5,1]]}}}],"schema":"https://github.com/citation-style-language/schema/raw/master/csl-citation.json"} </w:instrText>
      </w:r>
      <w:r w:rsidR="00D358C3">
        <w:rPr>
          <w:lang w:val="en-GB"/>
        </w:rPr>
        <w:fldChar w:fldCharType="separate"/>
      </w:r>
      <w:r w:rsidR="00B43B3B" w:rsidRPr="00B43B3B">
        <w:rPr>
          <w:rFonts w:ascii="Calibri" w:hAnsi="Calibri" w:cs="Calibri"/>
          <w:szCs w:val="24"/>
          <w:vertAlign w:val="superscript"/>
        </w:rPr>
        <w:t>8,9</w:t>
      </w:r>
      <w:r w:rsidR="00D358C3">
        <w:rPr>
          <w:lang w:val="en-GB"/>
        </w:rPr>
        <w:fldChar w:fldCharType="end"/>
      </w:r>
      <w:r w:rsidR="00D358C3" w:rsidRPr="00D358C3">
        <w:rPr>
          <w:lang w:val="en-GB"/>
        </w:rPr>
        <w:t>.</w:t>
      </w:r>
    </w:p>
    <w:p w14:paraId="3A59364C" w14:textId="1DA967DB" w:rsidR="00943309" w:rsidRDefault="000C04D0" w:rsidP="00D358C3">
      <w:pPr>
        <w:rPr>
          <w:lang w:val="en-GB"/>
        </w:rPr>
      </w:pPr>
      <w:r>
        <w:rPr>
          <w:noProof/>
          <w:lang w:val="en-GB"/>
        </w:rPr>
        <w:lastRenderedPageBreak/>
        <w:pict w14:anchorId="7C24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comparaison_Page_14" style="width:229.2pt;height:184.8pt;mso-width-percent:0;mso-height-percent:0;mso-width-percent:0;mso-height-percent:0">
            <v:imagedata r:id="rId8" o:title="figure comparaison_Page_14"/>
          </v:shape>
        </w:pict>
      </w:r>
    </w:p>
    <w:p w14:paraId="678D0339" w14:textId="5D0E9E65" w:rsidR="00943309" w:rsidRDefault="00943309" w:rsidP="00D358C3">
      <w:pPr>
        <w:rPr>
          <w:lang w:val="en-GB"/>
        </w:rPr>
      </w:pPr>
      <w:r>
        <w:rPr>
          <w:lang w:val="en-GB"/>
        </w:rPr>
        <w:t>Figure</w:t>
      </w:r>
      <w:r w:rsidR="00670296">
        <w:rPr>
          <w:lang w:val="en-GB"/>
        </w:rPr>
        <w:t> </w:t>
      </w:r>
      <w:r>
        <w:rPr>
          <w:lang w:val="en-GB"/>
        </w:rPr>
        <w:t xml:space="preserve">S1: Boxplot of the </w:t>
      </w:r>
      <w:r>
        <w:rPr>
          <w:rFonts w:cstheme="minorHAnsi"/>
          <w:lang w:val="en-GB"/>
        </w:rPr>
        <w:t>μ</w:t>
      </w:r>
      <w:r w:rsidR="005664A7">
        <w:rPr>
          <w:rFonts w:cstheme="minorHAnsi"/>
          <w:lang w:val="en-GB"/>
        </w:rPr>
        <w:t>MLE</w:t>
      </w:r>
      <w:r>
        <w:rPr>
          <w:lang w:val="en-GB"/>
        </w:rPr>
        <w:t xml:space="preserve"> according to instructions. Stars indicate significant difference between two instructions with p</w:t>
      </w:r>
      <w:r w:rsidR="00670296">
        <w:rPr>
          <w:lang w:val="en-GB"/>
        </w:rPr>
        <w:t xml:space="preserve"> </w:t>
      </w:r>
      <w:r>
        <w:rPr>
          <w:lang w:val="en-GB"/>
        </w:rPr>
        <w:t>&lt;0.05.</w:t>
      </w:r>
      <w:r w:rsidR="00AF0AA2">
        <w:rPr>
          <w:lang w:val="en-GB"/>
        </w:rPr>
        <w:t xml:space="preserve"> A</w:t>
      </w:r>
      <w:r w:rsidR="00670296">
        <w:rPr>
          <w:lang w:val="en-GB"/>
        </w:rPr>
        <w:t>NOVA</w:t>
      </w:r>
      <w:r w:rsidR="00AF0AA2">
        <w:rPr>
          <w:lang w:val="en-GB"/>
        </w:rPr>
        <w:t xml:space="preserve"> test gives a p= 0.0003.</w:t>
      </w:r>
    </w:p>
    <w:p w14:paraId="1C1B94B4" w14:textId="0543F9AC" w:rsidR="00C801EB" w:rsidRDefault="00406BDF">
      <w:pPr>
        <w:rPr>
          <w:b/>
          <w:lang w:val="en-GB"/>
        </w:rPr>
      </w:pPr>
      <w:r>
        <w:rPr>
          <w:b/>
          <w:lang w:val="en-GB"/>
        </w:rPr>
        <w:t>2. Drawing distance</w:t>
      </w:r>
    </w:p>
    <w:p w14:paraId="1BCDE1ED" w14:textId="799E9F72" w:rsidR="00406BDF" w:rsidRDefault="00406BDF">
      <w:pPr>
        <w:rPr>
          <w:lang w:val="en-GB"/>
        </w:rPr>
      </w:pPr>
      <w:r>
        <w:rPr>
          <w:lang w:val="en-GB"/>
        </w:rPr>
        <w:t>Drawing distance is the t</w:t>
      </w:r>
      <w:r w:rsidRPr="002F2EDF">
        <w:rPr>
          <w:lang w:val="en-GB"/>
        </w:rPr>
        <w:t>otal distance of drawing</w:t>
      </w:r>
      <w:r w:rsidR="00D13430">
        <w:rPr>
          <w:lang w:val="en-GB"/>
        </w:rPr>
        <w:t xml:space="preserve"> in pixels</w:t>
      </w:r>
      <w:r w:rsidRPr="002F2EDF">
        <w:rPr>
          <w:lang w:val="en-GB"/>
        </w:rPr>
        <w:t>, from the first point to the last</w:t>
      </w:r>
      <w:r w:rsidR="006A6713">
        <w:rPr>
          <w:lang w:val="en-GB"/>
        </w:rPr>
        <w:t xml:space="preserve">. </w:t>
      </w:r>
      <w:r w:rsidR="006A6713" w:rsidRPr="00D358C3">
        <w:rPr>
          <w:lang w:val="en-GB"/>
        </w:rPr>
        <w:t>Two consecutive po</w:t>
      </w:r>
      <w:r w:rsidR="006A6713">
        <w:rPr>
          <w:lang w:val="en-GB"/>
        </w:rPr>
        <w:t xml:space="preserve">ints (i and j) in the drawing </w:t>
      </w:r>
      <w:r w:rsidR="006A6713" w:rsidRPr="00D358C3">
        <w:rPr>
          <w:lang w:val="en-GB"/>
        </w:rPr>
        <w:t>determined a step or a vector of a length L</w:t>
      </w:r>
      <w:r w:rsidR="00670296">
        <w:rPr>
          <w:lang w:val="en-GB"/>
        </w:rPr>
        <w:t xml:space="preserve"> </w:t>
      </w:r>
      <w:r w:rsidR="006A6713" w:rsidRPr="00D358C3">
        <w:rPr>
          <w:lang w:val="en-GB"/>
        </w:rPr>
        <w:t>(i,</w:t>
      </w:r>
      <w:r w:rsidR="00670296">
        <w:rPr>
          <w:lang w:val="en-GB"/>
        </w:rPr>
        <w:t xml:space="preserve"> </w:t>
      </w:r>
      <w:r w:rsidR="006A6713" w:rsidRPr="00D358C3">
        <w:rPr>
          <w:lang w:val="en-GB"/>
        </w:rPr>
        <w:t>j).</w:t>
      </w:r>
      <w:r w:rsidR="006A6713">
        <w:rPr>
          <w:lang w:val="en-GB"/>
        </w:rPr>
        <w:t xml:space="preserve"> </w:t>
      </w:r>
      <w:r w:rsidR="006A6713" w:rsidRPr="00D358C3">
        <w:rPr>
          <w:lang w:val="en-GB"/>
        </w:rPr>
        <w:t>We then calculated the step lengths S on Excel with latitude x and longitude y (in pixels).</w:t>
      </w:r>
      <w:r w:rsidR="006A6713">
        <w:rPr>
          <w:lang w:val="en-GB"/>
        </w:rPr>
        <w:t xml:space="preserve"> We calculate the sum </w:t>
      </w:r>
      <w:r w:rsidR="00F46619">
        <w:rPr>
          <w:lang w:val="en-GB"/>
        </w:rPr>
        <w:t>of all</w:t>
      </w:r>
      <w:r w:rsidR="006A6713">
        <w:rPr>
          <w:lang w:val="en-GB"/>
        </w:rPr>
        <w:t xml:space="preserve"> lengths S as the drawing distance.</w:t>
      </w:r>
    </w:p>
    <w:p w14:paraId="77A3049D" w14:textId="293AFBFE" w:rsidR="005C3B2A" w:rsidRDefault="005C3B2A">
      <w:pPr>
        <w:rPr>
          <w:lang w:val="en-GB"/>
        </w:rPr>
      </w:pPr>
      <w:r>
        <w:rPr>
          <w:b/>
          <w:noProof/>
          <w:sz w:val="28"/>
          <w:lang w:eastAsia="fr-FR"/>
        </w:rPr>
        <w:drawing>
          <wp:inline distT="0" distB="0" distL="0" distR="0" wp14:anchorId="43F4E330" wp14:editId="37E30BF4">
            <wp:extent cx="2956560" cy="2350387"/>
            <wp:effectExtent l="0" t="0" r="0" b="0"/>
            <wp:docPr id="5" name="Image 5" descr="C:\Users\csueur.000\AppData\Local\Microsoft\Windows\INetCache\Content.Word\figure comparaison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ueur.000\AppData\Local\Microsoft\Windows\INetCache\Content.Word\figure comparaison_Page_01.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6560" cy="2350387"/>
                    </a:xfrm>
                    <a:prstGeom prst="rect">
                      <a:avLst/>
                    </a:prstGeom>
                    <a:noFill/>
                    <a:ln>
                      <a:noFill/>
                    </a:ln>
                  </pic:spPr>
                </pic:pic>
              </a:graphicData>
            </a:graphic>
          </wp:inline>
        </w:drawing>
      </w:r>
    </w:p>
    <w:p w14:paraId="56E20242" w14:textId="27C8D613" w:rsidR="005C3B2A" w:rsidRDefault="005C3B2A">
      <w:pPr>
        <w:rPr>
          <w:lang w:val="en-GB"/>
        </w:rPr>
      </w:pPr>
      <w:r>
        <w:rPr>
          <w:lang w:val="en-GB"/>
        </w:rPr>
        <w:t>Figure</w:t>
      </w:r>
      <w:r w:rsidR="00670296">
        <w:rPr>
          <w:lang w:val="en-GB"/>
        </w:rPr>
        <w:t> </w:t>
      </w:r>
      <w:r>
        <w:rPr>
          <w:lang w:val="en-GB"/>
        </w:rPr>
        <w:t>S2: Boxplot of the drawing distance according to instructions. Stars indicate significant difference between two instructions with p</w:t>
      </w:r>
      <w:r w:rsidR="00670296">
        <w:rPr>
          <w:lang w:val="en-GB"/>
        </w:rPr>
        <w:t xml:space="preserve"> </w:t>
      </w:r>
      <w:r>
        <w:rPr>
          <w:lang w:val="en-GB"/>
        </w:rPr>
        <w:t>&lt;0.05.</w:t>
      </w:r>
      <w:r w:rsidR="00AF0AA2">
        <w:rPr>
          <w:lang w:val="en-GB"/>
        </w:rPr>
        <w:t xml:space="preserve"> Kruskal-Wallis test gives a p-value &lt;0.0001</w:t>
      </w:r>
      <w:r w:rsidR="00670296">
        <w:rPr>
          <w:lang w:val="en-GB"/>
        </w:rPr>
        <w:t>.</w:t>
      </w:r>
    </w:p>
    <w:p w14:paraId="22B34482" w14:textId="051CB2CE" w:rsidR="006A6713" w:rsidRDefault="006A6713">
      <w:pPr>
        <w:rPr>
          <w:b/>
          <w:lang w:val="en-GB"/>
        </w:rPr>
      </w:pPr>
      <w:r w:rsidRPr="006A6713">
        <w:rPr>
          <w:b/>
          <w:lang w:val="en-GB"/>
        </w:rPr>
        <w:t>3. Angle distribution metric</w:t>
      </w:r>
    </w:p>
    <w:p w14:paraId="6FBC8C88" w14:textId="1E2C0E87" w:rsidR="00126150" w:rsidRDefault="006A6713" w:rsidP="00126150">
      <w:pPr>
        <w:rPr>
          <w:lang w:val="en-GB"/>
        </w:rPr>
      </w:pPr>
      <w:r w:rsidRPr="006A6713">
        <w:rPr>
          <w:lang w:val="en-GB"/>
        </w:rPr>
        <w:t>Goal</w:t>
      </w:r>
      <w:r w:rsidR="00670296">
        <w:rPr>
          <w:lang w:val="en-GB"/>
        </w:rPr>
        <w:t xml:space="preserve"> </w:t>
      </w:r>
      <w:r w:rsidRPr="006A6713">
        <w:rPr>
          <w:lang w:val="en-GB"/>
        </w:rPr>
        <w:t xml:space="preserve">directedness in animals </w:t>
      </w:r>
      <w:r>
        <w:rPr>
          <w:lang w:val="en-GB"/>
        </w:rPr>
        <w:t xml:space="preserve">is assessed by individuals moving in straight lines with </w:t>
      </w:r>
      <w:r w:rsidR="005664A7">
        <w:rPr>
          <w:lang w:val="en-GB"/>
        </w:rPr>
        <w:t xml:space="preserve">limited </w:t>
      </w:r>
      <w:r>
        <w:rPr>
          <w:lang w:val="en-GB"/>
        </w:rPr>
        <w:t>tortuosity, except when they arrive at a food resource</w:t>
      </w:r>
      <w:r w:rsidR="005664A7">
        <w:rPr>
          <w:lang w:val="en-GB"/>
        </w:rPr>
        <w:t xml:space="preserve"> site </w:t>
      </w:r>
      <w:r>
        <w:rPr>
          <w:lang w:val="en-GB"/>
        </w:rPr>
        <w:t xml:space="preserve">and </w:t>
      </w:r>
      <w:r w:rsidR="005664A7">
        <w:rPr>
          <w:lang w:val="en-GB"/>
        </w:rPr>
        <w:t xml:space="preserve">start to </w:t>
      </w:r>
      <w:r>
        <w:rPr>
          <w:lang w:val="en-GB"/>
        </w:rPr>
        <w:t xml:space="preserve">forage. Drawing intentionality can be considered similar to animal food research efficiency </w:t>
      </w:r>
      <w:r>
        <w:rPr>
          <w:lang w:val="en-GB"/>
        </w:rPr>
        <w:fldChar w:fldCharType="begin"/>
      </w:r>
      <w:r w:rsidR="000C04D0">
        <w:rPr>
          <w:lang w:val="en-GB"/>
        </w:rPr>
        <w:instrText xml:space="preserve"> ADDIN ZOTERO_ITEM CSL_CITATION {"citationID":"OezCIO9Q","properties":{"formattedCitation":"\\super 1,10\\nosupersub{}","plainCitation":"1,10","noteIndex":0},"citationItems":[{"id":6750,"uris":["http://zotero.org/users/289520/items/GJX5EH8J"],"uri":["http://zotero.org/users/289520/items/GJX5EH8J"],"itemData":{"id":6750,"type":"article-journal","abstract":"Techniques used in cave art suggest that drawing skills emerged long before the oldest known representative human productions (44,000 years bc). This study seeks to improve our knowledge of the evolutionary origins and the ontogenetic development of drawing behavior by studying drawings of humans (N = 178, 3- to 10-year-old children and adults) and chimpanzees (N = 5). Drawings were characterized with an innovative index based on spatial measures which provides the degree of efficiency for the lines that are drawn. Results showed that this index was lowest in chimpanzees, increased and reached its maximum between 5-year-old and 10-year-old children and decreased in adults, whose drawing efficiency was reduced by the addition of details. Drawings of chimpanzees are not random suggesting that their movements are constrained by cognitive or locomotor aspect and we cannot conclude to the absence of representativeness. We also used indices based on colors and time and asked children about what they drew. These indices can be considered relevant tools to improve our understanding of drawing development and evolution in hominids.","container-title":"Scientific Reports","DOI":"10.1038/s41598-021-83043-0","ISSN":"2045-2322","issue":"1","language":"en","note":"number: 1\npublisher: Nature Publishing Group","page":"3860","source":"www.nature.com","title":"New indices to characterize drawing behavior in humans ( Homo sapiens ) and chimpanzees ( Pan troglodytes )","volume":"11","author":[{"family":"Martinet","given":"Lison"},{"family":"Sueur","given":"Cédric"},{"family":"Hirata","given":"Satoshi"},{"family":"Hosselet","given":"Jérôme"},{"family":"Matsuzawa","given":"Tetsuro"},{"family":"Pelé","given":"Marie"}],"issued":{"date-parts":[["2021",2,16]]}}},{"id":6772,"uris":["http://zotero.org/users/289520/items/8KQKDAPK"],"uri":["http://zotero.org/users/289520/items/8KQKDAPK"],"itemData":{"id":6772,"type":"article-journal","container-title":"Journal of Comparative Psychology","ISSN":"1939-2087","journalAbbreviation":"Journal of Comparative Psychology","note":"publisher: American Psychological Association","title":"Drawing in nonhuman primates: What we know and what remains to be investigated.","author":[{"family":"Martinet","given":"Lison"},{"family":"Pelé","given":"Marie"}],"issued":{"date-parts":[["2020"]]}}}],"schema":"https://github.com/citation-style-language/schema/raw/master/csl-citation.json"} </w:instrText>
      </w:r>
      <w:r>
        <w:rPr>
          <w:lang w:val="en-GB"/>
        </w:rPr>
        <w:fldChar w:fldCharType="separate"/>
      </w:r>
      <w:r w:rsidR="000C04D0" w:rsidRPr="000C04D0">
        <w:rPr>
          <w:rFonts w:ascii="Calibri" w:hAnsi="Calibri" w:cs="Calibri"/>
          <w:szCs w:val="24"/>
          <w:vertAlign w:val="superscript"/>
        </w:rPr>
        <w:t>1,10</w:t>
      </w:r>
      <w:r>
        <w:rPr>
          <w:lang w:val="en-GB"/>
        </w:rPr>
        <w:fldChar w:fldCharType="end"/>
      </w:r>
      <w:r>
        <w:rPr>
          <w:lang w:val="en-GB"/>
        </w:rPr>
        <w:t xml:space="preserve">. Analyses of </w:t>
      </w:r>
      <w:r w:rsidR="005664A7">
        <w:rPr>
          <w:lang w:val="en-GB"/>
        </w:rPr>
        <w:t xml:space="preserve">angle </w:t>
      </w:r>
      <w:r>
        <w:rPr>
          <w:lang w:val="en-GB"/>
        </w:rPr>
        <w:t xml:space="preserve">distributions </w:t>
      </w:r>
      <w:r w:rsidR="00126150">
        <w:rPr>
          <w:lang w:val="en-GB"/>
        </w:rPr>
        <w:t>(i.e. turning angles)</w:t>
      </w:r>
      <w:r>
        <w:rPr>
          <w:lang w:val="en-GB"/>
        </w:rPr>
        <w:t xml:space="preserve"> between two trajectories or </w:t>
      </w:r>
      <w:r w:rsidR="00126150">
        <w:rPr>
          <w:lang w:val="en-GB"/>
        </w:rPr>
        <w:t xml:space="preserve">lengths can be </w:t>
      </w:r>
      <w:r w:rsidR="0005312D">
        <w:rPr>
          <w:lang w:val="en-GB"/>
        </w:rPr>
        <w:t>considered as a reliable</w:t>
      </w:r>
      <w:r w:rsidR="00126150">
        <w:rPr>
          <w:lang w:val="en-GB"/>
        </w:rPr>
        <w:t xml:space="preserve"> way to measure goal</w:t>
      </w:r>
      <w:r w:rsidR="00670296">
        <w:rPr>
          <w:lang w:val="en-GB"/>
        </w:rPr>
        <w:t xml:space="preserve"> </w:t>
      </w:r>
      <w:r w:rsidR="00126150">
        <w:rPr>
          <w:lang w:val="en-GB"/>
        </w:rPr>
        <w:t xml:space="preserve">directedness and tortuosity </w:t>
      </w:r>
      <w:r w:rsidR="00126150">
        <w:rPr>
          <w:lang w:val="en-GB"/>
        </w:rPr>
        <w:fldChar w:fldCharType="begin"/>
      </w:r>
      <w:r w:rsidR="00B43B3B">
        <w:rPr>
          <w:lang w:val="en-GB"/>
        </w:rPr>
        <w:instrText xml:space="preserve"> ADDIN ZOTERO_ITEM CSL_CITATION {"citationID":"VqliyTHS","properties":{"formattedCitation":"\\super 11\\uc0\\u8211{}13\\nosupersub{}","plainCitation":"11–13","noteIndex":0},"citationItems":[{"id":6724,"uris":["http://zotero.org/users/289520/items/LM5VVM5V"],"uri":["http://zotero.org/users/289520/items/LM5VVM5V"],"itemData":{"id":6724,"type":"article-journal","abstract":"Animal searches cover a full range of possibilities from highly deterministic to apparently completely random behaviors. However, even those stochastic components of animal movement can be adaptive, since not all random distributions lead to similar success in finding targets. Here we address the general problem of optimizing encounter rates in non-deterministic, non-oriented searches, both in homogeneous and patchy target landscapes. Specifically, we investigate how two different features related to turning angle distributions influence encounter success: (i) the shape (relative kurtosis) of the angular distribution and (ii) the correlations between successive relative orientations (directional memory). Such influence is analyzed in correlated random walk models using a proper choice of representative turning angle distributions of the recently proposed Jones and Pewsey class. We consider the cases of distributions with nearly the same shape but considerably distinct correlation lengths, and distributions with same correlation but with contrasting relative kurtosis. In homogeneous landscapes, we find that the correlation length has a large influence in the search efficiency. Moreover, similar search efficiencies can be reached by means of distinctly shaped turning angle distributions, provided that the resulting correlation length is the same. In contrast, in patchy landscapes the particular shape of the distribution also becomes relevant for the search efficiency, specially at high target densities. Excessively sharp distributions generate very inefficient searches in landscapes where local target density fluctuations are large. These results are of evolutionary interest. On the one hand, it is shown that equally successful directional memory can arise from contrasting turning behaviors, therefore increasing the likelihood of robust adaptive stochastic behavior. On the other hand, when target landscape is patchy, adequate tumbling may help to explore better local scale heterogeneities, being some details of the shape of the distribution also potentially adaptive.","container-title":"Journal of Theoretical Biology","DOI":"10.1016/j.jtbi.2008.01.009","ISSN":"0022-5193","issue":"1","journalAbbreviation":"Journal of Theoretical Biology","language":"en","page":"43-55","source":"ScienceDirect","title":"The influence of turning angles on the success of non-oriented animal searches","volume":"252","author":[{"family":"Bartumeus","given":"F."},{"family":"Catalan","given":"J."},{"family":"Viswanathan","given":"G. M."},{"family":"Raposo","given":"E. P."},{"family":"Luz","given":"M. G. E.","non-dropping-particle":"da"}],"issued":{"date-parts":[["2008",5,7]]}}},{"id":6760,"uris":["http://zotero.org/users/289520/items/JTUG7V75"],"uri":["http://zotero.org/users/289520/items/JTUG7V75"],"itemData":{"id":6760,"type":"article-journal","abstract":"Background Movement data are frequently collected using Global Positioning System (GPS) receivers, but recorded GPS locations are subject to errors. While past studies have suggested methods to improve location accuracy, mechanistic movement models utilize distributions of turning angles and directional biases and these data present a new challenge in recognizing and reducing the effect of measurement error. Methods I collected locations from a stationary GPS collar, analyzed a probabilistic model and used Monte Carlo simulations to understand how measurement error affects measured turning angles and directional biases. Results Results from each of the three methods were in complete agreement: measurement error gives rise to a systematic bias where a stationary animal is most likely to be measured as turning 180° or moving towards a fixed point in space. These spurious effects occur in GPS data when the measured distance between locations is &lt;20 meters. Conclusions Measurement error must be considered as a possible cause of 180° turning angles in GPS data. Consequences of failing to account for measurement error are predicting overly tortuous movement, numerous returns to previously visited locations, inaccurately predicting species range, core areas, and the frequency of crossing linear features. By understanding the effect of GPS measurement error, ecologists are able to disregard false signals to more accurately design conservation plans for endangered wildlife.","container-title":"PLOS ONE","DOI":"10.1371/journal.pone.0005632","ISSN":"1932-6203","issue":"5","journalAbbreviation":"PLOS ONE","language":"en","note":"publisher: Public Library of Science","page":"e5632","source":"PLoS Journals","title":"GPS Measurement Error Gives Rise to Spurious 180° Turning Angles and Strong Directional Biases in Animal Movement Data","volume":"4","author":[{"family":"Hurford","given":"Amy"}],"issued":{"date-parts":[["2009",5,20]]}}},{"id":6727,"uris":["http://zotero.org/users/289520/items/5NWEWSBI"],"uri":["http://zotero.org/users/289520/items/5NWEWSBI"],"itemData":{"id":6727,"type":"article-journal","abstract":"Recent advances in biologging have resulted in animal location data at unprecedentedly high temporal resolutions, sometimes many times per second. However, many current methods for analysing animal movement (e.g. step selection analysis or state-space modelling) were developed with lower-resolution data in mind. To make such methods usable with high-resolution data, we require techniques to identify features within the trajectory where movement deviates from a straight line. We propose that the intricacies of movement paths, and particularly turns, reflect decisions made by animals so that turn points are particularly relevant to behavioural ecologists. As such, we introduce a fast, accurate algorithm for inferring turning-points in high-resolution data. For analysing big data, speed and scalability are vitally important. We test our algorithm on simulated data, where varying amounts of noise were added to paths of straight-line segments interspersed with turns. We also demonstrate our algorithm on data of free-ranging oryx Oryx leucoryx. We compare our algorithm to existing statistical techniques for break-point inference. The algorithm scales linearly and can analyse several hundred-thousand data points in a few seconds on a mid-range desktop computer. It identified turnpoints in simulated data with complete accuracy when the noise in the headings had a standard deviation of ±8</w:instrText>
      </w:r>
      <w:r w:rsidR="00B43B3B">
        <w:rPr>
          <w:rFonts w:ascii="Cambria Math" w:hAnsi="Cambria Math" w:cs="Cambria Math"/>
          <w:lang w:val="en-GB"/>
        </w:rPr>
        <w:instrText>∘</w:instrText>
      </w:r>
      <w:r w:rsidR="00B43B3B">
        <w:rPr>
          <w:lang w:val="en-GB"/>
        </w:rPr>
        <w:instrText xml:space="preserve">, well within the tolerance of many modern biologgers. It has comparable accuracy to the existing algorithms tested, and is up to three orders of magnitude faster. Our algorithm, freely available in R and Python, serves as an initial step in processing ultra high-resolution animal movement data, resulting in a rarefied path that can be used as an input into many existing step-and-turn methods of analysis. The resulting path consists of points where the animal makes a clear turn, and thereby provides valuable data on decisions underlying movement patterns. As such, it provides an important breakthrough required as a starting point for analysing subsecond resolution data.","container-title":"Methods in Ecology and Evolution","DOI":"https://doi.org/10.1111/2041-210X.13056","ISSN":"2041-210X","issue":"10","language":"en","note":"_eprint: https://besjournals.onlinelibrary.wiley.com/doi/pdf/10.1111/2041-210X.13056","page":"2091-2101","source":"Wiley Online Library","title":"Finding turning-points in ultra-high-resolution animal movement data","volume":"9","author":[{"family":"Potts","given":"Jonathan R."},{"family":"Börger","given":"Luca"},{"family":"Scantlebury","given":"D. Michael"},{"family":"Bennett","given":"Nigel C."},{"family":"Alagaili","given":"Abdulaziz"},{"family":"Wilson","given":"Rory P."}],"issued":{"date-parts":[["2018"]]}}}],"schema":"https://github.com/citation-style-language/schema/raw/master/csl-citation.json"} </w:instrText>
      </w:r>
      <w:r w:rsidR="00126150">
        <w:rPr>
          <w:lang w:val="en-GB"/>
        </w:rPr>
        <w:fldChar w:fldCharType="separate"/>
      </w:r>
      <w:r w:rsidR="00B43B3B" w:rsidRPr="00B43B3B">
        <w:rPr>
          <w:rFonts w:ascii="Calibri" w:hAnsi="Calibri" w:cs="Calibri"/>
          <w:szCs w:val="24"/>
          <w:vertAlign w:val="superscript"/>
          <w:lang w:val="en-US"/>
        </w:rPr>
        <w:t>11–13</w:t>
      </w:r>
      <w:r w:rsidR="00126150">
        <w:rPr>
          <w:lang w:val="en-GB"/>
        </w:rPr>
        <w:fldChar w:fldCharType="end"/>
      </w:r>
      <w:r w:rsidR="00126150">
        <w:rPr>
          <w:lang w:val="en-GB"/>
        </w:rPr>
        <w:t xml:space="preserve">. </w:t>
      </w:r>
      <w:r w:rsidR="00126150" w:rsidRPr="00126150">
        <w:rPr>
          <w:lang w:val="en-GB"/>
        </w:rPr>
        <w:t xml:space="preserve">A turning angle is the difference in direction for two successive </w:t>
      </w:r>
      <w:r w:rsidR="00126150">
        <w:rPr>
          <w:lang w:val="en-GB"/>
        </w:rPr>
        <w:t xml:space="preserve">vectors or steps. We followed the same methodology as described in </w:t>
      </w:r>
      <w:r w:rsidR="00126150">
        <w:rPr>
          <w:b/>
          <w:lang w:val="en-GB"/>
        </w:rPr>
        <w:t xml:space="preserve">1. </w:t>
      </w:r>
      <w:r w:rsidR="00126150">
        <w:rPr>
          <w:rFonts w:cstheme="minorHAnsi"/>
          <w:b/>
          <w:lang w:val="en-GB"/>
        </w:rPr>
        <w:t>μ</w:t>
      </w:r>
      <w:r w:rsidR="005664A7">
        <w:rPr>
          <w:rFonts w:cstheme="minorHAnsi"/>
          <w:b/>
          <w:lang w:val="en-GB"/>
        </w:rPr>
        <w:t>MLE</w:t>
      </w:r>
      <w:r w:rsidR="00126150">
        <w:rPr>
          <w:b/>
          <w:lang w:val="en-GB"/>
        </w:rPr>
        <w:t xml:space="preserve">. </w:t>
      </w:r>
      <w:r w:rsidR="00126150" w:rsidRPr="00C801EB">
        <w:rPr>
          <w:lang w:val="en-GB"/>
        </w:rPr>
        <w:t>As coordinate scoring of the drawing was continuous (one point per frame), we focused on active changes</w:t>
      </w:r>
      <w:r w:rsidR="00126150">
        <w:rPr>
          <w:lang w:val="en-GB"/>
        </w:rPr>
        <w:t xml:space="preserve"> </w:t>
      </w:r>
      <w:r w:rsidR="00126150">
        <w:rPr>
          <w:lang w:val="en-GB"/>
        </w:rPr>
        <w:fldChar w:fldCharType="begin"/>
      </w:r>
      <w:r w:rsidR="00B43B3B">
        <w:rPr>
          <w:lang w:val="en-GB"/>
        </w:rPr>
        <w:instrText xml:space="preserve"> ADDIN ZOTERO_ITEM CSL_CITATION {"citationID":"7BA9hZ2T","properties":{"formattedCitation":"\\super 4,5\\nosupersub{}","plainCitation":"4,5","noteIndex":0},"citationItems":[{"id":872,"uris":["http://zotero.org/users/289520/items/SF7KP67R"],"uri":["http://zotero.org/users/289520/items/SF7KP67R"],"itemData":{"id":872,"type":"article-journal","abstract":"Efficient exploitation of large-scale space is crucial to many species of animal, but the difficulties of studying how animals decide on travel routes in natural environments have hampered scientific understanding of environmental cognition. Field experiments allow researchers to define travel goals for their subjects, but practical difficulties restrict large-scale studies. In contrast, data on natural travel patterns are abundant and easy to record, but hard to interpret without circularity and subjectivity when making inferences about when and why an animal began heading to a particular location. We present a method of determining objectively the point at which an animal's travel path becomes directed at a location, for instance a distant feeding site, based on the statistical characteristics of its route. We evaluate this method and illustrate how it can be tailored to particular problems, using data that are (1) synthetic, (2) from chacma baboons, Papio ursinus, where travel is from a single sleeping site in an overlapping home range, and (3) from chimpanzees, Pan troglodytes, where sleeping sites are unlimited within a large territory. We suggest that this [`]change-point test' might usefully become a routine first step in interpreting the decision making behind animal travel under natural conditions.","call-number":"0011","container-title":"Animal Behaviour","DOI":"10.1016/j.anbehav.2008.11.014","ISSN":"0003-3472","issue":"3","page":"619-631","source":"ScienceDirect","title":"How did they get here from there? Detecting changes of direction in terrestrial ranging","title-short":"How did they get here from there?","volume":"77","author":[{"family":"Byrne","given":"R.W."},{"family":"Noser","given":"R."},{"family":"Bates","given":"L.A."},{"family":"Jupp","given":"P.E."}],"issued":{"date-parts":[["2009",3]]}}},{"id":1025,"uris":["http://zotero.org/users/289520/items/WCFD9FR6"],"uri":["http://zotero.org/users/289520/items/WCFD9FR6"],"itemData":{"id":1025,"type":"article-journal","abstract":"Efficient space use is a critical challenge for animals relying on stationary resources. It is often difficult with purely observational methods to gain unambiguous insight into any ability of primates to manage and process spatial information. Investigating the visible signs of the decision processes underlying space use often leaves open important issues. We applied the change point test [Byrne et al. (2009). Anim Behav 77: 619–631], a statistical tool to objectively determine change points (CPs) in animal travel paths, to investigate to what degree directional changes in our study group's (Papio ursinus) dry season ranging were associated with important resources and prominent landmarks. One-third of directional changes were associated with fruit feeding, 1/3 with traveling, and 1/3 with dry matter feeding, travel feeding and with drinking. When directional changes were associated with traveling, the subsequent directional changes were likely to result in fruit feeding. Fruit feeding mostly occurred at the apex of the day journeys, while drinking, dry matter feeding, and travel feeding often occurred along straight travel segments. The majority of directional changes did not occur in clusters at distinctive locations, but at distances of more than 120 m apart from each other, many of them along prominent landmarks. We conclude that the CPs do not represent nodes or route bends of a network map. Rather, they represent (1) locations where the decision to turn back to their sleeping site was taken, and (2) locations next to important landmarks (changes of slope, car tracks) where slight adjustment of a movement direction was possible. We found no evidence for a Euclidean map and discuss our findings in the light of a network map representation of space. Am. J. Primatol. Am. J. Primatol. 76:399–409, 2014. © 2013 Wiley Periodicals, Inc.","container-title":"American Journal of Primatology","DOI":"10.1002/ajp.22181","ISSN":"1098-2345","issue":"5","journalAbbreviation":"Am. J. Primatol.","language":"en","page":"399-409","source":"Wiley Online Library","title":"Change point analysis of travel routes reveals novel insights into foraging strategies and cognitive maps of wild baboons","volume":"76","author":[{"family":"Noser","given":"Rahel"},{"family":"Byrne","given":"Richard W."}],"issued":{"date-parts":[["2014",5,1]]}}}],"schema":"https://github.com/citation-style-language/schema/raw/master/csl-citation.json"} </w:instrText>
      </w:r>
      <w:r w:rsidR="00126150">
        <w:rPr>
          <w:lang w:val="en-GB"/>
        </w:rPr>
        <w:fldChar w:fldCharType="separate"/>
      </w:r>
      <w:r w:rsidR="00B43B3B" w:rsidRPr="00B43B3B">
        <w:rPr>
          <w:rFonts w:ascii="Calibri" w:hAnsi="Calibri" w:cs="Calibri"/>
          <w:szCs w:val="24"/>
          <w:vertAlign w:val="superscript"/>
          <w:lang w:val="en-US"/>
        </w:rPr>
        <w:t>4,5</w:t>
      </w:r>
      <w:r w:rsidR="00126150">
        <w:rPr>
          <w:lang w:val="en-GB"/>
        </w:rPr>
        <w:fldChar w:fldCharType="end"/>
      </w:r>
      <w:r w:rsidR="00126150" w:rsidRPr="00C801EB">
        <w:rPr>
          <w:lang w:val="en-GB"/>
        </w:rPr>
        <w:t>: a selection of points was carried out for each drawing via a change-point test under R s</w:t>
      </w:r>
      <w:r w:rsidR="00126150">
        <w:rPr>
          <w:lang w:val="en-GB"/>
        </w:rPr>
        <w:t xml:space="preserve">oftware (version 1.1.383; </w:t>
      </w:r>
      <w:r w:rsidR="00126150">
        <w:rPr>
          <w:lang w:val="en-GB"/>
        </w:rPr>
        <w:lastRenderedPageBreak/>
        <w:t>CPT</w:t>
      </w:r>
      <w:r w:rsidR="00126150" w:rsidRPr="00C801EB">
        <w:rPr>
          <w:lang w:val="en-GB"/>
        </w:rPr>
        <w:t xml:space="preserve">). </w:t>
      </w:r>
      <w:r w:rsidR="00126150" w:rsidRPr="00D358C3">
        <w:rPr>
          <w:lang w:val="en-GB"/>
        </w:rPr>
        <w:t xml:space="preserve">Step lengths between 0 and 10 pixels were removed </w:t>
      </w:r>
      <w:r w:rsidR="005664A7">
        <w:rPr>
          <w:lang w:val="en-GB"/>
        </w:rPr>
        <w:t xml:space="preserve">as </w:t>
      </w:r>
      <w:r w:rsidR="00126150" w:rsidRPr="00D358C3">
        <w:rPr>
          <w:lang w:val="en-GB"/>
        </w:rPr>
        <w:t>they often corresponded to very short, inactive movements such as imprecise lines or finger sideslips</w:t>
      </w:r>
      <w:r w:rsidR="005664A7">
        <w:rPr>
          <w:lang w:val="en-GB"/>
        </w:rPr>
        <w:t>,</w:t>
      </w:r>
      <w:r w:rsidR="00126150" w:rsidRPr="00D358C3">
        <w:rPr>
          <w:lang w:val="en-GB"/>
        </w:rPr>
        <w:t xml:space="preserve"> and caused inaccuracies.</w:t>
      </w:r>
      <w:r w:rsidR="00126150">
        <w:rPr>
          <w:lang w:val="en-GB"/>
        </w:rPr>
        <w:t xml:space="preserve"> </w:t>
      </w:r>
      <w:r w:rsidR="005664A7">
        <w:rPr>
          <w:lang w:val="en-GB"/>
        </w:rPr>
        <w:t>F</w:t>
      </w:r>
      <w:r w:rsidR="00126150">
        <w:rPr>
          <w:lang w:val="en-GB"/>
        </w:rPr>
        <w:t>unction</w:t>
      </w:r>
      <w:r w:rsidR="00670296">
        <w:rPr>
          <w:lang w:val="en-GB"/>
        </w:rPr>
        <w:t> </w:t>
      </w:r>
      <w:r w:rsidR="00126150">
        <w:rPr>
          <w:lang w:val="en-GB"/>
        </w:rPr>
        <w:t>ATAN2 in Excel</w:t>
      </w:r>
      <w:r w:rsidR="005664A7">
        <w:rPr>
          <w:lang w:val="en-GB"/>
        </w:rPr>
        <w:t xml:space="preserve"> was then used</w:t>
      </w:r>
      <w:r w:rsidR="00126150">
        <w:rPr>
          <w:lang w:val="en-GB"/>
        </w:rPr>
        <w:t xml:space="preserve"> to calculate the angle (in radian</w:t>
      </w:r>
      <w:r w:rsidR="00670296">
        <w:rPr>
          <w:lang w:val="en-GB"/>
        </w:rPr>
        <w:t>s</w:t>
      </w:r>
      <w:r w:rsidR="00126150">
        <w:rPr>
          <w:lang w:val="en-GB"/>
        </w:rPr>
        <w:t xml:space="preserve">) between two consecutive points and </w:t>
      </w:r>
      <w:r w:rsidR="005664A7">
        <w:rPr>
          <w:lang w:val="en-GB"/>
        </w:rPr>
        <w:t>convert</w:t>
      </w:r>
      <w:r w:rsidR="00126150">
        <w:rPr>
          <w:lang w:val="en-GB"/>
        </w:rPr>
        <w:t xml:space="preserve"> radian</w:t>
      </w:r>
      <w:r w:rsidR="00670296">
        <w:rPr>
          <w:lang w:val="en-GB"/>
        </w:rPr>
        <w:t>s</w:t>
      </w:r>
      <w:r w:rsidR="00126150">
        <w:rPr>
          <w:lang w:val="en-GB"/>
        </w:rPr>
        <w:t xml:space="preserve"> in</w:t>
      </w:r>
      <w:r w:rsidR="005664A7">
        <w:rPr>
          <w:lang w:val="en-GB"/>
        </w:rPr>
        <w:t>to</w:t>
      </w:r>
      <w:r w:rsidR="00126150">
        <w:rPr>
          <w:lang w:val="en-GB"/>
        </w:rPr>
        <w:t xml:space="preserve"> degree</w:t>
      </w:r>
      <w:r w:rsidR="005664A7">
        <w:rPr>
          <w:lang w:val="en-GB"/>
        </w:rPr>
        <w:t>s</w:t>
      </w:r>
      <w:r w:rsidR="00126150">
        <w:rPr>
          <w:lang w:val="en-GB"/>
        </w:rPr>
        <w:t>. We applied corrections to o</w:t>
      </w:r>
      <w:r w:rsidR="0005312D">
        <w:rPr>
          <w:lang w:val="en-GB"/>
        </w:rPr>
        <w:t>nly retain</w:t>
      </w:r>
      <w:r w:rsidR="00126150">
        <w:rPr>
          <w:lang w:val="en-GB"/>
        </w:rPr>
        <w:t xml:space="preserve"> angles between 0° and 180°</w:t>
      </w:r>
      <w:r w:rsidR="00993F77">
        <w:rPr>
          <w:lang w:val="en-GB"/>
        </w:rPr>
        <w:t>,</w:t>
      </w:r>
      <w:r w:rsidR="00126150">
        <w:rPr>
          <w:lang w:val="en-GB"/>
        </w:rPr>
        <w:t xml:space="preserve"> as movements are oriented. We then calculate</w:t>
      </w:r>
      <w:r w:rsidR="005664A7">
        <w:rPr>
          <w:lang w:val="en-GB"/>
        </w:rPr>
        <w:t>d</w:t>
      </w:r>
      <w:r w:rsidR="00126150">
        <w:rPr>
          <w:lang w:val="en-GB"/>
        </w:rPr>
        <w:t xml:space="preserve"> the survival distribution </w:t>
      </w:r>
      <w:r w:rsidR="005664A7">
        <w:rPr>
          <w:lang w:val="en-GB"/>
        </w:rPr>
        <w:t xml:space="preserve">of angles </w:t>
      </w:r>
      <w:r w:rsidR="00126150">
        <w:rPr>
          <w:lang w:val="en-GB"/>
        </w:rPr>
        <w:t>(i.e. going from 1</w:t>
      </w:r>
      <w:r w:rsidR="00756A2C">
        <w:rPr>
          <w:lang w:val="en-GB"/>
        </w:rPr>
        <w:t xml:space="preserve"> or 100% of points to 0) for each drawing. </w:t>
      </w:r>
      <w:r w:rsidR="005664A7">
        <w:rPr>
          <w:lang w:val="en-GB"/>
        </w:rPr>
        <w:t>A</w:t>
      </w:r>
      <w:r w:rsidR="00756A2C">
        <w:rPr>
          <w:lang w:val="en-GB"/>
        </w:rPr>
        <w:t xml:space="preserve"> cubic function</w:t>
      </w:r>
      <w:r w:rsidR="005664A7">
        <w:rPr>
          <w:lang w:val="en-GB"/>
        </w:rPr>
        <w:t xml:space="preserve"> was fitted</w:t>
      </w:r>
      <w:r w:rsidR="00756A2C">
        <w:rPr>
          <w:lang w:val="en-GB"/>
        </w:rPr>
        <w:t xml:space="preserve"> to the distribution. Examples of drawings and the respective dist</w:t>
      </w:r>
      <w:r w:rsidR="007F3797">
        <w:rPr>
          <w:lang w:val="en-GB"/>
        </w:rPr>
        <w:t xml:space="preserve">ributions are given in </w:t>
      </w:r>
      <w:r w:rsidR="005664A7">
        <w:rPr>
          <w:lang w:val="en-GB"/>
        </w:rPr>
        <w:t>F</w:t>
      </w:r>
      <w:r w:rsidR="007F3797">
        <w:rPr>
          <w:lang w:val="en-GB"/>
        </w:rPr>
        <w:t>igure</w:t>
      </w:r>
      <w:r w:rsidR="00670296">
        <w:rPr>
          <w:lang w:val="en-GB"/>
        </w:rPr>
        <w:t> </w:t>
      </w:r>
      <w:r w:rsidR="007F3797">
        <w:rPr>
          <w:lang w:val="en-GB"/>
        </w:rPr>
        <w:t>S3</w:t>
      </w:r>
      <w:r w:rsidR="00756A2C">
        <w:rPr>
          <w:lang w:val="en-GB"/>
        </w:rPr>
        <w:t xml:space="preserve">. </w:t>
      </w:r>
      <w:r w:rsidR="000C04D0">
        <w:rPr>
          <w:noProof/>
          <w:lang w:val="en-GB"/>
        </w:rPr>
        <w:pict w14:anchorId="3FE0F5DF">
          <v:shape id="_x0000_i1026" type="#_x0000_t75" alt="figure angles" style="width:454.2pt;height:303pt;mso-width-percent:0;mso-height-percent:0;mso-width-percent:0;mso-height-percent:0">
            <v:imagedata r:id="rId10" o:title="figure angles"/>
          </v:shape>
        </w:pict>
      </w:r>
    </w:p>
    <w:p w14:paraId="7113A3F8" w14:textId="02F2577F" w:rsidR="005C6D7D" w:rsidRDefault="00F641E4" w:rsidP="00126150">
      <w:pPr>
        <w:rPr>
          <w:lang w:val="en-GB"/>
        </w:rPr>
      </w:pPr>
      <w:r>
        <w:rPr>
          <w:lang w:val="en-GB"/>
        </w:rPr>
        <w:t>Figure</w:t>
      </w:r>
      <w:r w:rsidR="00670296">
        <w:rPr>
          <w:lang w:val="en-GB"/>
        </w:rPr>
        <w:t> </w:t>
      </w:r>
      <w:r>
        <w:rPr>
          <w:lang w:val="en-GB"/>
        </w:rPr>
        <w:t>S3</w:t>
      </w:r>
      <w:r w:rsidR="005C6D7D">
        <w:rPr>
          <w:lang w:val="en-GB"/>
        </w:rPr>
        <w:t xml:space="preserve">: </w:t>
      </w:r>
      <w:r w:rsidR="005664A7">
        <w:rPr>
          <w:lang w:val="en-GB"/>
        </w:rPr>
        <w:t>A</w:t>
      </w:r>
      <w:r w:rsidR="005C6D7D">
        <w:rPr>
          <w:lang w:val="en-GB"/>
        </w:rPr>
        <w:t xml:space="preserve">nalysis of angles distribution. </w:t>
      </w:r>
      <w:r w:rsidR="005664A7">
        <w:rPr>
          <w:lang w:val="en-GB"/>
        </w:rPr>
        <w:t>The o</w:t>
      </w:r>
      <w:r w:rsidR="005C6D7D">
        <w:rPr>
          <w:lang w:val="en-GB"/>
        </w:rPr>
        <w:t xml:space="preserve">riginal drawing </w:t>
      </w:r>
      <w:r w:rsidR="00670296">
        <w:rPr>
          <w:lang w:val="en-GB"/>
        </w:rPr>
        <w:t>is</w:t>
      </w:r>
      <w:r w:rsidR="005C6D7D">
        <w:rPr>
          <w:lang w:val="en-GB"/>
        </w:rPr>
        <w:t xml:space="preserve"> transformed in</w:t>
      </w:r>
      <w:r w:rsidR="0093085E">
        <w:rPr>
          <w:lang w:val="en-GB"/>
        </w:rPr>
        <w:t>to</w:t>
      </w:r>
      <w:r w:rsidR="005C6D7D">
        <w:rPr>
          <w:lang w:val="en-GB"/>
        </w:rPr>
        <w:t xml:space="preserve"> vector</w:t>
      </w:r>
      <w:r w:rsidR="0093085E">
        <w:rPr>
          <w:lang w:val="en-GB"/>
        </w:rPr>
        <w:t>s</w:t>
      </w:r>
      <w:r w:rsidR="0005312D">
        <w:rPr>
          <w:lang w:val="en-GB"/>
        </w:rPr>
        <w:t xml:space="preserve"> (i.e. trajectories) </w:t>
      </w:r>
      <w:r w:rsidR="005C6D7D">
        <w:rPr>
          <w:lang w:val="en-GB"/>
        </w:rPr>
        <w:t>following the change-point test</w:t>
      </w:r>
      <w:r w:rsidR="005664A7">
        <w:rPr>
          <w:lang w:val="en-GB"/>
        </w:rPr>
        <w:t>,</w:t>
      </w:r>
      <w:r w:rsidR="005C6D7D">
        <w:rPr>
          <w:lang w:val="en-GB"/>
        </w:rPr>
        <w:t xml:space="preserve"> and angles are calculated. The angle survival distribution is</w:t>
      </w:r>
      <w:r w:rsidR="005664A7">
        <w:rPr>
          <w:lang w:val="en-GB"/>
        </w:rPr>
        <w:t xml:space="preserve"> then</w:t>
      </w:r>
      <w:r w:rsidR="005C6D7D">
        <w:rPr>
          <w:lang w:val="en-GB"/>
        </w:rPr>
        <w:t xml:space="preserve"> fitted with a cubic function.</w:t>
      </w:r>
    </w:p>
    <w:p w14:paraId="5ABED441" w14:textId="3D938BA0" w:rsidR="005C6D7D" w:rsidRDefault="005C6D7D" w:rsidP="00126150">
      <w:pPr>
        <w:rPr>
          <w:lang w:val="en-GB"/>
        </w:rPr>
      </w:pPr>
      <w:r>
        <w:rPr>
          <w:lang w:val="en-GB"/>
        </w:rPr>
        <w:t>The cubic function is y=-ax</w:t>
      </w:r>
      <w:r w:rsidRPr="005C6D7D">
        <w:rPr>
          <w:vertAlign w:val="superscript"/>
          <w:lang w:val="en-GB"/>
        </w:rPr>
        <w:t>3</w:t>
      </w:r>
      <w:r>
        <w:rPr>
          <w:lang w:val="en-GB"/>
        </w:rPr>
        <w:t xml:space="preserve">+bx²-cx+d. The more the distribution looks like a straight line, the lower </w:t>
      </w:r>
      <w:r w:rsidR="005664A7">
        <w:rPr>
          <w:lang w:val="en-GB"/>
        </w:rPr>
        <w:t xml:space="preserve">the values of </w:t>
      </w:r>
      <w:r>
        <w:rPr>
          <w:lang w:val="en-GB"/>
        </w:rPr>
        <w:t>a, b and c</w:t>
      </w:r>
      <w:r w:rsidR="005664A7">
        <w:rPr>
          <w:lang w:val="en-GB"/>
        </w:rPr>
        <w:t xml:space="preserve"> will be</w:t>
      </w:r>
      <w:r>
        <w:rPr>
          <w:lang w:val="en-GB"/>
        </w:rPr>
        <w:t xml:space="preserve">. The </w:t>
      </w:r>
      <w:r w:rsidR="005664A7">
        <w:rPr>
          <w:lang w:val="en-GB"/>
        </w:rPr>
        <w:t>more</w:t>
      </w:r>
      <w:r>
        <w:rPr>
          <w:lang w:val="en-GB"/>
        </w:rPr>
        <w:t xml:space="preserve"> the curve looks like a sigmoid or inversed power function, the higher </w:t>
      </w:r>
      <w:r w:rsidR="005664A7">
        <w:rPr>
          <w:lang w:val="en-GB"/>
        </w:rPr>
        <w:t xml:space="preserve">the values of </w:t>
      </w:r>
      <w:r>
        <w:rPr>
          <w:lang w:val="en-GB"/>
        </w:rPr>
        <w:t>a, b</w:t>
      </w:r>
      <w:r w:rsidR="005664A7">
        <w:rPr>
          <w:lang w:val="en-GB"/>
        </w:rPr>
        <w:t xml:space="preserve"> and </w:t>
      </w:r>
      <w:r>
        <w:rPr>
          <w:lang w:val="en-GB"/>
        </w:rPr>
        <w:t>c</w:t>
      </w:r>
      <w:r w:rsidR="005664A7">
        <w:rPr>
          <w:lang w:val="en-GB"/>
        </w:rPr>
        <w:t xml:space="preserve"> will be</w:t>
      </w:r>
      <w:r>
        <w:rPr>
          <w:lang w:val="en-GB"/>
        </w:rPr>
        <w:t>. The three constants a, b</w:t>
      </w:r>
      <w:r w:rsidR="005664A7">
        <w:rPr>
          <w:lang w:val="en-GB"/>
        </w:rPr>
        <w:t xml:space="preserve"> and</w:t>
      </w:r>
      <w:r>
        <w:rPr>
          <w:lang w:val="en-GB"/>
        </w:rPr>
        <w:t xml:space="preserve"> c are highly correlated and can be combined using a principal component </w:t>
      </w:r>
      <w:r w:rsidR="00F46619">
        <w:rPr>
          <w:lang w:val="en-GB"/>
        </w:rPr>
        <w:t>analysis, where</w:t>
      </w:r>
      <w:r w:rsidR="005664A7">
        <w:rPr>
          <w:lang w:val="en-GB"/>
        </w:rPr>
        <w:t xml:space="preserve"> </w:t>
      </w:r>
      <w:r>
        <w:rPr>
          <w:lang w:val="en-GB"/>
        </w:rPr>
        <w:t xml:space="preserve">one dimension explained 82% of variance for </w:t>
      </w:r>
      <w:r w:rsidR="00670296">
        <w:rPr>
          <w:lang w:val="en-GB"/>
        </w:rPr>
        <w:t>d</w:t>
      </w:r>
      <w:r>
        <w:rPr>
          <w:lang w:val="en-GB"/>
        </w:rPr>
        <w:t>ataset#1 (dimension</w:t>
      </w:r>
      <w:r w:rsidR="00670296">
        <w:rPr>
          <w:lang w:val="en-GB"/>
        </w:rPr>
        <w:t> </w:t>
      </w:r>
      <w:r>
        <w:rPr>
          <w:lang w:val="en-GB"/>
        </w:rPr>
        <w:t>2 = 15%) and 90% of variance for dataset#2 (dimension</w:t>
      </w:r>
      <w:r w:rsidR="00670296">
        <w:rPr>
          <w:lang w:val="en-GB"/>
        </w:rPr>
        <w:t> </w:t>
      </w:r>
      <w:r>
        <w:rPr>
          <w:lang w:val="en-GB"/>
        </w:rPr>
        <w:t>2 = 5%). We used the values of dimension</w:t>
      </w:r>
      <w:r w:rsidR="00670296">
        <w:rPr>
          <w:lang w:val="en-GB"/>
        </w:rPr>
        <w:t> </w:t>
      </w:r>
      <w:r>
        <w:rPr>
          <w:lang w:val="en-GB"/>
        </w:rPr>
        <w:t>1 as values for the angle distribution metric for each drawing.</w:t>
      </w:r>
    </w:p>
    <w:p w14:paraId="28D232AF" w14:textId="56CE6E05" w:rsidR="005C3B2A" w:rsidRDefault="000C04D0" w:rsidP="00126150">
      <w:pPr>
        <w:rPr>
          <w:lang w:val="en-GB"/>
        </w:rPr>
      </w:pPr>
      <w:r>
        <w:rPr>
          <w:noProof/>
          <w:lang w:val="en-GB"/>
        </w:rPr>
        <w:lastRenderedPageBreak/>
        <w:pict w14:anchorId="3E8FE252">
          <v:shape id="_x0000_i1027" type="#_x0000_t75" alt="figure comparaison_Page_08" style="width:229.2pt;height:159.6pt;mso-width-percent:0;mso-height-percent:0;mso-width-percent:0;mso-height-percent:0">
            <v:imagedata r:id="rId11" o:title="figure comparaison_Page_08"/>
          </v:shape>
        </w:pict>
      </w:r>
    </w:p>
    <w:p w14:paraId="252E5C75" w14:textId="46E203DD" w:rsidR="005C3B2A" w:rsidRDefault="00F641E4" w:rsidP="00126150">
      <w:pPr>
        <w:rPr>
          <w:lang w:val="en-GB"/>
        </w:rPr>
      </w:pPr>
      <w:r>
        <w:rPr>
          <w:lang w:val="en-GB"/>
        </w:rPr>
        <w:t>Figure</w:t>
      </w:r>
      <w:r w:rsidR="00670296">
        <w:rPr>
          <w:lang w:val="en-GB"/>
        </w:rPr>
        <w:t> </w:t>
      </w:r>
      <w:r>
        <w:rPr>
          <w:lang w:val="en-GB"/>
        </w:rPr>
        <w:t>S4</w:t>
      </w:r>
      <w:r w:rsidR="005C3B2A">
        <w:rPr>
          <w:lang w:val="en-GB"/>
        </w:rPr>
        <w:t>: Boxplot of the angle distribution metric according to</w:t>
      </w:r>
      <w:r w:rsidR="005664A7">
        <w:rPr>
          <w:lang w:val="en-GB"/>
        </w:rPr>
        <w:t xml:space="preserve"> each</w:t>
      </w:r>
      <w:r w:rsidR="005C3B2A">
        <w:rPr>
          <w:lang w:val="en-GB"/>
        </w:rPr>
        <w:t xml:space="preserve"> instruction. </w:t>
      </w:r>
      <w:r w:rsidR="00AF0AA2">
        <w:rPr>
          <w:lang w:val="en-GB"/>
        </w:rPr>
        <w:t>A</w:t>
      </w:r>
      <w:r w:rsidR="00670296">
        <w:rPr>
          <w:lang w:val="en-GB"/>
        </w:rPr>
        <w:t>NOVA</w:t>
      </w:r>
      <w:r w:rsidR="00AF0AA2">
        <w:rPr>
          <w:lang w:val="en-GB"/>
        </w:rPr>
        <w:t xml:space="preserve"> test</w:t>
      </w:r>
      <w:r w:rsidR="005664A7">
        <w:rPr>
          <w:lang w:val="en-GB"/>
        </w:rPr>
        <w:t>ing</w:t>
      </w:r>
      <w:r w:rsidR="00AF0AA2">
        <w:rPr>
          <w:lang w:val="en-GB"/>
        </w:rPr>
        <w:t xml:space="preserve"> </w:t>
      </w:r>
      <w:r w:rsidR="005664A7">
        <w:rPr>
          <w:lang w:val="en-GB"/>
        </w:rPr>
        <w:t xml:space="preserve">provides a P value of </w:t>
      </w:r>
      <w:r w:rsidR="00AF0AA2">
        <w:rPr>
          <w:lang w:val="en-GB"/>
        </w:rPr>
        <w:t>0.329</w:t>
      </w:r>
    </w:p>
    <w:p w14:paraId="0D7F07DD" w14:textId="027AA062" w:rsidR="00A712B3" w:rsidRPr="00A712B3" w:rsidRDefault="00A712B3" w:rsidP="00126150">
      <w:pPr>
        <w:rPr>
          <w:b/>
          <w:lang w:val="en-GB"/>
        </w:rPr>
      </w:pPr>
      <w:r w:rsidRPr="00A712B3">
        <w:rPr>
          <w:b/>
          <w:lang w:val="en-GB"/>
        </w:rPr>
        <w:t>4. Minimum convex polygon</w:t>
      </w:r>
    </w:p>
    <w:p w14:paraId="3A48CD39" w14:textId="14E8BCEE" w:rsidR="00756A2C" w:rsidRDefault="006822F7" w:rsidP="00126150">
      <w:pPr>
        <w:rPr>
          <w:lang w:val="en-US"/>
        </w:rPr>
      </w:pPr>
      <w:r w:rsidRPr="006822F7">
        <w:rPr>
          <w:lang w:val="en-US"/>
        </w:rPr>
        <w:t>Th</w:t>
      </w:r>
      <w:r>
        <w:rPr>
          <w:lang w:val="en-US"/>
        </w:rPr>
        <w:t xml:space="preserve">e minimum convex polygon </w:t>
      </w:r>
      <w:r w:rsidRPr="006822F7">
        <w:rPr>
          <w:lang w:val="en-US"/>
        </w:rPr>
        <w:t xml:space="preserve">draws the smallest polygon around points with all interior angles </w:t>
      </w:r>
      <w:r w:rsidR="005664A7">
        <w:rPr>
          <w:lang w:val="en-US"/>
        </w:rPr>
        <w:t xml:space="preserve">measuring </w:t>
      </w:r>
      <w:r w:rsidRPr="006822F7">
        <w:rPr>
          <w:lang w:val="en-US"/>
        </w:rPr>
        <w:t xml:space="preserve">less than 180 degrees. </w:t>
      </w:r>
      <w:r w:rsidR="0078688F">
        <w:rPr>
          <w:lang w:val="en-US"/>
        </w:rPr>
        <w:t>Minimum convex polygon</w:t>
      </w:r>
      <w:r w:rsidRPr="006822F7">
        <w:rPr>
          <w:lang w:val="en-US"/>
        </w:rPr>
        <w:t>s are common estimators of home range</w:t>
      </w:r>
      <w:r w:rsidR="0078688F">
        <w:rPr>
          <w:lang w:val="en-US"/>
        </w:rPr>
        <w:t xml:space="preserve"> </w:t>
      </w:r>
      <w:r w:rsidR="0078688F">
        <w:rPr>
          <w:lang w:val="en-US"/>
        </w:rPr>
        <w:fldChar w:fldCharType="begin"/>
      </w:r>
      <w:r w:rsidR="00B43B3B">
        <w:rPr>
          <w:lang w:val="en-US"/>
        </w:rPr>
        <w:instrText xml:space="preserve"> ADDIN ZOTERO_ITEM CSL_CITATION {"citationID":"RlChAd9c","properties":{"formattedCitation":"\\super 14\\nosupersub{}","plainCitation":"14","noteIndex":0},"citationItems":[{"id":6733,"uris":["http://zotero.org/users/289520/items/W2V6Z68R"],"uri":["http://zotero.org/users/289520/items/W2V6Z68R"],"itemData":{"id":6733,"type":"article-journal","abstract":"Many conclusions about mammalian ranging behaviour have been drawn based on minimum convex polygon (MCP) estimates of home range size, although several studies have revealed its unpredictable nature compared to that of the kernel density estimator. We investigated to what extent the choice of home range estimator affected the biological interpretation in comparative studies. We found no discrepancy when the question asked covered a wide range of taxa, as real and very large differences in range size were likely to have masked smaller differences due to the choice of home range estimator. However, when the question asked concerned within-species characteristics, the choice of home range estimator explained as much of the variation in range size as did the ecological variable in question. The implications for macro-ecological and intraspecific studies are discussed.","container-title":"Ecological Research","DOI":"10.1007/s11284-007-0421-9","ISSN":"1440-1703","issue":"3","journalAbbreviation":"Ecol Res","language":"en","page":"635-639","source":"Springer Link","title":"Can minimum convex polygon home ranges be used to draw biologically meaningful conclusions?","volume":"23","author":[{"family":"Nilsen","given":"Erlend B."},{"family":"Pedersen","given":"Simen"},{"family":"Linnell","given":"John D. C."}],"issued":{"date-parts":[["2008",5,1]]}}}],"schema":"https://github.com/citation-style-language/schema/raw/master/csl-citation.json"} </w:instrText>
      </w:r>
      <w:r w:rsidR="0078688F">
        <w:rPr>
          <w:lang w:val="en-US"/>
        </w:rPr>
        <w:fldChar w:fldCharType="separate"/>
      </w:r>
      <w:r w:rsidR="00B43B3B" w:rsidRPr="00B43B3B">
        <w:rPr>
          <w:rFonts w:ascii="Calibri" w:hAnsi="Calibri" w:cs="Calibri"/>
          <w:szCs w:val="24"/>
          <w:vertAlign w:val="superscript"/>
          <w:lang w:val="en-US"/>
        </w:rPr>
        <w:t>14</w:t>
      </w:r>
      <w:r w:rsidR="0078688F">
        <w:rPr>
          <w:lang w:val="en-US"/>
        </w:rPr>
        <w:fldChar w:fldCharType="end"/>
      </w:r>
      <w:r w:rsidR="0078688F">
        <w:rPr>
          <w:lang w:val="en-US"/>
        </w:rPr>
        <w:t xml:space="preserve"> but represent the cover of drawing on the screen, between 0 (no drawing at all) to 100% (</w:t>
      </w:r>
      <w:r w:rsidR="005664A7">
        <w:rPr>
          <w:lang w:val="en-US"/>
        </w:rPr>
        <w:t xml:space="preserve">the </w:t>
      </w:r>
      <w:r w:rsidR="0078688F">
        <w:rPr>
          <w:lang w:val="en-US"/>
        </w:rPr>
        <w:t xml:space="preserve">drawing covered the </w:t>
      </w:r>
      <w:r w:rsidR="005664A7">
        <w:rPr>
          <w:lang w:val="en-US"/>
        </w:rPr>
        <w:t xml:space="preserve">entire </w:t>
      </w:r>
      <w:r w:rsidR="0078688F">
        <w:rPr>
          <w:lang w:val="en-US"/>
        </w:rPr>
        <w:t xml:space="preserve">screen). We used the scissors select tool in GIMP 2.10.22 </w:t>
      </w:r>
      <w:r w:rsidR="0078688F">
        <w:rPr>
          <w:lang w:val="en-US"/>
        </w:rPr>
        <w:fldChar w:fldCharType="begin"/>
      </w:r>
      <w:r w:rsidR="00B43B3B">
        <w:rPr>
          <w:lang w:val="en-US"/>
        </w:rPr>
        <w:instrText xml:space="preserve"> ADDIN ZOTERO_ITEM CSL_CITATION {"citationID":"0FiUylJs","properties":{"formattedCitation":"\\super 15,16\\nosupersub{}","plainCitation":"15,16","noteIndex":0},"citationItems":[{"id":6774,"uris":["http://zotero.org/users/289520/items/4IWYFWII"],"uri":["http://zotero.org/users/289520/items/4IWYFWII"],"itemData":{"id":6774,"type":"book","ISBN":"1-59327-383-5","publisher":"No Starch Press","title":"The book of GIMP: A complete guide to nearly everything","author":[{"family":"Lecarme","given":"Olivier"},{"family":"Delvare","given":"Karine"}],"issued":{"date-parts":[["2013"]]}}},{"id":6773,"uris":["http://zotero.org/users/289520/items/QM5SRKSU"],"uri":["http://zotero.org/users/289520/items/QM5SRKSU"],"itemData":{"id":6773,"type":"book","ISBN":"1-4302-0135-5","publisher":"Apress","title":"Beginning gimp: From novice to professional","author":[{"family":"Peck","given":"Akkana"}],"issued":{"date-parts":[["2006"]]}}}],"schema":"https://github.com/citation-style-language/schema/raw/master/csl-citation.json"} </w:instrText>
      </w:r>
      <w:r w:rsidR="0078688F">
        <w:rPr>
          <w:lang w:val="en-US"/>
        </w:rPr>
        <w:fldChar w:fldCharType="separate"/>
      </w:r>
      <w:r w:rsidR="00B43B3B" w:rsidRPr="00B43B3B">
        <w:rPr>
          <w:rFonts w:ascii="Calibri" w:hAnsi="Calibri" w:cs="Calibri"/>
          <w:szCs w:val="24"/>
          <w:vertAlign w:val="superscript"/>
          <w:lang w:val="en-US"/>
        </w:rPr>
        <w:t>15,16</w:t>
      </w:r>
      <w:r w:rsidR="0078688F">
        <w:rPr>
          <w:lang w:val="en-US"/>
        </w:rPr>
        <w:fldChar w:fldCharType="end"/>
      </w:r>
      <w:r w:rsidR="0078688F">
        <w:rPr>
          <w:lang w:val="en-US"/>
        </w:rPr>
        <w:t xml:space="preserve"> to select the minimum convex polygon of drawings.</w:t>
      </w:r>
    </w:p>
    <w:p w14:paraId="18174AB1" w14:textId="15EBA823" w:rsidR="005C3B2A" w:rsidRDefault="000C04D0" w:rsidP="00126150">
      <w:pPr>
        <w:rPr>
          <w:lang w:val="en-US"/>
        </w:rPr>
      </w:pPr>
      <w:r>
        <w:rPr>
          <w:noProof/>
          <w:lang w:val="en-US"/>
        </w:rPr>
        <w:pict w14:anchorId="3D372631">
          <v:shape id="_x0000_i1028" type="#_x0000_t75" alt="figure comparaison_Page_09" style="width:228.6pt;height:159.6pt;mso-width-percent:0;mso-height-percent:0;mso-width-percent:0;mso-height-percent:0">
            <v:imagedata r:id="rId12" o:title="figure comparaison_Page_09"/>
          </v:shape>
        </w:pict>
      </w:r>
    </w:p>
    <w:p w14:paraId="1CE588CF" w14:textId="1EB3D81A" w:rsidR="005C3B2A" w:rsidRPr="005C3B2A" w:rsidRDefault="00F641E4" w:rsidP="00126150">
      <w:pPr>
        <w:rPr>
          <w:lang w:val="en-GB"/>
        </w:rPr>
      </w:pPr>
      <w:r>
        <w:rPr>
          <w:lang w:val="en-GB"/>
        </w:rPr>
        <w:t>Figure</w:t>
      </w:r>
      <w:r w:rsidR="00670296">
        <w:rPr>
          <w:lang w:val="en-GB"/>
        </w:rPr>
        <w:t> </w:t>
      </w:r>
      <w:r>
        <w:rPr>
          <w:lang w:val="en-GB"/>
        </w:rPr>
        <w:t>S5</w:t>
      </w:r>
      <w:r w:rsidR="005C3B2A">
        <w:rPr>
          <w:lang w:val="en-GB"/>
        </w:rPr>
        <w:t>: Boxplot of the minimum convex polygon according to instructions. Stars indicate significant difference between two instructions with p</w:t>
      </w:r>
      <w:r w:rsidR="00670296">
        <w:rPr>
          <w:lang w:val="en-GB"/>
        </w:rPr>
        <w:t xml:space="preserve"> </w:t>
      </w:r>
      <w:r w:rsidR="005C3B2A">
        <w:rPr>
          <w:lang w:val="en-GB"/>
        </w:rPr>
        <w:t>&lt;0.05.</w:t>
      </w:r>
      <w:r w:rsidR="00AF0AA2">
        <w:rPr>
          <w:lang w:val="en-GB"/>
        </w:rPr>
        <w:t xml:space="preserve"> A</w:t>
      </w:r>
      <w:r w:rsidR="00670296">
        <w:rPr>
          <w:lang w:val="en-GB"/>
        </w:rPr>
        <w:t>NOVA</w:t>
      </w:r>
      <w:r w:rsidR="00AF0AA2">
        <w:rPr>
          <w:lang w:val="en-GB"/>
        </w:rPr>
        <w:t xml:space="preserve"> test</w:t>
      </w:r>
      <w:r w:rsidR="005664A7">
        <w:rPr>
          <w:lang w:val="en-GB"/>
        </w:rPr>
        <w:t>ing</w:t>
      </w:r>
      <w:r w:rsidR="00AF0AA2">
        <w:rPr>
          <w:lang w:val="en-GB"/>
        </w:rPr>
        <w:t xml:space="preserve"> </w:t>
      </w:r>
      <w:r w:rsidR="005664A7">
        <w:rPr>
          <w:lang w:val="en-GB"/>
        </w:rPr>
        <w:t xml:space="preserve">provides a P value of </w:t>
      </w:r>
      <w:r w:rsidR="00AF0AA2">
        <w:rPr>
          <w:lang w:val="en-GB"/>
        </w:rPr>
        <w:t>0.016.</w:t>
      </w:r>
    </w:p>
    <w:p w14:paraId="1B34AAFE" w14:textId="5AFEE241" w:rsidR="0078688F" w:rsidRDefault="0078688F" w:rsidP="00126150">
      <w:pPr>
        <w:rPr>
          <w:b/>
          <w:lang w:val="en-US"/>
        </w:rPr>
      </w:pPr>
      <w:r>
        <w:rPr>
          <w:b/>
          <w:lang w:val="en-US"/>
        </w:rPr>
        <w:t>5. Hurst index</w:t>
      </w:r>
    </w:p>
    <w:p w14:paraId="7F3AAE4D" w14:textId="14B94505" w:rsidR="0078688F" w:rsidRDefault="008E072D" w:rsidP="008E072D">
      <w:pPr>
        <w:rPr>
          <w:lang w:val="en-GB"/>
        </w:rPr>
      </w:pPr>
      <w:r>
        <w:rPr>
          <w:lang w:val="en-GB"/>
        </w:rPr>
        <w:t xml:space="preserve">Details about the calculation of this metric can be found in </w:t>
      </w:r>
      <w:r w:rsidR="000C04D0">
        <w:rPr>
          <w:lang w:val="en-GB"/>
        </w:rPr>
        <w:t>Beltzung et al (2021)</w:t>
      </w:r>
      <w:r w:rsidR="008B6730">
        <w:rPr>
          <w:lang w:val="en-GB"/>
        </w:rPr>
        <w:fldChar w:fldCharType="begin"/>
      </w:r>
      <w:r w:rsidR="00B43B3B">
        <w:rPr>
          <w:lang w:val="en-GB"/>
        </w:rPr>
        <w:instrText xml:space="preserve"> ADDIN ZOTERO_ITEM CSL_CITATION {"citationID":"Tju9c3SS","properties":{"formattedCitation":"\\super 17\\nosupersub{}","plainCitation":"17","noteIndex":0},"citationItems":[{"id":23604,"uris":["http://zotero.org/users/289520/items/I53ERXME"],"uri":["http://zotero.org/users/289520/items/I53ERXME"],"itemData":{"id":23604,"type":"article-journal","abstract":"Studies on drawing often focused on spatial aspects of the finished products. Here, the drawing behaviour was studied by analysing its intermittent process, between drawing (i.e. marking a surface) and interruption (i.e. a pause in the marking gesture). To assess how this intermittence develops with age, we collected finger-drawings on a touchscreen by 185 individuals (children and adults). We measured the temporal structure of each drawing sequence to determine its complexity. To do this, we applied temporal fractal estimators to each drawing time series before combining them in a Principal Component Analysis procedure. The youngest children (3 years-old) drew in a more stereotypical way with long-range dependence detected in their alternations between states. Among older children and adults, the complexity of drawing sequences increased showing a less predictable behaviour as their drawings become more detailed and figurative. This study improves our understanding of the temporal aspects of drawing behaviour, and contributes to an objective understanding of its ontogeny.Competing Interest StatementThe authors have declared no competing interest.","container-title":"bioRxiv","DOI":"10.1101/2021.08.29.458053","note":"publisher: Cold Spring Harbor Laboratory\n_eprint: https://www.biorxiv.org/content/early/2021/08/30/2021.08.29.458053.full.pdf","title":"To draw or not to draw: understanding the temporal organization of drawing behaviour using fractal analyses","URL":"https://www.biorxiv.org/content/early/2021/08/30/2021.08.29.458053","author":[{"family":"Beltzung","given":"Benjamin"},{"family":"Martinet","given":"Lison"},{"family":"MacIntosh","given":"Andrew J. J."},{"family":"Meyer","given":"Xavier"},{"family":"Hosselet","given":"Jérôme"},{"family":"Pelé","given":"Marie"},{"family":"Sueur","given":"Cédric"}],"issued":{"date-parts":[["2021"]]}}}],"schema":"https://github.com/citation-style-language/schema/raw/master/csl-citation.json"} </w:instrText>
      </w:r>
      <w:r w:rsidR="008B6730">
        <w:rPr>
          <w:lang w:val="en-GB"/>
        </w:rPr>
        <w:fldChar w:fldCharType="separate"/>
      </w:r>
      <w:r w:rsidR="00B43B3B" w:rsidRPr="00B43B3B">
        <w:rPr>
          <w:rFonts w:ascii="Calibri" w:hAnsi="Calibri" w:cs="Calibri"/>
          <w:szCs w:val="24"/>
          <w:vertAlign w:val="superscript"/>
          <w:lang w:val="en-US"/>
        </w:rPr>
        <w:t>17</w:t>
      </w:r>
      <w:r w:rsidR="008B6730">
        <w:rPr>
          <w:lang w:val="en-GB"/>
        </w:rPr>
        <w:fldChar w:fldCharType="end"/>
      </w:r>
      <w:r>
        <w:rPr>
          <w:lang w:val="en-GB"/>
        </w:rPr>
        <w:t xml:space="preserve">. </w:t>
      </w:r>
      <w:r w:rsidRPr="008E072D">
        <w:rPr>
          <w:lang w:val="en-GB"/>
        </w:rPr>
        <w:t xml:space="preserve">Fractality or long-term processes can be measured by different methodological approaches, each of which has its own fractal statistical parameter. Here, the difficulty </w:t>
      </w:r>
      <w:r w:rsidR="007E7850">
        <w:rPr>
          <w:lang w:val="en-GB"/>
        </w:rPr>
        <w:t xml:space="preserve">lies in the fact </w:t>
      </w:r>
      <w:r w:rsidRPr="008E072D">
        <w:rPr>
          <w:lang w:val="en-GB"/>
        </w:rPr>
        <w:t>that numerous estimators have been defined</w:t>
      </w:r>
      <w:r w:rsidR="007E7850" w:rsidRPr="007E7850">
        <w:rPr>
          <w:lang w:val="en-GB"/>
        </w:rPr>
        <w:t xml:space="preserve"> </w:t>
      </w:r>
      <w:r w:rsidR="007E7850" w:rsidRPr="008E072D">
        <w:rPr>
          <w:lang w:val="en-GB"/>
        </w:rPr>
        <w:t>for each parameter</w:t>
      </w:r>
      <w:r w:rsidRPr="008E072D">
        <w:rPr>
          <w:lang w:val="en-GB"/>
        </w:rPr>
        <w:t xml:space="preserve">, </w:t>
      </w:r>
      <w:r w:rsidR="00993F77">
        <w:rPr>
          <w:lang w:val="en-GB"/>
        </w:rPr>
        <w:t xml:space="preserve">yet </w:t>
      </w:r>
      <w:r w:rsidRPr="008E072D">
        <w:rPr>
          <w:lang w:val="en-GB"/>
        </w:rPr>
        <w:t>the effectiveness of these</w:t>
      </w:r>
      <w:r w:rsidR="00993F77">
        <w:rPr>
          <w:lang w:val="en-GB"/>
        </w:rPr>
        <w:t xml:space="preserve"> very </w:t>
      </w:r>
      <w:r w:rsidRPr="008E072D">
        <w:rPr>
          <w:lang w:val="en-GB"/>
        </w:rPr>
        <w:t xml:space="preserve">estimators </w:t>
      </w:r>
      <w:r w:rsidR="007E7850">
        <w:rPr>
          <w:lang w:val="en-GB"/>
        </w:rPr>
        <w:t xml:space="preserve">is </w:t>
      </w:r>
      <w:r w:rsidRPr="008E072D">
        <w:rPr>
          <w:lang w:val="en-GB"/>
        </w:rPr>
        <w:t xml:space="preserve">still </w:t>
      </w:r>
      <w:r w:rsidR="0005312D">
        <w:rPr>
          <w:lang w:val="en-GB"/>
        </w:rPr>
        <w:t>debated</w:t>
      </w:r>
      <w:r w:rsidRPr="008E072D">
        <w:rPr>
          <w:lang w:val="en-GB"/>
        </w:rPr>
        <w:t xml:space="preserve"> in the literature </w:t>
      </w:r>
      <w:r w:rsidRPr="008E072D">
        <w:rPr>
          <w:lang w:val="en-GB"/>
        </w:rPr>
        <w:fldChar w:fldCharType="begin"/>
      </w:r>
      <w:r w:rsidR="000C04D0">
        <w:rPr>
          <w:lang w:val="en-GB"/>
        </w:rPr>
        <w:instrText xml:space="preserve"> ADDIN ZOTERO_ITEM CSL_CITATION {"citationID":"0sQONttJ","properties":{"formattedCitation":"\\super 18,19\\nosupersub{}","plainCitation":"18,19","noteIndex":0},"citationItems":[{"id":"sk0NHHJE/f4QvMXjT","uris":["http://zotero.org/users/local/bkex0sZ6/items/RJPVCNI5"],"uri":["http://zotero.org/users/local/bkex0sZ6/items/RJPVCNI5"],"itemData":{"id":91,"type":"article-journal","abstract":"When investigating fractal phenomena, the following questions are fundamental for the applied researcher: (1) What are essential statistical properties of 1/f noise? (2) Which estimators are available for measuring fractality? (3) Which measurement instruments are appropriate and how are they applied?The purpose of this article is to give clear and comprehensible answers to these questions. First, theoretical characteristics of a fractal pattern (self-similarity, long memory, power law) and the related fractal parameters (the Hurst coefﬁcient, the scaling exponent α, the fractional differencing parameter d of the autoregressive fractionally integrated moving average methodology, the power exponent β of the spectral analysis) are discussed. Then, estimators of fractal parameters from different software packages commonly used by applied researchers (R, SAS, SPSS) are introduced and evaluated. Advantages, disadvantages, and constrains of the popular estimators (dˆML, power spectral density, detrended ﬂuctuation analysis, signal summation conversion) are illustrated by elaborate examples. Finally, crucial steps of fractal analysis (plotting time series data, autocorrelation, and spectral functions; performing stationarity tests; choosing an adequate estimator; estimating fractal parameters; distinguishing fractal processes from short-memory patterns) are demonstrated with empirical time series.","container-title":"Frontiers in Physiology","language":"en","page":"13","source":"Zotero","title":"Measuring fractality","author":[{"family":"Stadnitski","given":"Tatjana"}],"issued":{"date-parts":[["2012"]]}}},{"id":"sk0NHHJE/U21HZ1mQ","uris":["http://zotero.org/users/local/bkex0sZ6/items/Z3AKQCEW"],"uri":["http://zotero.org/users/local/bkex0sZ6/items/Z3AKQCEW"],"itemData":{"id":92,"type":"article-journal","abstract":"Recent empirical studies from cognitive, social and biological psychology revealed the fractal properties of many psychological phenomena. Employing methodologies from time- and frequency-domain analyses enabled detecting persistent long-range dependencies in various psychological and behavioral time series. These very slowly decaying autocorrelations are known as 1/f noise and typical for self-similar long memory processes. This paper evaluated different estimators of long memory parameters commonly available in the open source statistical software R concerning their ability to distinguish between fractional Brownian motions and fractional Gaussian noises, stationary and nonstationary fractal processes, short and long memory series. The following procedures implemented in the R packages fractal and fracdiff were considered: PSD (hurstSpec), DFA, the Whittle method (FDWhittle), semiparametric estimators of Reisen (fdSperio) and Geweke &amp; Porter-Hudak (fdGPH) as well as the approximate ML algorithm of Haslett and Raftery (fracdiff). The key finding of the study was that the performance of the methods strongly depends on the complexity of the underlying process and parameterizations. Since in empirical settings the true structure is never known, an elaborated strategy for the estimation of the long memory parameter d combining different techniques was developed and demonstrated on an empirical example.","language":"en","page":"29","source":"Zotero","title":"Analyzing Fractal Dynamics Employing R","author":[{"family":"Stadnytska","given":"Tetiana"},{"family":"Braun","given":"Simone"},{"family":"Werner","given":"Joachim"}],"issued":{"date-parts":[["2010"]]}}}],"schema":"https://github.com/citation-style-language/schema/raw/master/csl-citation.json"} </w:instrText>
      </w:r>
      <w:r w:rsidRPr="008E072D">
        <w:rPr>
          <w:lang w:val="en-GB"/>
        </w:rPr>
        <w:fldChar w:fldCharType="separate"/>
      </w:r>
      <w:r w:rsidR="00B43B3B" w:rsidRPr="00B43B3B">
        <w:rPr>
          <w:rFonts w:ascii="Calibri" w:hAnsi="Calibri" w:cs="Calibri"/>
          <w:szCs w:val="24"/>
          <w:vertAlign w:val="superscript"/>
          <w:lang w:val="en-US"/>
        </w:rPr>
        <w:t>18,19</w:t>
      </w:r>
      <w:r w:rsidRPr="008E072D">
        <w:rPr>
          <w:lang w:val="en-US"/>
        </w:rPr>
        <w:fldChar w:fldCharType="end"/>
      </w:r>
      <w:r w:rsidRPr="008E072D">
        <w:rPr>
          <w:lang w:val="en-US"/>
        </w:rPr>
        <w:t xml:space="preserve">. </w:t>
      </w:r>
      <w:r w:rsidRPr="008E072D">
        <w:rPr>
          <w:lang w:val="en-GB"/>
        </w:rPr>
        <w:t xml:space="preserve">Studies often focus on one or </w:t>
      </w:r>
      <w:r w:rsidR="007E7850">
        <w:rPr>
          <w:lang w:val="en-GB"/>
        </w:rPr>
        <w:t xml:space="preserve">a small number of </w:t>
      </w:r>
      <w:r w:rsidRPr="008E072D">
        <w:rPr>
          <w:lang w:val="en-GB"/>
        </w:rPr>
        <w:t>e</w:t>
      </w:r>
      <w:bookmarkStart w:id="0" w:name="_GoBack"/>
      <w:bookmarkEnd w:id="0"/>
      <w:r w:rsidRPr="008E072D">
        <w:rPr>
          <w:lang w:val="en-GB"/>
        </w:rPr>
        <w:t xml:space="preserve">stimators without a rigorous reason </w:t>
      </w:r>
      <w:r w:rsidR="007E7850">
        <w:rPr>
          <w:lang w:val="en-GB"/>
        </w:rPr>
        <w:t xml:space="preserve">(such </w:t>
      </w:r>
      <w:r w:rsidRPr="008E072D">
        <w:rPr>
          <w:lang w:val="en-GB"/>
        </w:rPr>
        <w:t>as comparing them</w:t>
      </w:r>
      <w:r w:rsidR="007E7850">
        <w:rPr>
          <w:lang w:val="en-GB"/>
        </w:rPr>
        <w:t>)</w:t>
      </w:r>
      <w:r w:rsidRPr="008E072D">
        <w:rPr>
          <w:lang w:val="en-GB"/>
        </w:rPr>
        <w:t xml:space="preserve">. As a consequence, there is no simple and systematic way to estimate the long-memory process, which often results in errors or misleading conclusions in studies </w:t>
      </w:r>
      <w:r w:rsidRPr="008E072D">
        <w:rPr>
          <w:lang w:val="en-GB"/>
        </w:rPr>
        <w:fldChar w:fldCharType="begin"/>
      </w:r>
      <w:r w:rsidR="000C04D0">
        <w:rPr>
          <w:lang w:val="en-GB"/>
        </w:rPr>
        <w:instrText xml:space="preserve"> ADDIN ZOTERO_ITEM CSL_CITATION {"citationID":"rNC1gl4L","properties":{"formattedCitation":"\\super 20\\nosupersub{}","plainCitation":"20","noteIndex":0},"citationItems":[{"id":"sk0NHHJE/Owq7OjJK","uris":["http://zotero.org/users/local/bkex0sZ6/items/MKC9YSV9"],"uri":["http://zotero.org/users/local/bkex0sZ6/items/MKC9YSV9"],"itemData":{"id":121,"type":"article-journal","abstract":"Over the last ten years, long-range dependence (LRD) has become a key concept in modeling networking phenomena. The research community has undergone a mental shift from Poisson and memoryless processes to LRD and bursty processes. Despite its popularity, LRD analysis is hindered by two main problems: a) it cannot be used by nonexperts easily, and b) the identiﬁcation of LRD is often questioned and disputed. The main cause for both these problems is the absence of a systematic and unambiguous way to identify the existence of LRD. This paper has two main thrusts. First, we explore the (lack of) accuracy and robustness in LRD estimation. We ﬁnd that the current estimation methods can often be inaccurate and unreliable, reporting LRD erroneously. We search for the source of such problems and identify a number of caveats and common mistakes. For example, some of the methods misinterpret short-range correlations for LRD. Second, we develop methods to improve the robustness of the estimation. Through case studies, we demonstrate the effectiveness of our methods in overcoming most known caveats. Finally, we integrate all required functionality and methods in an easy to use software tool. Our work is a ﬁrst step towards a systematic approach and a comprehensive tool for the reliable estimation of LRD.","language":"en","page":"23","source":"Zotero","title":"Understanding the Limitations of Estimation Methods for Long-Range Dependence","author":[{"family":"Karagiannis","given":"Thomas"},{"family":"Molle","given":"Mart"},{"family":"Faloutsos","given":"Michalis"}],"issued":{"date-parts":[["2006"]]}}}],"schema":"https://github.com/citation-style-language/schema/raw/master/csl-citation.json"} </w:instrText>
      </w:r>
      <w:r w:rsidRPr="008E072D">
        <w:rPr>
          <w:lang w:val="en-GB"/>
        </w:rPr>
        <w:fldChar w:fldCharType="separate"/>
      </w:r>
      <w:r w:rsidR="00B43B3B" w:rsidRPr="00B43B3B">
        <w:rPr>
          <w:rFonts w:ascii="Calibri" w:hAnsi="Calibri" w:cs="Calibri"/>
          <w:szCs w:val="24"/>
          <w:vertAlign w:val="superscript"/>
          <w:lang w:val="en-US"/>
        </w:rPr>
        <w:t>20</w:t>
      </w:r>
      <w:r w:rsidRPr="008E072D">
        <w:rPr>
          <w:lang w:val="en-US"/>
        </w:rPr>
        <w:fldChar w:fldCharType="end"/>
      </w:r>
      <w:r w:rsidRPr="008E072D">
        <w:rPr>
          <w:lang w:val="en-GB"/>
        </w:rPr>
        <w:t>. The most widespread way to assess and quantify long-memory process</w:t>
      </w:r>
      <w:r w:rsidR="00670296">
        <w:rPr>
          <w:lang w:val="en-GB"/>
        </w:rPr>
        <w:t>es</w:t>
      </w:r>
      <w:r w:rsidRPr="008E072D">
        <w:rPr>
          <w:lang w:val="en-GB"/>
        </w:rPr>
        <w:t xml:space="preserve"> in temporal sequences is the estimation of the Hurst exponent H. Indeed, a behavioural state is influenced by previous </w:t>
      </w:r>
      <w:r w:rsidR="007E7850">
        <w:rPr>
          <w:lang w:val="en-GB"/>
        </w:rPr>
        <w:t xml:space="preserve">states </w:t>
      </w:r>
      <w:r w:rsidRPr="008E072D">
        <w:rPr>
          <w:lang w:val="en-GB"/>
        </w:rPr>
        <w:t xml:space="preserve">following two different scenarios: </w:t>
      </w:r>
      <w:r w:rsidRPr="008E072D">
        <w:rPr>
          <w:i/>
          <w:lang w:val="en-GB"/>
        </w:rPr>
        <w:t xml:space="preserve">persistence </w:t>
      </w:r>
      <w:r w:rsidRPr="008E072D">
        <w:rPr>
          <w:lang w:val="en-GB"/>
        </w:rPr>
        <w:t xml:space="preserve">(H&gt;0.5) when a positive correlation occurs, meaning </w:t>
      </w:r>
      <w:r w:rsidRPr="008E072D">
        <w:rPr>
          <w:lang w:val="en-GB"/>
        </w:rPr>
        <w:lastRenderedPageBreak/>
        <w:t>that a long sequence is likely to be followed by a long sequence in the future</w:t>
      </w:r>
      <w:r w:rsidR="007E7850">
        <w:rPr>
          <w:lang w:val="en-GB"/>
        </w:rPr>
        <w:t>, and</w:t>
      </w:r>
      <w:r w:rsidRPr="008E072D">
        <w:rPr>
          <w:lang w:val="en-GB"/>
        </w:rPr>
        <w:t xml:space="preserve"> </w:t>
      </w:r>
      <w:r w:rsidRPr="008E072D">
        <w:rPr>
          <w:i/>
          <w:lang w:val="en-GB"/>
        </w:rPr>
        <w:t>anti-persistence</w:t>
      </w:r>
      <w:r w:rsidRPr="008E072D">
        <w:rPr>
          <w:lang w:val="en-GB"/>
        </w:rPr>
        <w:t xml:space="preserve"> (H</w:t>
      </w:r>
      <w:r w:rsidR="00670296">
        <w:rPr>
          <w:lang w:val="en-GB"/>
        </w:rPr>
        <w:t xml:space="preserve"> </w:t>
      </w:r>
      <w:r w:rsidRPr="008E072D">
        <w:rPr>
          <w:lang w:val="en-GB"/>
        </w:rPr>
        <w:t xml:space="preserve">&lt;0.5) when </w:t>
      </w:r>
      <w:r w:rsidR="007E7850">
        <w:rPr>
          <w:lang w:val="en-GB"/>
        </w:rPr>
        <w:t xml:space="preserve">a </w:t>
      </w:r>
      <w:r w:rsidRPr="008E072D">
        <w:rPr>
          <w:lang w:val="en-GB"/>
        </w:rPr>
        <w:t xml:space="preserve">long sequence is likely to be followed by a short sequence, i.e. a negative correlation </w:t>
      </w:r>
      <w:r w:rsidRPr="008E072D">
        <w:rPr>
          <w:lang w:val="en-GB"/>
        </w:rPr>
        <w:fldChar w:fldCharType="begin"/>
      </w:r>
      <w:r w:rsidR="000C04D0">
        <w:rPr>
          <w:lang w:val="en-GB"/>
        </w:rPr>
        <w:instrText xml:space="preserve"> ADDIN ZOTERO_ITEM CSL_CITATION {"citationID":"2xPINCAA","properties":{"formattedCitation":"\\super 21\\nosupersub{}","plainCitation":"21","noteIndex":0},"citationItems":[{"id":"sk0NHHJE/CfY4Vhig","uris":["http://zotero.org/users/local/bkex0sZ6/items/VBWNXDKW"],"uri":["http://zotero.org/users/local/bkex0sZ6/items/VBWNXDKW"],"itemData":{"id":232,"type":"article-journal","container-title":"Nonlinear Dynamics, Psychology, and Life Sciences","issue":"4","note":"publisher: Society for Chaos Theory in Psychology &amp; Life Sciences","page":"435–461","source":"Google Scholar","title":"Methodological issues in the application of monofractal analyses in psychological and behavioral research","volume":"9","author":[{"family":"Delignières","given":"Didier"},{"family":"Torre","given":"Kjerstin"},{"family":"Lemoine","given":"Loïc"}],"issued":{"date-parts":[["2005"]]}}}],"schema":"https://github.com/citation-style-language/schema/raw/master/csl-citation.json"} </w:instrText>
      </w:r>
      <w:r w:rsidRPr="008E072D">
        <w:rPr>
          <w:lang w:val="en-GB"/>
        </w:rPr>
        <w:fldChar w:fldCharType="separate"/>
      </w:r>
      <w:r w:rsidR="00B43B3B" w:rsidRPr="00B43B3B">
        <w:rPr>
          <w:rFonts w:ascii="Calibri" w:hAnsi="Calibri" w:cs="Calibri"/>
          <w:szCs w:val="24"/>
          <w:vertAlign w:val="superscript"/>
          <w:lang w:val="en-US"/>
        </w:rPr>
        <w:t>21</w:t>
      </w:r>
      <w:r w:rsidRPr="008E072D">
        <w:rPr>
          <w:lang w:val="en-US"/>
        </w:rPr>
        <w:fldChar w:fldCharType="end"/>
      </w:r>
      <w:r w:rsidRPr="008E072D">
        <w:rPr>
          <w:lang w:val="en-GB"/>
        </w:rPr>
        <w:t>.</w:t>
      </w:r>
      <w:r>
        <w:rPr>
          <w:lang w:val="en-GB"/>
        </w:rPr>
        <w:t xml:space="preserve"> Here</w:t>
      </w:r>
      <w:r w:rsidR="007E7850">
        <w:rPr>
          <w:lang w:val="en-GB"/>
        </w:rPr>
        <w:t>,</w:t>
      </w:r>
      <w:r>
        <w:rPr>
          <w:lang w:val="en-GB"/>
        </w:rPr>
        <w:t xml:space="preserve"> we combined different methods using a PCA as explained in</w:t>
      </w:r>
      <w:r w:rsidR="008B6730">
        <w:rPr>
          <w:lang w:val="en-GB"/>
        </w:rPr>
        <w:t xml:space="preserve"> </w:t>
      </w:r>
      <w:r w:rsidR="008B6730">
        <w:rPr>
          <w:lang w:val="en-GB"/>
        </w:rPr>
        <w:fldChar w:fldCharType="begin"/>
      </w:r>
      <w:r w:rsidR="00B43B3B">
        <w:rPr>
          <w:lang w:val="en-GB"/>
        </w:rPr>
        <w:instrText xml:space="preserve"> ADDIN ZOTERO_ITEM CSL_CITATION {"citationID":"6O7Bu2t0","properties":{"formattedCitation":"\\super 17\\nosupersub{}","plainCitation":"17","noteIndex":0},"citationItems":[{"id":23604,"uris":["http://zotero.org/users/289520/items/I53ERXME"],"uri":["http://zotero.org/users/289520/items/I53ERXME"],"itemData":{"id":23604,"type":"article-journal","abstract":"Studies on drawing often focused on spatial aspects of the finished products. Here, the drawing behaviour was studied by analysing its intermittent process, between drawing (i.e. marking a surface) and interruption (i.e. a pause in the marking gesture). To assess how this intermittence develops with age, we collected finger-drawings on a touchscreen by 185 individuals (children and adults). We measured the temporal structure of each drawing sequence to determine its complexity. To do this, we applied temporal fractal estimators to each drawing time series before combining them in a Principal Component Analysis procedure. The youngest children (3 years-old) drew in a more stereotypical way with long-range dependence detected in their alternations between states. Among older children and adults, the complexity of drawing sequences increased showing a less predictable behaviour as their drawings become more detailed and figurative. This study improves our understanding of the temporal aspects of drawing behaviour, and contributes to an objective understanding of its ontogeny.Competing Interest StatementThe authors have declared no competing interest.","container-title":"bioRxiv","DOI":"10.1101/2021.08.29.458053","note":"publisher: Cold Spring Harbor Laboratory\n_eprint: https://www.biorxiv.org/content/early/2021/08/30/2021.08.29.458053.full.pdf","title":"To draw or not to draw: understanding the temporal organization of drawing behaviour using fractal analyses","URL":"https://www.biorxiv.org/content/early/2021/08/30/2021.08.29.458053","author":[{"family":"Beltzung","given":"Benjamin"},{"family":"Martinet","given":"Lison"},{"family":"MacIntosh","given":"Andrew J. J."},{"family":"Meyer","given":"Xavier"},{"family":"Hosselet","given":"Jérôme"},{"family":"Pelé","given":"Marie"},{"family":"Sueur","given":"Cédric"}],"issued":{"date-parts":[["2021"]]}}}],"schema":"https://github.com/citation-style-language/schema/raw/master/csl-citation.json"} </w:instrText>
      </w:r>
      <w:r w:rsidR="008B6730">
        <w:rPr>
          <w:lang w:val="en-GB"/>
        </w:rPr>
        <w:fldChar w:fldCharType="separate"/>
      </w:r>
      <w:r w:rsidR="00B43B3B" w:rsidRPr="00B43B3B">
        <w:rPr>
          <w:rFonts w:ascii="Calibri" w:hAnsi="Calibri" w:cs="Calibri"/>
          <w:szCs w:val="24"/>
          <w:vertAlign w:val="superscript"/>
        </w:rPr>
        <w:t>17</w:t>
      </w:r>
      <w:r w:rsidR="008B6730">
        <w:rPr>
          <w:lang w:val="en-GB"/>
        </w:rPr>
        <w:fldChar w:fldCharType="end"/>
      </w:r>
      <w:r>
        <w:rPr>
          <w:lang w:val="en-GB"/>
        </w:rPr>
        <w:t xml:space="preserve">. </w:t>
      </w:r>
    </w:p>
    <w:p w14:paraId="2DED9055" w14:textId="23CD78E3" w:rsidR="005C3B2A" w:rsidRDefault="00795036" w:rsidP="008E072D">
      <w:pPr>
        <w:rPr>
          <w:lang w:val="en-GB"/>
        </w:rPr>
      </w:pPr>
      <w:r>
        <w:rPr>
          <w:noProof/>
          <w:lang w:val="en-GB"/>
        </w:rPr>
        <w:pict w14:anchorId="722220C4">
          <v:shape id="_x0000_i1029" type="#_x0000_t75" alt="figure comparaison_Page_07" style="width:228.6pt;height:184.8pt;mso-width-percent:0;mso-height-percent:0;mso-width-percent:0;mso-height-percent:0">
            <v:imagedata r:id="rId13" o:title="figure comparaison_Page_07"/>
          </v:shape>
        </w:pict>
      </w:r>
    </w:p>
    <w:p w14:paraId="3E7B014E" w14:textId="1A053949" w:rsidR="005C3B2A" w:rsidRDefault="00F641E4" w:rsidP="008E072D">
      <w:pPr>
        <w:rPr>
          <w:lang w:val="en-GB"/>
        </w:rPr>
      </w:pPr>
      <w:r>
        <w:rPr>
          <w:lang w:val="en-GB"/>
        </w:rPr>
        <w:t>Figure</w:t>
      </w:r>
      <w:r w:rsidR="00670296">
        <w:rPr>
          <w:lang w:val="en-GB"/>
        </w:rPr>
        <w:t> </w:t>
      </w:r>
      <w:r>
        <w:rPr>
          <w:lang w:val="en-GB"/>
        </w:rPr>
        <w:t>S6</w:t>
      </w:r>
      <w:r w:rsidR="005C3B2A">
        <w:rPr>
          <w:lang w:val="en-GB"/>
        </w:rPr>
        <w:t xml:space="preserve">: Boxplot of the Hurst index according to </w:t>
      </w:r>
      <w:r w:rsidR="007E7850">
        <w:rPr>
          <w:lang w:val="en-GB"/>
        </w:rPr>
        <w:t xml:space="preserve">each </w:t>
      </w:r>
      <w:r w:rsidR="005C3B2A">
        <w:rPr>
          <w:lang w:val="en-GB"/>
        </w:rPr>
        <w:t>instruction. Stars indicate significant difference between two instructions with p</w:t>
      </w:r>
      <w:r w:rsidR="00670296">
        <w:rPr>
          <w:lang w:val="en-GB"/>
        </w:rPr>
        <w:t xml:space="preserve"> </w:t>
      </w:r>
      <w:r w:rsidR="005C3B2A">
        <w:rPr>
          <w:lang w:val="en-GB"/>
        </w:rPr>
        <w:t>&lt;0.05.</w:t>
      </w:r>
      <w:r w:rsidR="00AF0AA2" w:rsidRPr="00AF0AA2">
        <w:rPr>
          <w:lang w:val="en-GB"/>
        </w:rPr>
        <w:t xml:space="preserve"> </w:t>
      </w:r>
      <w:r w:rsidR="00AF0AA2">
        <w:rPr>
          <w:lang w:val="en-GB"/>
        </w:rPr>
        <w:t>A</w:t>
      </w:r>
      <w:r w:rsidR="00670296">
        <w:rPr>
          <w:lang w:val="en-GB"/>
        </w:rPr>
        <w:t>NOVA</w:t>
      </w:r>
      <w:r w:rsidR="00AF0AA2">
        <w:rPr>
          <w:lang w:val="en-GB"/>
        </w:rPr>
        <w:t xml:space="preserve"> test gives a p</w:t>
      </w:r>
      <w:r w:rsidR="00670296">
        <w:rPr>
          <w:lang w:val="en-GB"/>
        </w:rPr>
        <w:t xml:space="preserve"> </w:t>
      </w:r>
      <w:r w:rsidR="00AF0AA2">
        <w:rPr>
          <w:lang w:val="en-GB"/>
        </w:rPr>
        <w:t>&lt;0.0001.</w:t>
      </w:r>
    </w:p>
    <w:p w14:paraId="591B03F3" w14:textId="7DF29EF8" w:rsidR="00724A71" w:rsidRDefault="00724A71" w:rsidP="008E072D">
      <w:pPr>
        <w:rPr>
          <w:b/>
          <w:lang w:val="en-GB"/>
        </w:rPr>
      </w:pPr>
      <w:r w:rsidRPr="00724A71">
        <w:rPr>
          <w:b/>
          <w:lang w:val="en-GB"/>
        </w:rPr>
        <w:t>6. Temporal Gini index</w:t>
      </w:r>
    </w:p>
    <w:p w14:paraId="6B936B15" w14:textId="147552A3" w:rsidR="00997118" w:rsidRDefault="00DE3580" w:rsidP="008E072D">
      <w:pPr>
        <w:rPr>
          <w:bCs/>
          <w:lang w:val="en-GB"/>
        </w:rPr>
      </w:pPr>
      <w:r>
        <w:rPr>
          <w:bCs/>
          <w:lang w:val="en-GB"/>
        </w:rPr>
        <w:t>The Gini index was calculated on the binary sequences (drawing / non-drawing) and describes the uniformity of the distribution.</w:t>
      </w:r>
      <w:r w:rsidR="00A83503">
        <w:rPr>
          <w:bCs/>
          <w:lang w:val="en-GB"/>
        </w:rPr>
        <w:t xml:space="preserve"> This index is a real number between 0 and 1</w:t>
      </w:r>
      <w:r w:rsidR="007E7850">
        <w:rPr>
          <w:bCs/>
          <w:lang w:val="en-GB"/>
        </w:rPr>
        <w:t>, where</w:t>
      </w:r>
      <w:r w:rsidR="00A83503">
        <w:rPr>
          <w:bCs/>
          <w:lang w:val="en-GB"/>
        </w:rPr>
        <w:t xml:space="preserve"> </w:t>
      </w:r>
      <w:r w:rsidR="007E7850">
        <w:rPr>
          <w:bCs/>
          <w:lang w:val="en-GB"/>
        </w:rPr>
        <w:t>a</w:t>
      </w:r>
      <w:r w:rsidR="00A83503">
        <w:rPr>
          <w:bCs/>
          <w:lang w:val="en-GB"/>
        </w:rPr>
        <w:t xml:space="preserve"> value of 0 </w:t>
      </w:r>
      <w:r w:rsidR="007E7850">
        <w:rPr>
          <w:bCs/>
          <w:lang w:val="en-GB"/>
        </w:rPr>
        <w:t xml:space="preserve">indicates </w:t>
      </w:r>
      <w:r w:rsidR="00A83503">
        <w:rPr>
          <w:bCs/>
          <w:lang w:val="en-GB"/>
        </w:rPr>
        <w:t xml:space="preserve">perfect equality, and a value of 1 </w:t>
      </w:r>
      <w:r w:rsidR="007E7850">
        <w:rPr>
          <w:bCs/>
          <w:lang w:val="en-GB"/>
        </w:rPr>
        <w:t xml:space="preserve">indicates </w:t>
      </w:r>
      <w:r w:rsidR="00A83503">
        <w:rPr>
          <w:bCs/>
          <w:lang w:val="en-GB"/>
        </w:rPr>
        <w:t>maximal inequality.</w:t>
      </w:r>
      <w:r w:rsidR="00A05847">
        <w:rPr>
          <w:bCs/>
          <w:lang w:val="en-GB"/>
        </w:rPr>
        <w:t xml:space="preserve"> </w:t>
      </w:r>
      <w:r w:rsidR="00F85213">
        <w:rPr>
          <w:bCs/>
          <w:lang w:val="en-GB"/>
        </w:rPr>
        <w:t xml:space="preserve">The interpretation of this index on behavioural sequences can be questioned, as well as the temporal sequence to consider. </w:t>
      </w:r>
      <w:r w:rsidR="00997118">
        <w:rPr>
          <w:bCs/>
          <w:lang w:val="en-GB"/>
        </w:rPr>
        <w:t>The Gini index w</w:t>
      </w:r>
      <w:r w:rsidR="0016193C">
        <w:rPr>
          <w:bCs/>
          <w:lang w:val="en-GB"/>
        </w:rPr>
        <w:t>as</w:t>
      </w:r>
      <w:r w:rsidR="00997118">
        <w:rPr>
          <w:bCs/>
          <w:lang w:val="en-GB"/>
        </w:rPr>
        <w:t xml:space="preserve"> calculated by using the R package “DescTools” </w:t>
      </w:r>
      <w:r w:rsidR="00997118">
        <w:rPr>
          <w:bCs/>
          <w:lang w:val="en-GB"/>
        </w:rPr>
        <w:fldChar w:fldCharType="begin"/>
      </w:r>
      <w:r w:rsidR="000C04D0">
        <w:rPr>
          <w:bCs/>
          <w:lang w:val="en-GB"/>
        </w:rPr>
        <w:instrText xml:space="preserve"> ADDIN ZOTERO_ITEM CSL_CITATION {"citationID":"tw9XE0Ah","properties":{"formattedCitation":"\\super 22\\nosupersub{}","plainCitation":"22","noteIndex":0},"citationItems":[{"id":"sk0NHHJE/VufrvR6b","uris":["http://zotero.org/users/local/fjmgkHDy/items/L2E2R6DU"],"uri":["http://zotero.org/users/local/fjmgkHDy/items/L2E2R6DU"],"itemData":{"id":634,"type":"article-journal","container-title":"R package version 0.99","source":"Google Scholar","title":"DescTools: Tools for descriptive statistics","title-short":"DescTools","volume":"18","author":[{"family":"Signorell","given":"Andri"},{"family":"Aho","given":"Ken"},{"family":"Alfons","given":"Andreas"},{"family":"Anderegg","given":"Nanina"},{"family":"Aragon","given":"Tomas"},{"family":"Arppe","given":"Antti"}],"issued":{"date-parts":[["2016"]]}}}],"schema":"https://github.com/citation-style-language/schema/raw/master/csl-citation.json"} </w:instrText>
      </w:r>
      <w:r w:rsidR="00997118">
        <w:rPr>
          <w:bCs/>
          <w:lang w:val="en-GB"/>
        </w:rPr>
        <w:fldChar w:fldCharType="separate"/>
      </w:r>
      <w:r w:rsidR="00B43B3B" w:rsidRPr="00B43B3B">
        <w:rPr>
          <w:rFonts w:ascii="Calibri" w:hAnsi="Calibri" w:cs="Calibri"/>
          <w:szCs w:val="24"/>
          <w:vertAlign w:val="superscript"/>
          <w:lang w:val="en-US"/>
        </w:rPr>
        <w:t>22</w:t>
      </w:r>
      <w:r w:rsidR="00997118">
        <w:rPr>
          <w:bCs/>
          <w:lang w:val="en-GB"/>
        </w:rPr>
        <w:fldChar w:fldCharType="end"/>
      </w:r>
      <w:r w:rsidR="00D4519C">
        <w:rPr>
          <w:bCs/>
          <w:lang w:val="en-GB"/>
        </w:rPr>
        <w:t>.</w:t>
      </w:r>
    </w:p>
    <w:p w14:paraId="1E5D7061" w14:textId="77777777" w:rsidR="000F59DB" w:rsidRDefault="000F59DB" w:rsidP="008E072D">
      <w:pPr>
        <w:rPr>
          <w:bCs/>
          <w:lang w:val="en-GB"/>
        </w:rPr>
      </w:pPr>
    </w:p>
    <w:p w14:paraId="157B1A9B" w14:textId="4512AA9D" w:rsidR="005C3B2A" w:rsidRDefault="00795036" w:rsidP="008E072D">
      <w:pPr>
        <w:rPr>
          <w:b/>
          <w:lang w:val="en-GB"/>
        </w:rPr>
      </w:pPr>
      <w:r>
        <w:rPr>
          <w:b/>
          <w:noProof/>
          <w:lang w:val="en-GB"/>
        </w:rPr>
        <w:pict w14:anchorId="52468D83">
          <v:shape id="_x0000_i1030" type="#_x0000_t75" alt="figure comparaison_Page_06" style="width:226.8pt;height:176.4pt;mso-width-percent:0;mso-height-percent:0;mso-width-percent:0;mso-height-percent:0">
            <v:imagedata r:id="rId14" o:title="figure comparaison_Page_06"/>
          </v:shape>
        </w:pict>
      </w:r>
    </w:p>
    <w:p w14:paraId="32648722" w14:textId="329B5381" w:rsidR="005C3B2A" w:rsidRPr="00F641E4" w:rsidRDefault="00F641E4" w:rsidP="008E072D">
      <w:pPr>
        <w:rPr>
          <w:lang w:val="en-GB"/>
        </w:rPr>
      </w:pPr>
      <w:r>
        <w:rPr>
          <w:lang w:val="en-GB"/>
        </w:rPr>
        <w:t>Figure</w:t>
      </w:r>
      <w:r w:rsidR="00670296">
        <w:rPr>
          <w:lang w:val="en-GB"/>
        </w:rPr>
        <w:t> </w:t>
      </w:r>
      <w:r>
        <w:rPr>
          <w:lang w:val="en-GB"/>
        </w:rPr>
        <w:t>S7</w:t>
      </w:r>
      <w:r w:rsidR="005C3B2A">
        <w:rPr>
          <w:lang w:val="en-GB"/>
        </w:rPr>
        <w:t>: Boxplot of the Gini metric according to instructions. Stars indicate significant difference between two instructions with p</w:t>
      </w:r>
      <w:r w:rsidR="00670296">
        <w:rPr>
          <w:lang w:val="en-GB"/>
        </w:rPr>
        <w:t xml:space="preserve"> </w:t>
      </w:r>
      <w:r w:rsidR="005C3B2A">
        <w:rPr>
          <w:lang w:val="en-GB"/>
        </w:rPr>
        <w:t>&lt;0.05.</w:t>
      </w:r>
      <w:r w:rsidR="00AF0AA2" w:rsidRPr="00AF0AA2">
        <w:rPr>
          <w:lang w:val="en-GB"/>
        </w:rPr>
        <w:t xml:space="preserve"> </w:t>
      </w:r>
      <w:r w:rsidR="00AF0AA2">
        <w:rPr>
          <w:lang w:val="en-GB"/>
        </w:rPr>
        <w:t>A</w:t>
      </w:r>
      <w:r w:rsidR="00670296">
        <w:rPr>
          <w:lang w:val="en-GB"/>
        </w:rPr>
        <w:t>NOVA</w:t>
      </w:r>
      <w:r w:rsidR="00AF0AA2">
        <w:rPr>
          <w:lang w:val="en-GB"/>
        </w:rPr>
        <w:t xml:space="preserve"> test</w:t>
      </w:r>
      <w:r w:rsidR="007E7850">
        <w:rPr>
          <w:lang w:val="en-GB"/>
        </w:rPr>
        <w:t xml:space="preserve">: </w:t>
      </w:r>
      <w:r w:rsidR="00AF0AA2">
        <w:rPr>
          <w:lang w:val="en-GB"/>
        </w:rPr>
        <w:t>p</w:t>
      </w:r>
      <w:r w:rsidR="00670296">
        <w:rPr>
          <w:lang w:val="en-GB"/>
        </w:rPr>
        <w:t xml:space="preserve"> </w:t>
      </w:r>
      <w:r w:rsidR="00AF0AA2">
        <w:rPr>
          <w:lang w:val="en-GB"/>
        </w:rPr>
        <w:t>&lt;0.0001.</w:t>
      </w:r>
    </w:p>
    <w:p w14:paraId="64636B69" w14:textId="01ACFE54" w:rsidR="00724A71" w:rsidRDefault="00724A71" w:rsidP="008E072D">
      <w:pPr>
        <w:rPr>
          <w:b/>
          <w:lang w:val="en-GB"/>
        </w:rPr>
      </w:pPr>
      <w:r>
        <w:rPr>
          <w:b/>
          <w:lang w:val="en-GB"/>
        </w:rPr>
        <w:t>7. Entropy index</w:t>
      </w:r>
    </w:p>
    <w:p w14:paraId="2A411BB0" w14:textId="7CCA79E2" w:rsidR="000F59DB" w:rsidRDefault="000F59DB" w:rsidP="000F59DB">
      <w:pPr>
        <w:rPr>
          <w:bCs/>
          <w:lang w:val="en-US"/>
        </w:rPr>
      </w:pPr>
      <w:r>
        <w:rPr>
          <w:bCs/>
          <w:lang w:val="en-GB"/>
        </w:rPr>
        <w:t xml:space="preserve">The Shannon entropy index </w:t>
      </w:r>
      <w:r w:rsidR="006B0635">
        <w:rPr>
          <w:bCs/>
          <w:lang w:val="en-GB"/>
        </w:rPr>
        <w:fldChar w:fldCharType="begin"/>
      </w:r>
      <w:r w:rsidR="00B43B3B">
        <w:rPr>
          <w:bCs/>
          <w:lang w:val="en-GB"/>
        </w:rPr>
        <w:instrText xml:space="preserve"> ADDIN ZOTERO_ITEM CSL_CITATION {"citationID":"rPTTLTuy","properties":{"formattedCitation":"\\super 23,24\\nosupersub{}","plainCitation":"23,24","noteIndex":0},"citationItems":[{"id":6932,"uris":["http://zotero.org/users/289520/items/NHDT44IX"],"uri":["http://zotero.org/users/289520/items/NHDT44IX"],"itemData":{"id":6932,"type":"book","abstract":"This book is an updated version of the information theory classic, first published in 1990. About one-third of the book is devoted to Shannon source and channel coding theorems; the remainder addresses sources, channels, and codes and on information and distortion measures and their properties. New in this edition:Expanded treatment of stationary or sliding-block codes and their relations to traditional block codesExpanded discussion of results from ergodic theory relevant to information theoryExpanded treatment of B-processes -- processes formed by stationary coding memoryless sourcesNew material on trading off information and distortion, including the Marton inequalityNew material on the properties of optimal and asymptotically optimal source codesNew material on the relationships of source coding and rate-constrained simulation or modeling of random processesSignificant material not covered in other information theory texts includes stationary/sliding-block codes, a geometric view of information theory provided by process distance measures, and general Shannon coding theorems for asymptotic mean stationary sources, which may be neither ergodic nor stationary, and d-bar continuous channels.","ISBN":"978-1-4419-7970-4","language":"en","note":"Google-Books-ID: wdSOqgVbdRcC","number-of-pages":"430","publisher":"Springer Science &amp; Business Media","source":"Google Books","title":"Entropy and Information Theory","author":[{"family":"Gray","given":"Robert M."}],"issued":{"date-parts":[["2011",1,27]]}}},{"id":6802,"uris":["http://zotero.org/users/289520/items/L6P2KQC7"],"uri":["http://zotero.org/users/289520/items/L6P2KQC7"],"itemData":{"id":6802,"type":"article-journal","container-title":"Foundations of physics","ISSN":"1572-9516","issue":"12","journalAbbreviation":"Foundations of physics","note":"publisher: Springer","page":"1744-1766","title":"Entropy, its language, and interpretation","volume":"37","author":[{"family":"Leff","given":"Harvey S"}],"issued":{"date-parts":[["2007"]]}}}],"schema":"https://github.com/citation-style-language/schema/raw/master/csl-citation.json"} </w:instrText>
      </w:r>
      <w:r w:rsidR="006B0635">
        <w:rPr>
          <w:bCs/>
          <w:lang w:val="en-GB"/>
        </w:rPr>
        <w:fldChar w:fldCharType="separate"/>
      </w:r>
      <w:r w:rsidR="00B43B3B" w:rsidRPr="00B43B3B">
        <w:rPr>
          <w:rFonts w:ascii="Calibri" w:hAnsi="Calibri" w:cs="Calibri"/>
          <w:szCs w:val="24"/>
          <w:vertAlign w:val="superscript"/>
          <w:lang w:val="en-US"/>
        </w:rPr>
        <w:t>23,24</w:t>
      </w:r>
      <w:r w:rsidR="006B0635">
        <w:rPr>
          <w:bCs/>
          <w:lang w:val="en-GB"/>
        </w:rPr>
        <w:fldChar w:fldCharType="end"/>
      </w:r>
      <w:r w:rsidR="006B0635">
        <w:rPr>
          <w:bCs/>
          <w:lang w:val="en-GB"/>
        </w:rPr>
        <w:t xml:space="preserve"> </w:t>
      </w:r>
      <w:r w:rsidR="0005312D">
        <w:rPr>
          <w:bCs/>
          <w:lang w:val="en-GB"/>
        </w:rPr>
        <w:t xml:space="preserve">has not been calculated for </w:t>
      </w:r>
      <w:r>
        <w:rPr>
          <w:bCs/>
          <w:lang w:val="en-GB"/>
        </w:rPr>
        <w:t xml:space="preserve">temporal binary sequences, but </w:t>
      </w:r>
      <w:r w:rsidR="0005312D">
        <w:rPr>
          <w:bCs/>
          <w:lang w:val="en-GB"/>
        </w:rPr>
        <w:t>for</w:t>
      </w:r>
      <w:r>
        <w:rPr>
          <w:bCs/>
          <w:lang w:val="en-GB"/>
        </w:rPr>
        <w:t xml:space="preserve"> the cumulative sum of drawing time </w:t>
      </w:r>
      <w:r w:rsidR="007E7850">
        <w:rPr>
          <w:bCs/>
          <w:lang w:val="en-GB"/>
        </w:rPr>
        <w:t xml:space="preserve">at </w:t>
      </w:r>
      <w:r>
        <w:rPr>
          <w:bCs/>
          <w:lang w:val="en-GB"/>
        </w:rPr>
        <w:t>each second.</w:t>
      </w:r>
      <w:r w:rsidR="006932C6">
        <w:rPr>
          <w:bCs/>
          <w:lang w:val="en-GB"/>
        </w:rPr>
        <w:t xml:space="preserve"> </w:t>
      </w:r>
      <w:r w:rsidR="0077579B">
        <w:rPr>
          <w:bCs/>
          <w:lang w:val="en-GB"/>
        </w:rPr>
        <w:t xml:space="preserve">This index characterises the quantity of information contained in a variable. The higher the quantity of information, the higher the uncertainty (the </w:t>
      </w:r>
      <w:r w:rsidR="0077579B">
        <w:rPr>
          <w:bCs/>
          <w:lang w:val="en-GB"/>
        </w:rPr>
        <w:lastRenderedPageBreak/>
        <w:t>entropy).</w:t>
      </w:r>
      <w:r w:rsidR="00204311">
        <w:rPr>
          <w:bCs/>
          <w:lang w:val="en-GB"/>
        </w:rPr>
        <w:t xml:space="preserve"> </w:t>
      </w:r>
      <w:r w:rsidR="00204311" w:rsidRPr="00204311">
        <w:rPr>
          <w:bCs/>
          <w:lang w:val="en-US"/>
        </w:rPr>
        <w:t xml:space="preserve">For a string of </w:t>
      </w:r>
      <w:r w:rsidR="00204311">
        <w:rPr>
          <w:bCs/>
          <w:lang w:val="en-US"/>
        </w:rPr>
        <w:t>sequences</w:t>
      </w:r>
      <w:r w:rsidR="00204311" w:rsidRPr="00204311">
        <w:rPr>
          <w:bCs/>
          <w:lang w:val="en-US"/>
        </w:rPr>
        <w:t xml:space="preserve"> with n distinct </w:t>
      </w:r>
      <w:r w:rsidR="00204311">
        <w:rPr>
          <w:bCs/>
          <w:lang w:val="en-US"/>
        </w:rPr>
        <w:t>sequences</w:t>
      </w:r>
      <w:r w:rsidR="00204311" w:rsidRPr="00204311">
        <w:rPr>
          <w:bCs/>
          <w:lang w:val="en-US"/>
        </w:rPr>
        <w:t xml:space="preserve">, each </w:t>
      </w:r>
      <w:r w:rsidR="00204311">
        <w:rPr>
          <w:bCs/>
          <w:lang w:val="en-US"/>
        </w:rPr>
        <w:t>sequence</w:t>
      </w:r>
      <w:r w:rsidR="00204311" w:rsidRPr="00204311">
        <w:rPr>
          <w:bCs/>
          <w:lang w:val="en-US"/>
        </w:rPr>
        <w:t xml:space="preserve"> ha</w:t>
      </w:r>
      <w:r w:rsidR="0005312D">
        <w:rPr>
          <w:bCs/>
          <w:lang w:val="en-US"/>
        </w:rPr>
        <w:t>s</w:t>
      </w:r>
      <w:r w:rsidR="00204311" w:rsidRPr="00204311">
        <w:rPr>
          <w:bCs/>
          <w:lang w:val="en-US"/>
        </w:rPr>
        <w:t xml:space="preserve"> a frequency of p. </w:t>
      </w:r>
      <w:r w:rsidR="00D4519C">
        <w:rPr>
          <w:bCs/>
          <w:lang w:val="en-GB"/>
        </w:rPr>
        <w:t>The entropy index w</w:t>
      </w:r>
      <w:r w:rsidR="0016193C">
        <w:rPr>
          <w:bCs/>
          <w:lang w:val="en-GB"/>
        </w:rPr>
        <w:t>as</w:t>
      </w:r>
      <w:r w:rsidR="00D4519C">
        <w:rPr>
          <w:bCs/>
          <w:lang w:val="en-GB"/>
        </w:rPr>
        <w:t xml:space="preserve"> calculated by using the R package “DescTools” </w:t>
      </w:r>
      <w:r w:rsidR="00D4519C">
        <w:rPr>
          <w:bCs/>
          <w:lang w:val="en-GB"/>
        </w:rPr>
        <w:fldChar w:fldCharType="begin"/>
      </w:r>
      <w:r w:rsidR="000C04D0">
        <w:rPr>
          <w:bCs/>
          <w:lang w:val="en-GB"/>
        </w:rPr>
        <w:instrText xml:space="preserve"> ADDIN ZOTERO_ITEM CSL_CITATION {"citationID":"pkQbPLhK","properties":{"formattedCitation":"\\super 22\\nosupersub{}","plainCitation":"22","noteIndex":0},"citationItems":[{"id":"sk0NHHJE/VufrvR6b","uris":["http://zotero.org/users/local/fjmgkHDy/items/L2E2R6DU"],"uri":["http://zotero.org/users/local/fjmgkHDy/items/L2E2R6DU"],"itemData":{"id":634,"type":"article-journal","container-title":"R package version 0.99","source":"Google Scholar","title":"DescTools: Tools for descriptive statistics","title-short":"DescTools","volume":"18","author":[{"family":"Signorell","given":"Andri"},{"family":"Aho","given":"Ken"},{"family":"Alfons","given":"Andreas"},{"family":"Anderegg","given":"Nanina"},{"family":"Aragon","given":"Tomas"},{"family":"Arppe","given":"Antti"}],"issued":{"date-parts":[["2016"]]}}}],"schema":"https://github.com/citation-style-language/schema/raw/master/csl-citation.json"} </w:instrText>
      </w:r>
      <w:r w:rsidR="00D4519C">
        <w:rPr>
          <w:bCs/>
          <w:lang w:val="en-GB"/>
        </w:rPr>
        <w:fldChar w:fldCharType="separate"/>
      </w:r>
      <w:r w:rsidR="00B43B3B" w:rsidRPr="00B43B3B">
        <w:rPr>
          <w:rFonts w:ascii="Calibri" w:hAnsi="Calibri" w:cs="Calibri"/>
          <w:szCs w:val="24"/>
          <w:vertAlign w:val="superscript"/>
          <w:lang w:val="en-US"/>
        </w:rPr>
        <w:t>22</w:t>
      </w:r>
      <w:r w:rsidR="00D4519C">
        <w:rPr>
          <w:bCs/>
          <w:lang w:val="en-GB"/>
        </w:rPr>
        <w:fldChar w:fldCharType="end"/>
      </w:r>
      <w:r w:rsidR="00D4519C">
        <w:rPr>
          <w:bCs/>
          <w:lang w:val="en-GB"/>
        </w:rPr>
        <w:t xml:space="preserve">. </w:t>
      </w:r>
      <w:r w:rsidR="00204311" w:rsidRPr="00204311">
        <w:rPr>
          <w:bCs/>
          <w:lang w:val="en-US"/>
        </w:rPr>
        <w:t>The entropy of </w:t>
      </w:r>
      <w:r w:rsidR="00204311" w:rsidRPr="00204311">
        <w:rPr>
          <w:b/>
          <w:bCs/>
          <w:lang w:val="en-US"/>
        </w:rPr>
        <w:t>Shannon</w:t>
      </w:r>
      <w:r w:rsidR="00204311" w:rsidRPr="00204311">
        <w:rPr>
          <w:bCs/>
          <w:lang w:val="en-US"/>
        </w:rPr>
        <w:t> H is calculated according to the formula</w:t>
      </w:r>
      <w:r w:rsidR="00204311">
        <w:rPr>
          <w:bCs/>
          <w:lang w:val="en-US"/>
        </w:rPr>
        <w:t>:</w:t>
      </w:r>
    </w:p>
    <w:p w14:paraId="5E5E690C" w14:textId="1B8159EC" w:rsidR="00204311" w:rsidRPr="00204311" w:rsidRDefault="00204311" w:rsidP="000F59DB">
      <w:pPr>
        <w:rPr>
          <w:bCs/>
          <w:lang w:val="en-US"/>
        </w:rPr>
      </w:pPr>
      <m:oMathPara>
        <m:oMath>
          <m:r>
            <w:rPr>
              <w:rFonts w:ascii="Cambria Math" w:hAnsi="Cambria Math"/>
              <w:lang w:val="en-US"/>
            </w:rPr>
            <m:t>H=-</m:t>
          </m:r>
          <m:nary>
            <m:naryPr>
              <m:chr m:val="∑"/>
              <m:limLoc m:val="undOvr"/>
              <m:ctrlPr>
                <w:rPr>
                  <w:rFonts w:ascii="Cambria Math" w:hAnsi="Cambria Math"/>
                  <w:bCs/>
                  <w:i/>
                  <w:lang w:val="en-US"/>
                </w:rPr>
              </m:ctrlPr>
            </m:naryPr>
            <m:sub>
              <m:r>
                <w:rPr>
                  <w:rFonts w:ascii="Cambria Math" w:hAnsi="Cambria Math"/>
                  <w:lang w:val="en-US"/>
                </w:rPr>
                <m:t>i=&amp;</m:t>
              </m:r>
            </m:sub>
            <m:sup>
              <m:r>
                <w:rPr>
                  <w:rFonts w:ascii="Cambria Math" w:hAnsi="Cambria Math"/>
                  <w:lang w:val="en-US"/>
                </w:rPr>
                <m:t>n</m:t>
              </m:r>
            </m:sup>
            <m:e>
              <m:sSub>
                <m:sSubPr>
                  <m:ctrlPr>
                    <w:rPr>
                      <w:rFonts w:ascii="Cambria Math" w:hAnsi="Cambria Math"/>
                      <w:bCs/>
                      <w:i/>
                      <w:lang w:val="en-US"/>
                    </w:rPr>
                  </m:ctrlPr>
                </m:sSubPr>
                <m:e>
                  <m:r>
                    <w:rPr>
                      <w:rFonts w:ascii="Cambria Math" w:hAnsi="Cambria Math"/>
                      <w:lang w:val="en-US"/>
                    </w:rPr>
                    <m:t>p</m:t>
                  </m:r>
                </m:e>
                <m:sub>
                  <m:r>
                    <w:rPr>
                      <w:rFonts w:ascii="Cambria Math" w:hAnsi="Cambria Math"/>
                      <w:lang w:val="en-US"/>
                    </w:rPr>
                    <m:t>i</m:t>
                  </m:r>
                </m:sub>
              </m:sSub>
            </m:e>
          </m:nary>
          <m:sSub>
            <m:sSubPr>
              <m:ctrlPr>
                <w:rPr>
                  <w:rFonts w:ascii="Cambria Math" w:hAnsi="Cambria Math"/>
                  <w:bCs/>
                  <w:i/>
                  <w:lang w:val="en-US"/>
                </w:rPr>
              </m:ctrlPr>
            </m:sSubPr>
            <m:e>
              <m:r>
                <w:rPr>
                  <w:rFonts w:ascii="Cambria Math" w:hAnsi="Cambria Math"/>
                  <w:lang w:val="en-US"/>
                </w:rPr>
                <m:t>log</m:t>
              </m:r>
            </m:e>
            <m:sub>
              <m:r>
                <w:rPr>
                  <w:rFonts w:ascii="Cambria Math" w:hAnsi="Cambria Math"/>
                  <w:lang w:val="en-US"/>
                </w:rPr>
                <m:t>2</m:t>
              </m:r>
            </m:sub>
          </m:sSub>
          <m:sSub>
            <m:sSubPr>
              <m:ctrlPr>
                <w:rPr>
                  <w:rFonts w:ascii="Cambria Math" w:hAnsi="Cambria Math"/>
                  <w:bCs/>
                  <w:i/>
                  <w:lang w:val="en-US"/>
                </w:rPr>
              </m:ctrlPr>
            </m:sSubPr>
            <m:e>
              <m:r>
                <w:rPr>
                  <w:rFonts w:ascii="Cambria Math" w:hAnsi="Cambria Math"/>
                  <w:lang w:val="en-US"/>
                </w:rPr>
                <m:t>p</m:t>
              </m:r>
            </m:e>
            <m:sub>
              <m:r>
                <w:rPr>
                  <w:rFonts w:ascii="Cambria Math" w:hAnsi="Cambria Math"/>
                  <w:lang w:val="en-US"/>
                </w:rPr>
                <m:t>i</m:t>
              </m:r>
            </m:sub>
          </m:sSub>
        </m:oMath>
      </m:oMathPara>
    </w:p>
    <w:p w14:paraId="64A57BC2" w14:textId="77777777" w:rsidR="000F59DB" w:rsidRPr="00204311" w:rsidRDefault="000F59DB" w:rsidP="008E072D">
      <w:pPr>
        <w:rPr>
          <w:bCs/>
          <w:lang w:val="en-GB"/>
        </w:rPr>
      </w:pPr>
    </w:p>
    <w:p w14:paraId="3FC86055" w14:textId="099A4F7B" w:rsidR="005C3B2A" w:rsidRDefault="00795036" w:rsidP="008E072D">
      <w:pPr>
        <w:rPr>
          <w:b/>
          <w:lang w:val="en-GB"/>
        </w:rPr>
      </w:pPr>
      <w:r>
        <w:rPr>
          <w:b/>
          <w:noProof/>
          <w:lang w:val="en-GB"/>
        </w:rPr>
        <w:pict w14:anchorId="738A3F73">
          <v:shape id="_x0000_i1031" type="#_x0000_t75" alt="Diapositive5" style="width:292.2pt;height:210pt;mso-width-percent:0;mso-height-percent:0;mso-width-percent:0;mso-height-percent:0">
            <v:imagedata r:id="rId15" o:title="Diapositive5" croptop="7397f" cropbottom="17684f" cropleft="7195f" cropright="16124f"/>
          </v:shape>
        </w:pict>
      </w:r>
    </w:p>
    <w:p w14:paraId="51F38BCE" w14:textId="4AC7A656" w:rsidR="005C3B2A" w:rsidRPr="005C3B2A" w:rsidRDefault="00F641E4" w:rsidP="008E072D">
      <w:pPr>
        <w:rPr>
          <w:lang w:val="en-GB"/>
        </w:rPr>
      </w:pPr>
      <w:r>
        <w:rPr>
          <w:lang w:val="en-GB"/>
        </w:rPr>
        <w:t>Figure</w:t>
      </w:r>
      <w:r w:rsidR="00670296">
        <w:rPr>
          <w:lang w:val="en-GB"/>
        </w:rPr>
        <w:t> </w:t>
      </w:r>
      <w:r>
        <w:rPr>
          <w:lang w:val="en-GB"/>
        </w:rPr>
        <w:t>S8</w:t>
      </w:r>
      <w:r w:rsidR="005C3B2A">
        <w:rPr>
          <w:lang w:val="en-GB"/>
        </w:rPr>
        <w:t>: Boxplot of the entropy metric according to instructions. Stars indicate significant difference between two instructions with p</w:t>
      </w:r>
      <w:r w:rsidR="00670296">
        <w:rPr>
          <w:lang w:val="en-GB"/>
        </w:rPr>
        <w:t xml:space="preserve"> </w:t>
      </w:r>
      <w:r w:rsidR="005C3B2A">
        <w:rPr>
          <w:lang w:val="en-GB"/>
        </w:rPr>
        <w:t>&lt;0.05.</w:t>
      </w:r>
      <w:r w:rsidR="00AF0AA2" w:rsidRPr="00AF0AA2">
        <w:rPr>
          <w:lang w:val="en-GB"/>
        </w:rPr>
        <w:t xml:space="preserve"> </w:t>
      </w:r>
      <w:r w:rsidR="00AF0AA2">
        <w:rPr>
          <w:lang w:val="en-GB"/>
        </w:rPr>
        <w:t>A</w:t>
      </w:r>
      <w:r w:rsidR="00670296">
        <w:rPr>
          <w:lang w:val="en-GB"/>
        </w:rPr>
        <w:t>NOVA</w:t>
      </w:r>
      <w:r w:rsidR="00AF0AA2">
        <w:rPr>
          <w:lang w:val="en-GB"/>
        </w:rPr>
        <w:t xml:space="preserve"> test</w:t>
      </w:r>
      <w:r w:rsidR="007E7850">
        <w:rPr>
          <w:lang w:val="en-GB"/>
        </w:rPr>
        <w:t xml:space="preserve">: </w:t>
      </w:r>
      <w:r w:rsidR="00AF0AA2">
        <w:rPr>
          <w:lang w:val="en-GB"/>
        </w:rPr>
        <w:t>p</w:t>
      </w:r>
      <w:r w:rsidR="00670296">
        <w:rPr>
          <w:lang w:val="en-GB"/>
        </w:rPr>
        <w:t xml:space="preserve"> </w:t>
      </w:r>
      <w:r w:rsidR="00AF0AA2">
        <w:rPr>
          <w:lang w:val="en-GB"/>
        </w:rPr>
        <w:t>&lt;0.0001.</w:t>
      </w:r>
    </w:p>
    <w:p w14:paraId="1ECD15F4" w14:textId="7F13395C" w:rsidR="00724A71" w:rsidRDefault="00724A71" w:rsidP="008E072D">
      <w:pPr>
        <w:rPr>
          <w:b/>
          <w:lang w:val="en-GB"/>
        </w:rPr>
      </w:pPr>
      <w:r>
        <w:rPr>
          <w:b/>
          <w:lang w:val="en-GB"/>
        </w:rPr>
        <w:t xml:space="preserve">8. Drawing </w:t>
      </w:r>
      <w:r w:rsidR="003D63D7">
        <w:rPr>
          <w:b/>
          <w:lang w:val="en-GB"/>
        </w:rPr>
        <w:t>duration</w:t>
      </w:r>
    </w:p>
    <w:p w14:paraId="5A961681" w14:textId="58A7A05D" w:rsidR="00724A71" w:rsidRDefault="007E7850" w:rsidP="008E072D">
      <w:pPr>
        <w:rPr>
          <w:lang w:val="en-GB"/>
        </w:rPr>
      </w:pPr>
      <w:r>
        <w:rPr>
          <w:lang w:val="en-GB"/>
        </w:rPr>
        <w:t>The d</w:t>
      </w:r>
      <w:r w:rsidR="003D63D7">
        <w:rPr>
          <w:lang w:val="en-GB"/>
        </w:rPr>
        <w:t xml:space="preserve">uration of </w:t>
      </w:r>
      <w:r>
        <w:rPr>
          <w:lang w:val="en-GB"/>
        </w:rPr>
        <w:t xml:space="preserve">the </w:t>
      </w:r>
      <w:r w:rsidR="003D63D7">
        <w:rPr>
          <w:lang w:val="en-GB"/>
        </w:rPr>
        <w:t>drawing session</w:t>
      </w:r>
      <w:r w:rsidR="00724A71">
        <w:rPr>
          <w:lang w:val="en-GB"/>
        </w:rPr>
        <w:t xml:space="preserve"> is defined as the time </w:t>
      </w:r>
      <w:r>
        <w:rPr>
          <w:lang w:val="en-GB"/>
        </w:rPr>
        <w:t xml:space="preserve">from </w:t>
      </w:r>
      <w:r w:rsidR="00724A71">
        <w:rPr>
          <w:lang w:val="en-GB"/>
        </w:rPr>
        <w:t xml:space="preserve">the first point on the touchscreen to the last, including </w:t>
      </w:r>
      <w:r>
        <w:rPr>
          <w:lang w:val="en-GB"/>
        </w:rPr>
        <w:t xml:space="preserve">the </w:t>
      </w:r>
      <w:r w:rsidR="00724A71">
        <w:rPr>
          <w:lang w:val="en-GB"/>
        </w:rPr>
        <w:t xml:space="preserve">time </w:t>
      </w:r>
      <w:r>
        <w:rPr>
          <w:lang w:val="en-GB"/>
        </w:rPr>
        <w:t xml:space="preserve">spent </w:t>
      </w:r>
      <w:r w:rsidR="00724A71">
        <w:rPr>
          <w:lang w:val="en-GB"/>
        </w:rPr>
        <w:t xml:space="preserve">drawing and time </w:t>
      </w:r>
      <w:r>
        <w:rPr>
          <w:lang w:val="en-GB"/>
        </w:rPr>
        <w:t xml:space="preserve">without </w:t>
      </w:r>
      <w:r w:rsidR="00724A71">
        <w:rPr>
          <w:lang w:val="en-GB"/>
        </w:rPr>
        <w:t xml:space="preserve">drawing between these </w:t>
      </w:r>
      <w:r>
        <w:rPr>
          <w:lang w:val="en-GB"/>
        </w:rPr>
        <w:t xml:space="preserve">two </w:t>
      </w:r>
      <w:r w:rsidR="00724A71">
        <w:rPr>
          <w:lang w:val="en-GB"/>
        </w:rPr>
        <w:t>points.</w:t>
      </w:r>
    </w:p>
    <w:p w14:paraId="73DB1A39" w14:textId="77777777" w:rsidR="005C3B2A" w:rsidRDefault="005C3B2A" w:rsidP="008E072D">
      <w:pPr>
        <w:rPr>
          <w:lang w:val="en-GB"/>
        </w:rPr>
      </w:pPr>
    </w:p>
    <w:p w14:paraId="22543CEC" w14:textId="7A3175C2" w:rsidR="005C3B2A" w:rsidRDefault="00795036" w:rsidP="008E072D">
      <w:pPr>
        <w:rPr>
          <w:lang w:val="en-GB"/>
        </w:rPr>
      </w:pPr>
      <w:r>
        <w:rPr>
          <w:noProof/>
          <w:lang w:val="en-GB"/>
        </w:rPr>
        <w:pict w14:anchorId="77B3CCF6">
          <v:shape id="_x0000_i1032" type="#_x0000_t75" alt="Diapositive4" style="width:290.4pt;height:203.4pt;mso-width-percent:0;mso-height-percent:0;mso-width-percent:0;mso-height-percent:0">
            <v:imagedata r:id="rId16" o:title="Diapositive4" croptop="7975f" cropbottom="18378f" cropleft="6502f" cropright="17164f"/>
          </v:shape>
        </w:pict>
      </w:r>
    </w:p>
    <w:p w14:paraId="6A048D88" w14:textId="31BFF756" w:rsidR="005C3B2A" w:rsidRDefault="00F641E4" w:rsidP="008E072D">
      <w:pPr>
        <w:rPr>
          <w:lang w:val="en-GB"/>
        </w:rPr>
      </w:pPr>
      <w:r>
        <w:rPr>
          <w:lang w:val="en-GB"/>
        </w:rPr>
        <w:t>Figure</w:t>
      </w:r>
      <w:r w:rsidR="00670296">
        <w:rPr>
          <w:lang w:val="en-GB"/>
        </w:rPr>
        <w:t> </w:t>
      </w:r>
      <w:r>
        <w:rPr>
          <w:lang w:val="en-GB"/>
        </w:rPr>
        <w:t>S9</w:t>
      </w:r>
      <w:r w:rsidR="005C3B2A">
        <w:rPr>
          <w:lang w:val="en-GB"/>
        </w:rPr>
        <w:t xml:space="preserve">: Boxplot of the drawing </w:t>
      </w:r>
      <w:r w:rsidR="003D63D7">
        <w:rPr>
          <w:lang w:val="en-GB"/>
        </w:rPr>
        <w:t xml:space="preserve">duration </w:t>
      </w:r>
      <w:r w:rsidR="005C3B2A">
        <w:rPr>
          <w:lang w:val="en-GB"/>
        </w:rPr>
        <w:t>according to instructions. Stars indicate significant difference between two instructions with p</w:t>
      </w:r>
      <w:r w:rsidR="00670296">
        <w:rPr>
          <w:lang w:val="en-GB"/>
        </w:rPr>
        <w:t xml:space="preserve"> </w:t>
      </w:r>
      <w:r w:rsidR="005C3B2A">
        <w:rPr>
          <w:lang w:val="en-GB"/>
        </w:rPr>
        <w:t>&lt;0.05.</w:t>
      </w:r>
      <w:r w:rsidR="00AF0AA2" w:rsidRPr="00AF0AA2">
        <w:rPr>
          <w:lang w:val="en-GB"/>
        </w:rPr>
        <w:t xml:space="preserve"> </w:t>
      </w:r>
      <w:r w:rsidR="00AF0AA2">
        <w:rPr>
          <w:lang w:val="en-GB"/>
        </w:rPr>
        <w:t>A</w:t>
      </w:r>
      <w:r w:rsidR="00670296">
        <w:rPr>
          <w:lang w:val="en-GB"/>
        </w:rPr>
        <w:t>NOVA</w:t>
      </w:r>
      <w:r w:rsidR="00AF0AA2">
        <w:rPr>
          <w:lang w:val="en-GB"/>
        </w:rPr>
        <w:t xml:space="preserve"> test</w:t>
      </w:r>
      <w:r w:rsidR="007E7850">
        <w:rPr>
          <w:lang w:val="en-GB"/>
        </w:rPr>
        <w:t xml:space="preserve">: </w:t>
      </w:r>
      <w:r w:rsidR="00AF0AA2">
        <w:rPr>
          <w:lang w:val="en-GB"/>
        </w:rPr>
        <w:t>p</w:t>
      </w:r>
      <w:r w:rsidR="00670296">
        <w:rPr>
          <w:lang w:val="en-GB"/>
        </w:rPr>
        <w:t xml:space="preserve"> </w:t>
      </w:r>
      <w:r w:rsidR="00AF0AA2">
        <w:rPr>
          <w:lang w:val="en-GB"/>
        </w:rPr>
        <w:t>&lt;0.0001.</w:t>
      </w:r>
    </w:p>
    <w:p w14:paraId="4CD55450" w14:textId="42D3832E" w:rsidR="00943309" w:rsidRPr="00943309" w:rsidRDefault="00943309" w:rsidP="008E072D">
      <w:pPr>
        <w:rPr>
          <w:b/>
          <w:lang w:val="en-GB"/>
        </w:rPr>
      </w:pPr>
      <w:r w:rsidRPr="00943309">
        <w:rPr>
          <w:b/>
          <w:lang w:val="en-GB"/>
        </w:rPr>
        <w:lastRenderedPageBreak/>
        <w:t>9. Number of sequences</w:t>
      </w:r>
    </w:p>
    <w:p w14:paraId="475C46DD" w14:textId="77785CC5" w:rsidR="00943309" w:rsidRDefault="00943309" w:rsidP="008E072D">
      <w:pPr>
        <w:rPr>
          <w:lang w:val="en-GB"/>
        </w:rPr>
      </w:pPr>
      <w:r>
        <w:rPr>
          <w:lang w:val="en-GB"/>
        </w:rPr>
        <w:t>Number of drawing and non-drawing sequences during the test.</w:t>
      </w:r>
    </w:p>
    <w:p w14:paraId="5F8BD931" w14:textId="0C9EDAFC" w:rsidR="00943309" w:rsidRDefault="00795036" w:rsidP="008E072D">
      <w:pPr>
        <w:rPr>
          <w:lang w:val="en-GB"/>
        </w:rPr>
      </w:pPr>
      <w:r>
        <w:rPr>
          <w:noProof/>
          <w:lang w:val="en-GB"/>
        </w:rPr>
        <w:pict w14:anchorId="24BF963E">
          <v:shape id="_x0000_i1033" type="#_x0000_t75" alt="Diapositive11" style="width:301.2pt;height:208.2pt;mso-width-percent:0;mso-height-percent:0;mso-width-percent:0;mso-height-percent:0">
            <v:imagedata r:id="rId17" o:title="Diapositive11" croptop="7860f" cropbottom="17569f" cropleft="5981f" cropright="15951f"/>
          </v:shape>
        </w:pict>
      </w:r>
    </w:p>
    <w:p w14:paraId="36D53CC4" w14:textId="2C807922" w:rsidR="00943309" w:rsidRDefault="00943309" w:rsidP="008E072D">
      <w:pPr>
        <w:rPr>
          <w:lang w:val="en-GB"/>
        </w:rPr>
      </w:pPr>
      <w:r>
        <w:rPr>
          <w:lang w:val="en-GB"/>
        </w:rPr>
        <w:t>Figure</w:t>
      </w:r>
      <w:r w:rsidR="00670296">
        <w:rPr>
          <w:lang w:val="en-GB"/>
        </w:rPr>
        <w:t> </w:t>
      </w:r>
      <w:r>
        <w:rPr>
          <w:lang w:val="en-GB"/>
        </w:rPr>
        <w:t>S10: Boxplot of the number of sequences according to instructions. Stars indicate significant difference between two instructions with p</w:t>
      </w:r>
      <w:r w:rsidR="00670296">
        <w:rPr>
          <w:lang w:val="en-GB"/>
        </w:rPr>
        <w:t xml:space="preserve"> </w:t>
      </w:r>
      <w:r>
        <w:rPr>
          <w:lang w:val="en-GB"/>
        </w:rPr>
        <w:t>&lt;0.05.</w:t>
      </w:r>
      <w:r w:rsidR="00AF0AA2" w:rsidRPr="00AF0AA2">
        <w:rPr>
          <w:lang w:val="en-GB"/>
        </w:rPr>
        <w:t xml:space="preserve"> </w:t>
      </w:r>
      <w:r w:rsidR="00AF0AA2">
        <w:rPr>
          <w:lang w:val="en-GB"/>
        </w:rPr>
        <w:t>Kruskal-Wallis test</w:t>
      </w:r>
      <w:r w:rsidR="007E7850">
        <w:rPr>
          <w:lang w:val="en-GB"/>
        </w:rPr>
        <w:t xml:space="preserve">: </w:t>
      </w:r>
      <w:r w:rsidR="00AF0AA2">
        <w:rPr>
          <w:lang w:val="en-GB"/>
        </w:rPr>
        <w:t>p</w:t>
      </w:r>
      <w:r w:rsidR="00670296">
        <w:rPr>
          <w:lang w:val="en-GB"/>
        </w:rPr>
        <w:t xml:space="preserve"> </w:t>
      </w:r>
      <w:r w:rsidR="00AF0AA2">
        <w:rPr>
          <w:lang w:val="en-GB"/>
        </w:rPr>
        <w:t>&lt;0.0001.</w:t>
      </w:r>
    </w:p>
    <w:p w14:paraId="5FDE5C71" w14:textId="5FD372DE" w:rsidR="00724A71" w:rsidRDefault="00943309" w:rsidP="008E072D">
      <w:pPr>
        <w:rPr>
          <w:b/>
          <w:lang w:val="en-GB"/>
        </w:rPr>
      </w:pPr>
      <w:r>
        <w:rPr>
          <w:b/>
          <w:lang w:val="en-GB"/>
        </w:rPr>
        <w:t>10</w:t>
      </w:r>
      <w:r w:rsidR="00724A71">
        <w:rPr>
          <w:b/>
          <w:lang w:val="en-GB"/>
        </w:rPr>
        <w:t>. Drawing speed</w:t>
      </w:r>
    </w:p>
    <w:p w14:paraId="2CA04487" w14:textId="47A9F4D9" w:rsidR="00724A71" w:rsidRDefault="00724A71" w:rsidP="008E072D">
      <w:pPr>
        <w:rPr>
          <w:lang w:val="en-GB"/>
        </w:rPr>
      </w:pPr>
      <w:r>
        <w:rPr>
          <w:lang w:val="en-GB"/>
        </w:rPr>
        <w:t xml:space="preserve">Drawing distance divided by the drawing </w:t>
      </w:r>
      <w:r w:rsidR="003D63D7">
        <w:rPr>
          <w:lang w:val="en-GB"/>
        </w:rPr>
        <w:t>duration</w:t>
      </w:r>
      <w:r>
        <w:rPr>
          <w:lang w:val="en-GB"/>
        </w:rPr>
        <w:t xml:space="preserve"> (i.e. </w:t>
      </w:r>
      <w:r w:rsidR="003D63D7">
        <w:rPr>
          <w:lang w:val="en-GB"/>
        </w:rPr>
        <w:t>duration</w:t>
      </w:r>
      <w:r>
        <w:rPr>
          <w:lang w:val="en-GB"/>
        </w:rPr>
        <w:t xml:space="preserve"> of drawing only, not including </w:t>
      </w:r>
      <w:r w:rsidR="003D63D7">
        <w:rPr>
          <w:lang w:val="en-GB"/>
        </w:rPr>
        <w:t>duration</w:t>
      </w:r>
      <w:r>
        <w:rPr>
          <w:lang w:val="en-GB"/>
        </w:rPr>
        <w:t xml:space="preserve"> of non-drawing during the test).</w:t>
      </w:r>
    </w:p>
    <w:p w14:paraId="3C3A5EB4" w14:textId="68B2D97B" w:rsidR="005C3B2A" w:rsidRDefault="00795036" w:rsidP="008E072D">
      <w:pPr>
        <w:rPr>
          <w:lang w:val="en-GB"/>
        </w:rPr>
      </w:pPr>
      <w:r>
        <w:rPr>
          <w:noProof/>
          <w:lang w:val="en-GB"/>
        </w:rPr>
        <w:pict w14:anchorId="2C11591E">
          <v:shape id="_x0000_i1034" type="#_x0000_t75" alt="figure comparaison_Page_03" style="width:226.8pt;height:172.8pt;mso-width-percent:0;mso-height-percent:0;mso-width-percent:0;mso-height-percent:0">
            <v:imagedata r:id="rId18" o:title="figure comparaison_Page_03"/>
          </v:shape>
        </w:pict>
      </w:r>
    </w:p>
    <w:p w14:paraId="02436097" w14:textId="57B3CD7D" w:rsidR="005C3B2A" w:rsidRDefault="005C3B2A" w:rsidP="008E072D">
      <w:pPr>
        <w:rPr>
          <w:lang w:val="en-GB"/>
        </w:rPr>
      </w:pPr>
      <w:r>
        <w:rPr>
          <w:lang w:val="en-GB"/>
        </w:rPr>
        <w:t>Figure</w:t>
      </w:r>
      <w:r w:rsidR="00670296">
        <w:rPr>
          <w:lang w:val="en-GB"/>
        </w:rPr>
        <w:t> </w:t>
      </w:r>
      <w:r>
        <w:rPr>
          <w:lang w:val="en-GB"/>
        </w:rPr>
        <w:t>S</w:t>
      </w:r>
      <w:r w:rsidR="00F641E4">
        <w:rPr>
          <w:lang w:val="en-GB"/>
        </w:rPr>
        <w:t>11</w:t>
      </w:r>
      <w:r>
        <w:rPr>
          <w:lang w:val="en-GB"/>
        </w:rPr>
        <w:t>: Boxplot of the drawing speed according to instructions. Stars indicate significant difference between two instructions with p</w:t>
      </w:r>
      <w:r w:rsidR="00670296">
        <w:rPr>
          <w:lang w:val="en-GB"/>
        </w:rPr>
        <w:t xml:space="preserve"> </w:t>
      </w:r>
      <w:r>
        <w:rPr>
          <w:lang w:val="en-GB"/>
        </w:rPr>
        <w:t>&lt;0.05.</w:t>
      </w:r>
      <w:r w:rsidR="00AF0AA2" w:rsidRPr="00AF0AA2">
        <w:rPr>
          <w:lang w:val="en-GB"/>
        </w:rPr>
        <w:t xml:space="preserve"> </w:t>
      </w:r>
      <w:r w:rsidR="00AF0AA2">
        <w:rPr>
          <w:lang w:val="en-GB"/>
        </w:rPr>
        <w:t>A</w:t>
      </w:r>
      <w:r w:rsidR="00670296">
        <w:rPr>
          <w:lang w:val="en-GB"/>
        </w:rPr>
        <w:t>NOVA</w:t>
      </w:r>
      <w:r w:rsidR="00AF0AA2">
        <w:rPr>
          <w:lang w:val="en-GB"/>
        </w:rPr>
        <w:t xml:space="preserve"> test</w:t>
      </w:r>
      <w:r w:rsidR="007E7850">
        <w:rPr>
          <w:lang w:val="en-GB"/>
        </w:rPr>
        <w:t xml:space="preserve">: </w:t>
      </w:r>
      <w:r w:rsidR="00AF0AA2">
        <w:rPr>
          <w:lang w:val="en-GB"/>
        </w:rPr>
        <w:t>p</w:t>
      </w:r>
      <w:r w:rsidR="00670296">
        <w:rPr>
          <w:lang w:val="en-GB"/>
        </w:rPr>
        <w:t xml:space="preserve"> </w:t>
      </w:r>
      <w:r w:rsidR="00AF0AA2">
        <w:rPr>
          <w:lang w:val="en-GB"/>
        </w:rPr>
        <w:t>&lt;0.0001.</w:t>
      </w:r>
    </w:p>
    <w:p w14:paraId="6B0030A5" w14:textId="4EE9A746" w:rsidR="00724A71" w:rsidRDefault="00943309" w:rsidP="008E072D">
      <w:pPr>
        <w:rPr>
          <w:b/>
          <w:lang w:val="en-GB"/>
        </w:rPr>
      </w:pPr>
      <w:r>
        <w:rPr>
          <w:b/>
          <w:lang w:val="en-GB"/>
        </w:rPr>
        <w:t>11</w:t>
      </w:r>
      <w:r w:rsidR="00724A71">
        <w:rPr>
          <w:b/>
          <w:lang w:val="en-GB"/>
        </w:rPr>
        <w:t>. Drawing time proportion</w:t>
      </w:r>
    </w:p>
    <w:p w14:paraId="4B747C12" w14:textId="6493B6D5" w:rsidR="00724A71" w:rsidRDefault="003D63D7" w:rsidP="008E072D">
      <w:pPr>
        <w:rPr>
          <w:lang w:val="en-GB"/>
        </w:rPr>
      </w:pPr>
      <w:r>
        <w:rPr>
          <w:lang w:val="en-GB"/>
        </w:rPr>
        <w:t>Duration</w:t>
      </w:r>
      <w:r w:rsidR="00724A71">
        <w:rPr>
          <w:lang w:val="en-GB"/>
        </w:rPr>
        <w:t xml:space="preserve"> of drawing divided by the </w:t>
      </w:r>
      <w:r>
        <w:rPr>
          <w:lang w:val="en-GB"/>
        </w:rPr>
        <w:t>duration</w:t>
      </w:r>
      <w:r w:rsidR="00724A71">
        <w:rPr>
          <w:lang w:val="en-GB"/>
        </w:rPr>
        <w:t xml:space="preserve"> of drawing </w:t>
      </w:r>
      <w:r>
        <w:rPr>
          <w:lang w:val="en-GB"/>
        </w:rPr>
        <w:t>session</w:t>
      </w:r>
      <w:r w:rsidR="00724A71">
        <w:rPr>
          <w:lang w:val="en-GB"/>
        </w:rPr>
        <w:t>.</w:t>
      </w:r>
    </w:p>
    <w:p w14:paraId="0FE63E21" w14:textId="41817BD3" w:rsidR="005C3B2A" w:rsidRDefault="00795036" w:rsidP="008E072D">
      <w:pPr>
        <w:rPr>
          <w:lang w:val="en-GB"/>
        </w:rPr>
      </w:pPr>
      <w:r>
        <w:rPr>
          <w:noProof/>
          <w:lang w:val="en-GB"/>
        </w:rPr>
        <w:lastRenderedPageBreak/>
        <w:pict w14:anchorId="0243550F">
          <v:shape id="_x0000_i1035" type="#_x0000_t75" alt="figure comparaison_Page_02" style="width:231pt;height:177.6pt;mso-width-percent:0;mso-height-percent:0;mso-width-percent:0;mso-height-percent:0">
            <v:imagedata r:id="rId19" o:title="figure comparaison_Page_02"/>
          </v:shape>
        </w:pict>
      </w:r>
    </w:p>
    <w:p w14:paraId="0C1A8164" w14:textId="27DF20D5" w:rsidR="005C3B2A" w:rsidRDefault="00F641E4" w:rsidP="008E072D">
      <w:pPr>
        <w:rPr>
          <w:lang w:val="en-GB"/>
        </w:rPr>
      </w:pPr>
      <w:r>
        <w:rPr>
          <w:lang w:val="en-GB"/>
        </w:rPr>
        <w:t>Figure</w:t>
      </w:r>
      <w:r w:rsidR="00670296">
        <w:rPr>
          <w:lang w:val="en-GB"/>
        </w:rPr>
        <w:t> </w:t>
      </w:r>
      <w:r>
        <w:rPr>
          <w:lang w:val="en-GB"/>
        </w:rPr>
        <w:t>S12</w:t>
      </w:r>
      <w:r w:rsidR="005C3B2A">
        <w:rPr>
          <w:lang w:val="en-GB"/>
        </w:rPr>
        <w:t>: Boxplot of the drawing proportion according to instructions. Stars indicate significant difference between two instructions with p</w:t>
      </w:r>
      <w:r w:rsidR="00670296">
        <w:rPr>
          <w:lang w:val="en-GB"/>
        </w:rPr>
        <w:t xml:space="preserve"> </w:t>
      </w:r>
      <w:r w:rsidR="005C3B2A">
        <w:rPr>
          <w:lang w:val="en-GB"/>
        </w:rPr>
        <w:t>&lt;0.05.</w:t>
      </w:r>
      <w:r w:rsidR="00AF0AA2">
        <w:rPr>
          <w:lang w:val="en-GB"/>
        </w:rPr>
        <w:t xml:space="preserve"> A</w:t>
      </w:r>
      <w:r w:rsidR="00670296">
        <w:rPr>
          <w:lang w:val="en-GB"/>
        </w:rPr>
        <w:t>NOVA</w:t>
      </w:r>
      <w:r w:rsidR="00AF0AA2">
        <w:rPr>
          <w:lang w:val="en-GB"/>
        </w:rPr>
        <w:t xml:space="preserve"> test</w:t>
      </w:r>
      <w:r w:rsidR="007E7850">
        <w:rPr>
          <w:lang w:val="en-GB"/>
        </w:rPr>
        <w:t xml:space="preserve">: </w:t>
      </w:r>
      <w:r w:rsidR="00AF0AA2">
        <w:rPr>
          <w:lang w:val="en-GB"/>
        </w:rPr>
        <w:t>p</w:t>
      </w:r>
      <w:r w:rsidR="00670296">
        <w:rPr>
          <w:lang w:val="en-GB"/>
        </w:rPr>
        <w:t xml:space="preserve"> </w:t>
      </w:r>
      <w:r w:rsidR="00AF0AA2">
        <w:rPr>
          <w:lang w:val="en-GB"/>
        </w:rPr>
        <w:t>&lt;0.0001.</w:t>
      </w:r>
    </w:p>
    <w:p w14:paraId="12520FE9" w14:textId="32D0AC86" w:rsidR="00724A71" w:rsidRDefault="00943309" w:rsidP="008E072D">
      <w:pPr>
        <w:rPr>
          <w:b/>
          <w:lang w:val="en-GB"/>
        </w:rPr>
      </w:pPr>
      <w:r>
        <w:rPr>
          <w:b/>
          <w:lang w:val="en-GB"/>
        </w:rPr>
        <w:t>12</w:t>
      </w:r>
      <w:r w:rsidR="00724A71">
        <w:rPr>
          <w:b/>
          <w:lang w:val="en-GB"/>
        </w:rPr>
        <w:t>. Mean colorimetric profile</w:t>
      </w:r>
    </w:p>
    <w:p w14:paraId="3496E06E" w14:textId="77FECE32" w:rsidR="00103AC1" w:rsidRDefault="00724A71" w:rsidP="008E072D">
      <w:pPr>
        <w:rPr>
          <w:lang w:val="en-GB"/>
        </w:rPr>
      </w:pPr>
      <w:r>
        <w:rPr>
          <w:lang w:val="en-GB"/>
        </w:rPr>
        <w:t>M</w:t>
      </w:r>
      <w:r w:rsidRPr="00724A71">
        <w:rPr>
          <w:lang w:val="en-GB"/>
        </w:rPr>
        <w:t xml:space="preserve">ean distribution of intensity levels for the Red, Green, or Blue </w:t>
      </w:r>
      <w:r w:rsidR="0005312D">
        <w:rPr>
          <w:lang w:val="en-GB"/>
        </w:rPr>
        <w:t>colours</w:t>
      </w:r>
      <w:r w:rsidRPr="00724A71">
        <w:rPr>
          <w:lang w:val="en-GB"/>
        </w:rPr>
        <w:t xml:space="preserve"> respectively and </w:t>
      </w:r>
      <w:r w:rsidR="007E7850">
        <w:rPr>
          <w:lang w:val="en-GB"/>
        </w:rPr>
        <w:t xml:space="preserve">after </w:t>
      </w:r>
      <w:r w:rsidRPr="00724A71">
        <w:rPr>
          <w:lang w:val="en-GB"/>
        </w:rPr>
        <w:t>remov</w:t>
      </w:r>
      <w:r w:rsidR="007E7850">
        <w:rPr>
          <w:lang w:val="en-GB"/>
        </w:rPr>
        <w:t>al of</w:t>
      </w:r>
      <w:r w:rsidRPr="00724A71">
        <w:rPr>
          <w:lang w:val="en-GB"/>
        </w:rPr>
        <w:t xml:space="preserve"> the white (screen) colour on the parts covered by drawing</w:t>
      </w:r>
      <w:r w:rsidR="00103AC1">
        <w:rPr>
          <w:lang w:val="en-GB"/>
        </w:rPr>
        <w:t xml:space="preserve"> (after selection with the minimum convex polygon).</w:t>
      </w:r>
    </w:p>
    <w:p w14:paraId="69D21115" w14:textId="5E39CDD5" w:rsidR="005C3B2A" w:rsidRDefault="00795036" w:rsidP="008E072D">
      <w:pPr>
        <w:rPr>
          <w:lang w:val="en-GB"/>
        </w:rPr>
      </w:pPr>
      <w:r>
        <w:rPr>
          <w:noProof/>
          <w:lang w:val="en-GB"/>
        </w:rPr>
        <w:pict w14:anchorId="55459460">
          <v:shape id="_x0000_i1036" type="#_x0000_t75" alt="figure comparaison_Page_10" style="width:226.8pt;height:163.2pt;mso-width-percent:0;mso-height-percent:0;mso-width-percent:0;mso-height-percent:0">
            <v:imagedata r:id="rId20" o:title="figure comparaison_Page_10"/>
          </v:shape>
        </w:pict>
      </w:r>
    </w:p>
    <w:p w14:paraId="6FDA1EF3" w14:textId="24D99B45" w:rsidR="005C3B2A" w:rsidRDefault="00F641E4" w:rsidP="008E072D">
      <w:pPr>
        <w:rPr>
          <w:lang w:val="en-GB"/>
        </w:rPr>
      </w:pPr>
      <w:r>
        <w:rPr>
          <w:lang w:val="en-GB"/>
        </w:rPr>
        <w:t>Figure</w:t>
      </w:r>
      <w:r w:rsidR="00670296">
        <w:rPr>
          <w:lang w:val="en-GB"/>
        </w:rPr>
        <w:t> </w:t>
      </w:r>
      <w:r>
        <w:rPr>
          <w:lang w:val="en-GB"/>
        </w:rPr>
        <w:t>S13</w:t>
      </w:r>
      <w:r w:rsidR="005C3B2A">
        <w:rPr>
          <w:lang w:val="en-GB"/>
        </w:rPr>
        <w:t>: Boxplot of the mean colorimetric profile according to instructions. Stars indicate significant difference between two instructions with p</w:t>
      </w:r>
      <w:r w:rsidR="00670296">
        <w:rPr>
          <w:lang w:val="en-GB"/>
        </w:rPr>
        <w:t xml:space="preserve"> </w:t>
      </w:r>
      <w:r w:rsidR="005C3B2A">
        <w:rPr>
          <w:lang w:val="en-GB"/>
        </w:rPr>
        <w:t>&lt;0.05.</w:t>
      </w:r>
      <w:r w:rsidR="00AF0AA2" w:rsidRPr="00AF0AA2">
        <w:rPr>
          <w:lang w:val="en-GB"/>
        </w:rPr>
        <w:t xml:space="preserve"> </w:t>
      </w:r>
      <w:r w:rsidR="00AF0AA2">
        <w:rPr>
          <w:lang w:val="en-GB"/>
        </w:rPr>
        <w:t>A</w:t>
      </w:r>
      <w:r w:rsidR="00670296">
        <w:rPr>
          <w:lang w:val="en-GB"/>
        </w:rPr>
        <w:t>NOVA</w:t>
      </w:r>
      <w:r w:rsidR="00AF0AA2">
        <w:rPr>
          <w:lang w:val="en-GB"/>
        </w:rPr>
        <w:t xml:space="preserve"> test</w:t>
      </w:r>
      <w:r w:rsidR="007E7850">
        <w:rPr>
          <w:lang w:val="en-GB"/>
        </w:rPr>
        <w:t xml:space="preserve">: </w:t>
      </w:r>
      <w:r w:rsidR="00AF0AA2">
        <w:rPr>
          <w:lang w:val="en-GB"/>
        </w:rPr>
        <w:t>p=0.319.</w:t>
      </w:r>
    </w:p>
    <w:p w14:paraId="0D11B555" w14:textId="4B265964" w:rsidR="00103AC1" w:rsidRPr="00103AC1" w:rsidRDefault="00943309" w:rsidP="008E072D">
      <w:pPr>
        <w:rPr>
          <w:b/>
          <w:lang w:val="en-GB"/>
        </w:rPr>
      </w:pPr>
      <w:r>
        <w:rPr>
          <w:b/>
          <w:lang w:val="en-GB"/>
        </w:rPr>
        <w:t>13</w:t>
      </w:r>
      <w:r w:rsidR="00103AC1" w:rsidRPr="00103AC1">
        <w:rPr>
          <w:b/>
          <w:lang w:val="en-GB"/>
        </w:rPr>
        <w:t xml:space="preserve">. Standard </w:t>
      </w:r>
      <w:r w:rsidR="007E7850">
        <w:rPr>
          <w:b/>
          <w:lang w:val="en-GB"/>
        </w:rPr>
        <w:t>d</w:t>
      </w:r>
      <w:r w:rsidR="00103AC1" w:rsidRPr="00103AC1">
        <w:rPr>
          <w:b/>
          <w:lang w:val="en-GB"/>
        </w:rPr>
        <w:t>eviation of the colorimetric profile</w:t>
      </w:r>
    </w:p>
    <w:p w14:paraId="4A292A22" w14:textId="524F9165" w:rsidR="00724A71" w:rsidRDefault="00103AC1" w:rsidP="008E072D">
      <w:pPr>
        <w:rPr>
          <w:lang w:val="en-GB"/>
        </w:rPr>
      </w:pPr>
      <w:r>
        <w:rPr>
          <w:lang w:val="en-GB"/>
        </w:rPr>
        <w:t xml:space="preserve">Standard deviation of the distribution of intensity levels for the Red, Green, or Blue </w:t>
      </w:r>
      <w:r w:rsidR="0005312D">
        <w:rPr>
          <w:lang w:val="en-GB"/>
        </w:rPr>
        <w:t>colours</w:t>
      </w:r>
      <w:r>
        <w:rPr>
          <w:lang w:val="en-GB"/>
        </w:rPr>
        <w:t xml:space="preserve"> respectively, on the parts covered by drawing (after selection with the minimum convex polygon).</w:t>
      </w:r>
    </w:p>
    <w:p w14:paraId="69E6339D" w14:textId="10F0435A" w:rsidR="00943309" w:rsidRDefault="00795036" w:rsidP="008E072D">
      <w:pPr>
        <w:rPr>
          <w:lang w:val="en-GB"/>
        </w:rPr>
      </w:pPr>
      <w:r>
        <w:rPr>
          <w:noProof/>
          <w:lang w:val="en-GB"/>
        </w:rPr>
        <w:lastRenderedPageBreak/>
        <w:pict w14:anchorId="4613DD16">
          <v:shape id="_x0000_i1037" type="#_x0000_t75" alt="Diapositive13" style="width:294pt;height:211.8pt;mso-width-percent:0;mso-height-percent:0;mso-width-percent:0;mso-height-percent:0">
            <v:imagedata r:id="rId21" o:title="Diapositive13" croptop="7860f" cropbottom="16875f" cropleft="6588f" cropright="16471f"/>
          </v:shape>
        </w:pict>
      </w:r>
    </w:p>
    <w:p w14:paraId="310905A6" w14:textId="5189BC56" w:rsidR="00943309" w:rsidRDefault="00943309" w:rsidP="008E072D">
      <w:pPr>
        <w:rPr>
          <w:lang w:val="en-GB"/>
        </w:rPr>
      </w:pPr>
      <w:r>
        <w:rPr>
          <w:lang w:val="en-GB"/>
        </w:rPr>
        <w:t>Figure</w:t>
      </w:r>
      <w:r w:rsidR="00670296">
        <w:rPr>
          <w:lang w:val="en-GB"/>
        </w:rPr>
        <w:t> </w:t>
      </w:r>
      <w:r>
        <w:rPr>
          <w:lang w:val="en-GB"/>
        </w:rPr>
        <w:t>S</w:t>
      </w:r>
      <w:r w:rsidR="00F641E4">
        <w:rPr>
          <w:lang w:val="en-GB"/>
        </w:rPr>
        <w:t>14</w:t>
      </w:r>
      <w:r>
        <w:rPr>
          <w:lang w:val="en-GB"/>
        </w:rPr>
        <w:t>: Boxplot of the standard d</w:t>
      </w:r>
      <w:r w:rsidRPr="00943309">
        <w:rPr>
          <w:lang w:val="en-GB"/>
        </w:rPr>
        <w:t>eviation of the colorimetric profile</w:t>
      </w:r>
      <w:r>
        <w:rPr>
          <w:lang w:val="en-GB"/>
        </w:rPr>
        <w:t xml:space="preserve"> according to instructions. Stars indicate significant difference between two instructions with p</w:t>
      </w:r>
      <w:r w:rsidR="00670296">
        <w:rPr>
          <w:lang w:val="en-GB"/>
        </w:rPr>
        <w:t xml:space="preserve"> </w:t>
      </w:r>
      <w:r>
        <w:rPr>
          <w:lang w:val="en-GB"/>
        </w:rPr>
        <w:t>&lt;0.05.</w:t>
      </w:r>
      <w:r w:rsidR="00AF0AA2" w:rsidRPr="00AF0AA2">
        <w:rPr>
          <w:lang w:val="en-GB"/>
        </w:rPr>
        <w:t xml:space="preserve"> </w:t>
      </w:r>
      <w:r w:rsidR="00AF0AA2">
        <w:rPr>
          <w:lang w:val="en-GB"/>
        </w:rPr>
        <w:t>A</w:t>
      </w:r>
      <w:r w:rsidR="00670296">
        <w:rPr>
          <w:lang w:val="en-GB"/>
        </w:rPr>
        <w:t>NOVA</w:t>
      </w:r>
      <w:r w:rsidR="00AF0AA2">
        <w:rPr>
          <w:lang w:val="en-GB"/>
        </w:rPr>
        <w:t xml:space="preserve"> test</w:t>
      </w:r>
      <w:r w:rsidR="007E7850">
        <w:rPr>
          <w:lang w:val="en-GB"/>
        </w:rPr>
        <w:t xml:space="preserve">: </w:t>
      </w:r>
      <w:r w:rsidR="00AF0AA2">
        <w:rPr>
          <w:lang w:val="en-GB"/>
        </w:rPr>
        <w:t>p=0.675.</w:t>
      </w:r>
    </w:p>
    <w:p w14:paraId="0DB692F1" w14:textId="0ABA1F9F" w:rsidR="00103AC1" w:rsidRDefault="00943309" w:rsidP="008E072D">
      <w:pPr>
        <w:rPr>
          <w:b/>
          <w:lang w:val="en-GB"/>
        </w:rPr>
      </w:pPr>
      <w:r>
        <w:rPr>
          <w:b/>
          <w:lang w:val="en-GB"/>
        </w:rPr>
        <w:t>14</w:t>
      </w:r>
      <w:r w:rsidR="00103AC1">
        <w:rPr>
          <w:b/>
          <w:lang w:val="en-GB"/>
        </w:rPr>
        <w:t>. Number of colo</w:t>
      </w:r>
      <w:r w:rsidR="00670296">
        <w:rPr>
          <w:b/>
          <w:lang w:val="en-GB"/>
        </w:rPr>
        <w:t>u</w:t>
      </w:r>
      <w:r w:rsidR="00103AC1">
        <w:rPr>
          <w:b/>
          <w:lang w:val="en-GB"/>
        </w:rPr>
        <w:t>rs</w:t>
      </w:r>
    </w:p>
    <w:p w14:paraId="2D4F468D" w14:textId="215BD04F" w:rsidR="00943309" w:rsidRDefault="00103AC1">
      <w:pPr>
        <w:rPr>
          <w:lang w:val="en-GB"/>
        </w:rPr>
      </w:pPr>
      <w:r>
        <w:rPr>
          <w:lang w:val="en-GB"/>
        </w:rPr>
        <w:t>Number of colours used from the ten proposed colours. The ten proposed colo</w:t>
      </w:r>
      <w:r w:rsidR="00670296">
        <w:rPr>
          <w:lang w:val="en-GB"/>
        </w:rPr>
        <w:t>u</w:t>
      </w:r>
      <w:r>
        <w:rPr>
          <w:lang w:val="en-GB"/>
        </w:rPr>
        <w:t>rs are black, grey, red, blue, dark green, light green, sky blue, brown, orange and yellow.</w:t>
      </w:r>
    </w:p>
    <w:p w14:paraId="174D629E" w14:textId="16FA60A1" w:rsidR="00943309" w:rsidRDefault="00795036">
      <w:pPr>
        <w:rPr>
          <w:lang w:val="en-GB"/>
        </w:rPr>
      </w:pPr>
      <w:r>
        <w:rPr>
          <w:noProof/>
          <w:lang w:val="en-GB"/>
        </w:rPr>
        <w:pict w14:anchorId="069F3700">
          <v:shape id="_x0000_i1038" type="#_x0000_t75" alt="figure comparaison_Page_12" style="width:229.2pt;height:171.6pt;mso-width-percent:0;mso-height-percent:0;mso-width-percent:0;mso-height-percent:0">
            <v:imagedata r:id="rId22" o:title="figure comparaison_Page_12"/>
          </v:shape>
        </w:pict>
      </w:r>
    </w:p>
    <w:p w14:paraId="0ECD0C69" w14:textId="2C0B179E" w:rsidR="00943309" w:rsidRDefault="00943309" w:rsidP="00943309">
      <w:pPr>
        <w:rPr>
          <w:lang w:val="en-GB"/>
        </w:rPr>
      </w:pPr>
      <w:r>
        <w:rPr>
          <w:lang w:val="en-GB"/>
        </w:rPr>
        <w:t>Figure</w:t>
      </w:r>
      <w:r w:rsidR="00670296">
        <w:rPr>
          <w:lang w:val="en-GB"/>
        </w:rPr>
        <w:t> </w:t>
      </w:r>
      <w:r>
        <w:rPr>
          <w:lang w:val="en-GB"/>
        </w:rPr>
        <w:t>S</w:t>
      </w:r>
      <w:r w:rsidR="00F641E4">
        <w:rPr>
          <w:lang w:val="en-GB"/>
        </w:rPr>
        <w:t>14</w:t>
      </w:r>
      <w:r>
        <w:rPr>
          <w:lang w:val="en-GB"/>
        </w:rPr>
        <w:t>: Boxplot of the number of colo</w:t>
      </w:r>
      <w:r w:rsidR="00670296">
        <w:rPr>
          <w:lang w:val="en-GB"/>
        </w:rPr>
        <w:t>u</w:t>
      </w:r>
      <w:r>
        <w:rPr>
          <w:lang w:val="en-GB"/>
        </w:rPr>
        <w:t>rs according to instructions. Stars indicates significant difference between two instructions with p</w:t>
      </w:r>
      <w:r w:rsidR="00670296">
        <w:rPr>
          <w:lang w:val="en-GB"/>
        </w:rPr>
        <w:t xml:space="preserve"> </w:t>
      </w:r>
      <w:r>
        <w:rPr>
          <w:lang w:val="en-GB"/>
        </w:rPr>
        <w:t>&lt;0.05.</w:t>
      </w:r>
      <w:r w:rsidR="00AF0AA2" w:rsidRPr="00AF0AA2">
        <w:rPr>
          <w:lang w:val="en-GB"/>
        </w:rPr>
        <w:t xml:space="preserve"> </w:t>
      </w:r>
      <w:r w:rsidR="00AF0AA2">
        <w:rPr>
          <w:lang w:val="en-GB"/>
        </w:rPr>
        <w:t>Kruskal-Wallis test</w:t>
      </w:r>
      <w:r w:rsidR="002B1FB1">
        <w:rPr>
          <w:lang w:val="en-GB"/>
        </w:rPr>
        <w:t xml:space="preserve">: </w:t>
      </w:r>
      <w:r w:rsidR="00AF0AA2">
        <w:rPr>
          <w:lang w:val="en-GB"/>
        </w:rPr>
        <w:t>p=0.04.</w:t>
      </w:r>
    </w:p>
    <w:p w14:paraId="1AD3F363" w14:textId="250DA3B0" w:rsidR="006B25BE" w:rsidRDefault="006B25BE">
      <w:pPr>
        <w:rPr>
          <w:lang w:val="en-GB"/>
        </w:rPr>
      </w:pPr>
      <w:r>
        <w:rPr>
          <w:lang w:val="en-GB"/>
        </w:rPr>
        <w:br w:type="page"/>
      </w:r>
    </w:p>
    <w:p w14:paraId="502CEEA3" w14:textId="5E3693AF" w:rsidR="006B25BE" w:rsidRPr="004F047D" w:rsidRDefault="004F047D">
      <w:pPr>
        <w:rPr>
          <w:b/>
          <w:lang w:val="en-GB"/>
        </w:rPr>
      </w:pPr>
      <w:r>
        <w:rPr>
          <w:b/>
          <w:lang w:val="en-GB"/>
        </w:rPr>
        <w:lastRenderedPageBreak/>
        <w:t>Supplementary figures and tables referenced in the main text</w:t>
      </w:r>
    </w:p>
    <w:p w14:paraId="66CBD39B" w14:textId="77777777" w:rsidR="006B25BE" w:rsidRDefault="006B25BE">
      <w:pPr>
        <w:rPr>
          <w:lang w:val="en-GB"/>
        </w:rPr>
      </w:pPr>
    </w:p>
    <w:p w14:paraId="3481CCD5" w14:textId="63E7E48C" w:rsidR="006B25BE" w:rsidRDefault="00795036">
      <w:pPr>
        <w:rPr>
          <w:lang w:val="en-GB"/>
        </w:rPr>
      </w:pPr>
      <w:r>
        <w:rPr>
          <w:noProof/>
          <w:lang w:val="en-GB"/>
        </w:rPr>
        <w:pict w14:anchorId="1435097E">
          <v:shape id="_x0000_i1039" type="#_x0000_t75" alt="Figure Sx1" style="width:454.2pt;height:423.6pt;mso-width-percent:0;mso-height-percent:0;mso-width-percent:0;mso-height-percent:0">
            <v:imagedata r:id="rId23" o:title="Figure Sx1"/>
          </v:shape>
        </w:pict>
      </w:r>
    </w:p>
    <w:p w14:paraId="729BD3F4" w14:textId="52FBBE1E" w:rsidR="006B25BE" w:rsidRDefault="006B25BE" w:rsidP="006B25BE">
      <w:pPr>
        <w:rPr>
          <w:lang w:val="en-GB"/>
        </w:rPr>
      </w:pPr>
      <w:r>
        <w:rPr>
          <w:lang w:val="en-GB"/>
        </w:rPr>
        <w:t>Figure</w:t>
      </w:r>
      <w:r w:rsidR="00670296">
        <w:rPr>
          <w:lang w:val="en-GB"/>
        </w:rPr>
        <w:t> </w:t>
      </w:r>
      <w:r>
        <w:rPr>
          <w:lang w:val="en-GB"/>
        </w:rPr>
        <w:t>S</w:t>
      </w:r>
      <w:r w:rsidR="007F3797">
        <w:rPr>
          <w:lang w:val="en-GB"/>
        </w:rPr>
        <w:t>15:</w:t>
      </w:r>
      <w:r>
        <w:rPr>
          <w:lang w:val="en-GB"/>
        </w:rPr>
        <w:t xml:space="preserve"> correlation chart of the 13 metrics for </w:t>
      </w:r>
      <w:r w:rsidR="00670296">
        <w:rPr>
          <w:lang w:val="en-GB"/>
        </w:rPr>
        <w:t>d</w:t>
      </w:r>
      <w:r>
        <w:rPr>
          <w:lang w:val="en-GB"/>
        </w:rPr>
        <w:t>ataset#1 (</w:t>
      </w:r>
      <w:r w:rsidR="008661FE">
        <w:rPr>
          <w:lang w:val="en-GB"/>
        </w:rPr>
        <w:t xml:space="preserve">first step, </w:t>
      </w:r>
      <w:r>
        <w:rPr>
          <w:lang w:val="en-GB"/>
        </w:rPr>
        <w:t>after removal of the drawing</w:t>
      </w:r>
      <w:r w:rsidR="00670296">
        <w:rPr>
          <w:lang w:val="en-GB"/>
        </w:rPr>
        <w:t>-</w:t>
      </w:r>
      <w:r>
        <w:rPr>
          <w:lang w:val="en-GB"/>
        </w:rPr>
        <w:t>t</w:t>
      </w:r>
      <w:r w:rsidR="005F555D">
        <w:rPr>
          <w:lang w:val="en-GB"/>
        </w:rPr>
        <w:t xml:space="preserve">ime proportion and correction according to </w:t>
      </w:r>
      <w:r>
        <w:rPr>
          <w:lang w:val="en-GB"/>
        </w:rPr>
        <w:t xml:space="preserve">the drawing test time). The diagonal of the graph </w:t>
      </w:r>
      <w:r w:rsidR="002B1FB1">
        <w:rPr>
          <w:lang w:val="en-GB"/>
        </w:rPr>
        <w:t xml:space="preserve">provides </w:t>
      </w:r>
      <w:r>
        <w:rPr>
          <w:lang w:val="en-GB"/>
        </w:rPr>
        <w:t xml:space="preserve">the distribution of each metric, whilst the bottom left and the top-right </w:t>
      </w:r>
      <w:r w:rsidR="002B1FB1">
        <w:rPr>
          <w:lang w:val="en-GB"/>
        </w:rPr>
        <w:t xml:space="preserve">provide </w:t>
      </w:r>
      <w:r>
        <w:rPr>
          <w:lang w:val="en-GB"/>
        </w:rPr>
        <w:t>the correlation figure and the correlation coefficient between two metrics</w:t>
      </w:r>
      <w:r w:rsidR="002B1FB1">
        <w:rPr>
          <w:lang w:val="en-GB"/>
        </w:rPr>
        <w:t>,</w:t>
      </w:r>
      <w:r w:rsidR="002B1FB1" w:rsidRPr="002B1FB1">
        <w:rPr>
          <w:lang w:val="en-GB"/>
        </w:rPr>
        <w:t xml:space="preserve"> </w:t>
      </w:r>
      <w:r w:rsidR="002B1FB1">
        <w:rPr>
          <w:lang w:val="en-GB"/>
        </w:rPr>
        <w:t>respectively</w:t>
      </w:r>
      <w:r>
        <w:rPr>
          <w:lang w:val="en-GB"/>
        </w:rPr>
        <w:t>. Statistical value is given with the correlation coefficient: * means p</w:t>
      </w:r>
      <w:r w:rsidR="00670296">
        <w:rPr>
          <w:lang w:val="en-GB"/>
        </w:rPr>
        <w:t xml:space="preserve"> </w:t>
      </w:r>
      <w:r>
        <w:rPr>
          <w:lang w:val="en-GB"/>
        </w:rPr>
        <w:t>&lt;0.05, ** means p</w:t>
      </w:r>
      <w:r w:rsidR="00670296">
        <w:rPr>
          <w:lang w:val="en-GB"/>
        </w:rPr>
        <w:t xml:space="preserve"> </w:t>
      </w:r>
      <w:r>
        <w:rPr>
          <w:lang w:val="en-GB"/>
        </w:rPr>
        <w:t xml:space="preserve">&lt;0.01, </w:t>
      </w:r>
      <w:r w:rsidR="002B1FB1">
        <w:rPr>
          <w:lang w:val="en-GB"/>
        </w:rPr>
        <w:t xml:space="preserve">and </w:t>
      </w:r>
      <w:r>
        <w:rPr>
          <w:lang w:val="en-GB"/>
        </w:rPr>
        <w:t>*** means p</w:t>
      </w:r>
      <w:r w:rsidR="00670296">
        <w:rPr>
          <w:lang w:val="en-GB"/>
        </w:rPr>
        <w:t xml:space="preserve"> </w:t>
      </w:r>
      <w:r>
        <w:rPr>
          <w:lang w:val="en-GB"/>
        </w:rPr>
        <w:t>&lt;0.001.</w:t>
      </w:r>
    </w:p>
    <w:p w14:paraId="2D930F9C" w14:textId="001A0B04" w:rsidR="0051701C" w:rsidRDefault="0051701C" w:rsidP="0051701C">
      <w:pPr>
        <w:rPr>
          <w:lang w:val="en-GB"/>
        </w:rPr>
      </w:pPr>
      <w:r>
        <w:rPr>
          <w:noProof/>
          <w:lang w:eastAsia="fr-FR"/>
        </w:rPr>
        <w:lastRenderedPageBreak/>
        <w:drawing>
          <wp:inline distT="0" distB="0" distL="0" distR="0" wp14:anchorId="61BC07A5" wp14:editId="2B6FEE69">
            <wp:extent cx="5753100" cy="3238500"/>
            <wp:effectExtent l="0" t="0" r="0" b="0"/>
            <wp:docPr id="4" name="Image 4" descr="Diaposi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iapositive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7DCAA9C3" w14:textId="599C1B71" w:rsidR="0051701C" w:rsidRDefault="0051701C" w:rsidP="0051701C">
      <w:pPr>
        <w:rPr>
          <w:lang w:val="en-GB"/>
        </w:rPr>
      </w:pPr>
      <w:r>
        <w:rPr>
          <w:lang w:val="en-GB"/>
        </w:rPr>
        <w:t>Figure</w:t>
      </w:r>
      <w:r w:rsidR="00670296">
        <w:rPr>
          <w:lang w:val="en-GB"/>
        </w:rPr>
        <w:t> </w:t>
      </w:r>
      <w:r w:rsidR="00FA7D2A">
        <w:rPr>
          <w:lang w:val="en-GB"/>
        </w:rPr>
        <w:t>S</w:t>
      </w:r>
      <w:r w:rsidR="007F3797">
        <w:rPr>
          <w:lang w:val="en-GB"/>
        </w:rPr>
        <w:t>16</w:t>
      </w:r>
      <w:r>
        <w:rPr>
          <w:lang w:val="en-GB"/>
        </w:rPr>
        <w:t>a: Examples of Dataset#1</w:t>
      </w:r>
      <w:r w:rsidR="008661FE">
        <w:rPr>
          <w:lang w:val="en-GB"/>
        </w:rPr>
        <w:t xml:space="preserve"> (first step)</w:t>
      </w:r>
      <w:r>
        <w:rPr>
          <w:lang w:val="en-GB"/>
        </w:rPr>
        <w:t xml:space="preserve"> drawings according to </w:t>
      </w:r>
      <w:r w:rsidR="002B1FB1">
        <w:rPr>
          <w:lang w:val="en-GB"/>
        </w:rPr>
        <w:t>D</w:t>
      </w:r>
      <w:r>
        <w:rPr>
          <w:lang w:val="en-GB"/>
        </w:rPr>
        <w:t>imension</w:t>
      </w:r>
      <w:r w:rsidR="00670296">
        <w:rPr>
          <w:lang w:val="en-GB"/>
        </w:rPr>
        <w:t> </w:t>
      </w:r>
      <w:r>
        <w:rPr>
          <w:lang w:val="en-GB"/>
        </w:rPr>
        <w:t xml:space="preserve">1 and </w:t>
      </w:r>
      <w:r w:rsidR="002B1FB1">
        <w:rPr>
          <w:lang w:val="en-GB"/>
        </w:rPr>
        <w:t>D</w:t>
      </w:r>
      <w:r>
        <w:rPr>
          <w:lang w:val="en-GB"/>
        </w:rPr>
        <w:t>imension</w:t>
      </w:r>
      <w:r w:rsidR="00670296">
        <w:rPr>
          <w:lang w:val="en-GB"/>
        </w:rPr>
        <w:t> </w:t>
      </w:r>
      <w:r>
        <w:rPr>
          <w:lang w:val="en-GB"/>
        </w:rPr>
        <w:t>2</w:t>
      </w:r>
      <w:r w:rsidR="002B1FB1">
        <w:rPr>
          <w:lang w:val="en-GB"/>
        </w:rPr>
        <w:t xml:space="preserve">, provided </w:t>
      </w:r>
      <w:r>
        <w:rPr>
          <w:lang w:val="en-GB"/>
        </w:rPr>
        <w:t>by the PCA. Dimension 1 may represent representativeness in drawing whilst Dimension</w:t>
      </w:r>
      <w:r w:rsidR="00670296">
        <w:rPr>
          <w:lang w:val="en-GB"/>
        </w:rPr>
        <w:t> </w:t>
      </w:r>
      <w:r>
        <w:rPr>
          <w:lang w:val="en-GB"/>
        </w:rPr>
        <w:t>2 may represent diversity in drawings.</w:t>
      </w:r>
    </w:p>
    <w:p w14:paraId="62DF92BA" w14:textId="77777777" w:rsidR="0051701C" w:rsidRDefault="0051701C" w:rsidP="0051701C">
      <w:pPr>
        <w:rPr>
          <w:lang w:val="en-GB"/>
        </w:rPr>
      </w:pPr>
    </w:p>
    <w:p w14:paraId="360CD132" w14:textId="42F996C4" w:rsidR="0051701C" w:rsidRDefault="0051701C" w:rsidP="0051701C">
      <w:pPr>
        <w:rPr>
          <w:lang w:val="en-GB"/>
        </w:rPr>
      </w:pPr>
      <w:r>
        <w:rPr>
          <w:noProof/>
          <w:lang w:eastAsia="fr-FR"/>
        </w:rPr>
        <w:drawing>
          <wp:inline distT="0" distB="0" distL="0" distR="0" wp14:anchorId="057E205C" wp14:editId="1B37B3CE">
            <wp:extent cx="5753100" cy="3238500"/>
            <wp:effectExtent l="0" t="0" r="0" b="0"/>
            <wp:docPr id="3" name="Image 3" descr="Diaposi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positive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24C24D06" w14:textId="073F79C5" w:rsidR="0051701C" w:rsidRDefault="0051701C" w:rsidP="0051701C">
      <w:pPr>
        <w:rPr>
          <w:lang w:val="en-GB"/>
        </w:rPr>
      </w:pPr>
      <w:r>
        <w:rPr>
          <w:lang w:val="en-GB"/>
        </w:rPr>
        <w:t>Figure</w:t>
      </w:r>
      <w:r w:rsidR="00670296">
        <w:rPr>
          <w:lang w:val="en-GB"/>
        </w:rPr>
        <w:t> </w:t>
      </w:r>
      <w:r w:rsidR="00FA7D2A">
        <w:rPr>
          <w:lang w:val="en-GB"/>
        </w:rPr>
        <w:t>S</w:t>
      </w:r>
      <w:r w:rsidR="007F3797">
        <w:rPr>
          <w:lang w:val="en-GB"/>
        </w:rPr>
        <w:t>16</w:t>
      </w:r>
      <w:r>
        <w:rPr>
          <w:lang w:val="en-GB"/>
        </w:rPr>
        <w:t xml:space="preserve">b: Examples of Dataset#1 </w:t>
      </w:r>
      <w:r w:rsidR="008661FE">
        <w:rPr>
          <w:lang w:val="en-GB"/>
        </w:rPr>
        <w:t xml:space="preserve">(first step) </w:t>
      </w:r>
      <w:r>
        <w:rPr>
          <w:lang w:val="en-GB"/>
        </w:rPr>
        <w:t xml:space="preserve">drawings according to </w:t>
      </w:r>
      <w:r w:rsidR="002B1FB1">
        <w:rPr>
          <w:lang w:val="en-GB"/>
        </w:rPr>
        <w:t>D</w:t>
      </w:r>
      <w:r>
        <w:rPr>
          <w:lang w:val="en-GB"/>
        </w:rPr>
        <w:t>imension</w:t>
      </w:r>
      <w:r w:rsidR="00670296">
        <w:rPr>
          <w:lang w:val="en-GB"/>
        </w:rPr>
        <w:t> </w:t>
      </w:r>
      <w:r>
        <w:rPr>
          <w:lang w:val="en-GB"/>
        </w:rPr>
        <w:t xml:space="preserve">1 and </w:t>
      </w:r>
      <w:r w:rsidR="002B1FB1">
        <w:rPr>
          <w:lang w:val="en-GB"/>
        </w:rPr>
        <w:t>D</w:t>
      </w:r>
      <w:r>
        <w:rPr>
          <w:lang w:val="en-GB"/>
        </w:rPr>
        <w:t>imension</w:t>
      </w:r>
      <w:r w:rsidR="00670296">
        <w:rPr>
          <w:lang w:val="en-GB"/>
        </w:rPr>
        <w:t> </w:t>
      </w:r>
      <w:r>
        <w:rPr>
          <w:lang w:val="en-GB"/>
        </w:rPr>
        <w:t>3</w:t>
      </w:r>
      <w:r w:rsidR="002B1FB1">
        <w:rPr>
          <w:lang w:val="en-GB"/>
        </w:rPr>
        <w:t>,</w:t>
      </w:r>
      <w:r>
        <w:rPr>
          <w:lang w:val="en-GB"/>
        </w:rPr>
        <w:t xml:space="preserve"> </w:t>
      </w:r>
      <w:r w:rsidR="002B1FB1">
        <w:rPr>
          <w:lang w:val="en-GB"/>
        </w:rPr>
        <w:t xml:space="preserve">provided </w:t>
      </w:r>
      <w:r>
        <w:rPr>
          <w:lang w:val="en-GB"/>
        </w:rPr>
        <w:t>by the PCA. Dimension 1 may represent representativeness in drawing whilst Dimension</w:t>
      </w:r>
      <w:r w:rsidR="00670296">
        <w:rPr>
          <w:lang w:val="en-GB"/>
        </w:rPr>
        <w:t> </w:t>
      </w:r>
      <w:r>
        <w:rPr>
          <w:lang w:val="en-GB"/>
        </w:rPr>
        <w:t>3 may represent periodicity in drawings.</w:t>
      </w:r>
    </w:p>
    <w:p w14:paraId="4D119B32" w14:textId="77777777" w:rsidR="0051701C" w:rsidRDefault="0051701C" w:rsidP="0051701C">
      <w:pPr>
        <w:rPr>
          <w:lang w:val="en-GB"/>
        </w:rPr>
      </w:pPr>
    </w:p>
    <w:p w14:paraId="377BB9F6" w14:textId="419E0E6C" w:rsidR="0051701C" w:rsidRDefault="0051701C" w:rsidP="0051701C">
      <w:pPr>
        <w:rPr>
          <w:lang w:val="en-GB"/>
        </w:rPr>
      </w:pPr>
      <w:r>
        <w:rPr>
          <w:noProof/>
          <w:lang w:eastAsia="fr-FR"/>
        </w:rPr>
        <w:lastRenderedPageBreak/>
        <w:drawing>
          <wp:inline distT="0" distB="0" distL="0" distR="0" wp14:anchorId="52AC0D9D" wp14:editId="5A386C42">
            <wp:extent cx="5753100" cy="3238500"/>
            <wp:effectExtent l="0" t="0" r="0" b="0"/>
            <wp:docPr id="1" name="Image 1" descr="Diaposi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positive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2DEFC90B" w14:textId="200CCC55" w:rsidR="0051701C" w:rsidRDefault="0051701C" w:rsidP="006B25BE">
      <w:pPr>
        <w:rPr>
          <w:lang w:val="en-GB"/>
        </w:rPr>
      </w:pPr>
      <w:r>
        <w:rPr>
          <w:lang w:val="en-GB"/>
        </w:rPr>
        <w:t>Figure</w:t>
      </w:r>
      <w:r w:rsidR="00670296">
        <w:rPr>
          <w:lang w:val="en-GB"/>
        </w:rPr>
        <w:t> </w:t>
      </w:r>
      <w:r w:rsidR="00FA7D2A">
        <w:rPr>
          <w:lang w:val="en-GB"/>
        </w:rPr>
        <w:t>S</w:t>
      </w:r>
      <w:r w:rsidR="007F3797">
        <w:rPr>
          <w:lang w:val="en-GB"/>
        </w:rPr>
        <w:t>16</w:t>
      </w:r>
      <w:r>
        <w:rPr>
          <w:lang w:val="en-GB"/>
        </w:rPr>
        <w:t xml:space="preserve">c: Examples of Dataset#1 </w:t>
      </w:r>
      <w:r w:rsidR="008661FE">
        <w:rPr>
          <w:lang w:val="en-GB"/>
        </w:rPr>
        <w:t xml:space="preserve">(first step) </w:t>
      </w:r>
      <w:r>
        <w:rPr>
          <w:lang w:val="en-GB"/>
        </w:rPr>
        <w:t xml:space="preserve">drawings according to </w:t>
      </w:r>
      <w:r w:rsidR="002B1FB1">
        <w:rPr>
          <w:lang w:val="en-GB"/>
        </w:rPr>
        <w:t>D</w:t>
      </w:r>
      <w:r>
        <w:rPr>
          <w:lang w:val="en-GB"/>
        </w:rPr>
        <w:t>imension</w:t>
      </w:r>
      <w:r w:rsidR="00670296">
        <w:rPr>
          <w:lang w:val="en-GB"/>
        </w:rPr>
        <w:t> </w:t>
      </w:r>
      <w:r>
        <w:rPr>
          <w:lang w:val="en-GB"/>
        </w:rPr>
        <w:t xml:space="preserve">2 </w:t>
      </w:r>
      <w:r w:rsidR="002B1FB1">
        <w:rPr>
          <w:lang w:val="en-GB"/>
        </w:rPr>
        <w:t>D</w:t>
      </w:r>
      <w:r>
        <w:rPr>
          <w:lang w:val="en-GB"/>
        </w:rPr>
        <w:t>imension</w:t>
      </w:r>
      <w:r w:rsidR="00670296">
        <w:rPr>
          <w:lang w:val="en-GB"/>
        </w:rPr>
        <w:t> </w:t>
      </w:r>
      <w:r>
        <w:rPr>
          <w:lang w:val="en-GB"/>
        </w:rPr>
        <w:t>3</w:t>
      </w:r>
      <w:r w:rsidR="002B1FB1">
        <w:rPr>
          <w:lang w:val="en-GB"/>
        </w:rPr>
        <w:t xml:space="preserve">, provided </w:t>
      </w:r>
      <w:r>
        <w:rPr>
          <w:lang w:val="en-GB"/>
        </w:rPr>
        <w:t>by the PCA. Dimension</w:t>
      </w:r>
      <w:r w:rsidR="00670296">
        <w:rPr>
          <w:lang w:val="en-GB"/>
        </w:rPr>
        <w:t> </w:t>
      </w:r>
      <w:r>
        <w:rPr>
          <w:lang w:val="en-GB"/>
        </w:rPr>
        <w:t>2 may represent diversity in drawing whilst Dimension</w:t>
      </w:r>
      <w:r w:rsidR="00670296">
        <w:rPr>
          <w:lang w:val="en-GB"/>
        </w:rPr>
        <w:t> </w:t>
      </w:r>
      <w:r>
        <w:rPr>
          <w:lang w:val="en-GB"/>
        </w:rPr>
        <w:t>3 may represent periodicity in drawings.</w:t>
      </w:r>
    </w:p>
    <w:p w14:paraId="5E5C7A8E" w14:textId="18E298F7" w:rsidR="00271E28" w:rsidRDefault="000C04D0" w:rsidP="006B25BE">
      <w:pPr>
        <w:rPr>
          <w:lang w:val="en-GB"/>
        </w:rPr>
      </w:pPr>
      <w:r>
        <w:rPr>
          <w:noProof/>
          <w:lang w:val="en-GB"/>
        </w:rPr>
        <w:lastRenderedPageBreak/>
        <w:pict w14:anchorId="7F1A1EF3">
          <v:shape id="_x0000_i1040" type="#_x0000_t75" alt="Figure Sx" style="width:442.8pt;height:412.2pt;mso-width-percent:0;mso-height-percent:0;mso-width-percent:0;mso-height-percent:0">
            <v:imagedata r:id="rId27" o:title="Figure Sx"/>
          </v:shape>
        </w:pict>
      </w:r>
    </w:p>
    <w:p w14:paraId="3B12D8B5" w14:textId="46514D6F" w:rsidR="00271E28" w:rsidRDefault="007F3797" w:rsidP="006B25BE">
      <w:pPr>
        <w:rPr>
          <w:lang w:val="en-GB"/>
        </w:rPr>
      </w:pPr>
      <w:r>
        <w:rPr>
          <w:lang w:val="en-GB"/>
        </w:rPr>
        <w:t>Figure</w:t>
      </w:r>
      <w:r w:rsidR="00670296">
        <w:rPr>
          <w:lang w:val="en-GB"/>
        </w:rPr>
        <w:t> </w:t>
      </w:r>
      <w:r>
        <w:rPr>
          <w:lang w:val="en-GB"/>
        </w:rPr>
        <w:t>S17</w:t>
      </w:r>
      <w:r w:rsidR="00271E28">
        <w:rPr>
          <w:lang w:val="en-GB"/>
        </w:rPr>
        <w:t xml:space="preserve">: </w:t>
      </w:r>
      <w:r w:rsidR="002B1FB1">
        <w:rPr>
          <w:lang w:val="en-GB"/>
        </w:rPr>
        <w:t>C</w:t>
      </w:r>
      <w:r w:rsidR="00271E28">
        <w:rPr>
          <w:lang w:val="en-GB"/>
        </w:rPr>
        <w:t xml:space="preserve">orrelation chart of the 14 metrics for </w:t>
      </w:r>
      <w:r w:rsidR="00670296">
        <w:rPr>
          <w:lang w:val="en-GB"/>
        </w:rPr>
        <w:t>d</w:t>
      </w:r>
      <w:r w:rsidR="00271E28">
        <w:rPr>
          <w:lang w:val="en-GB"/>
        </w:rPr>
        <w:t>ataset#2</w:t>
      </w:r>
      <w:r w:rsidR="008661FE">
        <w:rPr>
          <w:lang w:val="en-GB"/>
        </w:rPr>
        <w:t xml:space="preserve"> (second step)</w:t>
      </w:r>
      <w:r w:rsidR="00271E28">
        <w:rPr>
          <w:lang w:val="en-GB"/>
        </w:rPr>
        <w:t xml:space="preserve">. The diagonal of the graph </w:t>
      </w:r>
      <w:r w:rsidR="002B1FB1">
        <w:rPr>
          <w:lang w:val="en-GB"/>
        </w:rPr>
        <w:t xml:space="preserve">provides </w:t>
      </w:r>
      <w:r w:rsidR="00271E28">
        <w:rPr>
          <w:lang w:val="en-GB"/>
        </w:rPr>
        <w:t xml:space="preserve">the distribution of each metric, whilst the bottom left and the top-right </w:t>
      </w:r>
      <w:r w:rsidR="002B1FB1">
        <w:rPr>
          <w:lang w:val="en-GB"/>
        </w:rPr>
        <w:t xml:space="preserve">provide </w:t>
      </w:r>
      <w:r w:rsidR="00271E28">
        <w:rPr>
          <w:lang w:val="en-GB"/>
        </w:rPr>
        <w:t>the correlation figure and the correlation coefficient between two metrics</w:t>
      </w:r>
      <w:r w:rsidR="002B1FB1">
        <w:rPr>
          <w:lang w:val="en-GB"/>
        </w:rPr>
        <w:t>,</w:t>
      </w:r>
      <w:r w:rsidR="002B1FB1" w:rsidRPr="002B1FB1">
        <w:rPr>
          <w:lang w:val="en-GB"/>
        </w:rPr>
        <w:t xml:space="preserve"> </w:t>
      </w:r>
      <w:r w:rsidR="002B1FB1">
        <w:rPr>
          <w:lang w:val="en-GB"/>
        </w:rPr>
        <w:t>respectively</w:t>
      </w:r>
      <w:r w:rsidR="00271E28">
        <w:rPr>
          <w:lang w:val="en-GB"/>
        </w:rPr>
        <w:t>. Statistical value is given with the correlation coefficient: * means p</w:t>
      </w:r>
      <w:r w:rsidR="00670296">
        <w:rPr>
          <w:lang w:val="en-GB"/>
        </w:rPr>
        <w:t xml:space="preserve"> </w:t>
      </w:r>
      <w:r w:rsidR="00271E28">
        <w:rPr>
          <w:lang w:val="en-GB"/>
        </w:rPr>
        <w:t>&lt;0.05, ** means p</w:t>
      </w:r>
      <w:r w:rsidR="00670296">
        <w:rPr>
          <w:lang w:val="en-GB"/>
        </w:rPr>
        <w:t xml:space="preserve"> </w:t>
      </w:r>
      <w:r w:rsidR="00271E28">
        <w:rPr>
          <w:lang w:val="en-GB"/>
        </w:rPr>
        <w:t xml:space="preserve">&lt;0.01, </w:t>
      </w:r>
      <w:r w:rsidR="002B1FB1">
        <w:rPr>
          <w:lang w:val="en-GB"/>
        </w:rPr>
        <w:t xml:space="preserve">and </w:t>
      </w:r>
      <w:r w:rsidR="00271E28">
        <w:rPr>
          <w:lang w:val="en-GB"/>
        </w:rPr>
        <w:t>*** means p</w:t>
      </w:r>
      <w:r w:rsidR="00670296">
        <w:rPr>
          <w:lang w:val="en-GB"/>
        </w:rPr>
        <w:t xml:space="preserve"> </w:t>
      </w:r>
      <w:r w:rsidR="00271E28">
        <w:rPr>
          <w:lang w:val="en-GB"/>
        </w:rPr>
        <w:t>&lt;0.001.</w:t>
      </w:r>
    </w:p>
    <w:p w14:paraId="408B0378" w14:textId="3010EA90" w:rsidR="00674B67" w:rsidRDefault="00674B67" w:rsidP="006B25BE">
      <w:pPr>
        <w:rPr>
          <w:lang w:val="en-GB"/>
        </w:rPr>
      </w:pPr>
    </w:p>
    <w:p w14:paraId="1403533B" w14:textId="15C0B898" w:rsidR="00674B67" w:rsidRDefault="000C04D0" w:rsidP="006B25BE">
      <w:pPr>
        <w:rPr>
          <w:lang w:val="en-GB"/>
        </w:rPr>
      </w:pPr>
      <w:r>
        <w:rPr>
          <w:noProof/>
          <w:lang w:eastAsia="fr-FR"/>
        </w:rPr>
        <w:lastRenderedPageBreak/>
        <w:pict w14:anchorId="421EA2EE">
          <v:shape id="_x0000_i1041" type="#_x0000_t75" alt="Figure Sx1" style="width:452.4pt;height:414.6pt;mso-width-percent:0;mso-height-percent:0;mso-width-percent:0;mso-height-percent:0">
            <v:imagedata r:id="rId28" o:title="Figure Sx1"/>
          </v:shape>
        </w:pict>
      </w:r>
    </w:p>
    <w:p w14:paraId="34F0F618" w14:textId="36E7CEED" w:rsidR="00674B67" w:rsidRDefault="00674B67" w:rsidP="00674B67">
      <w:pPr>
        <w:rPr>
          <w:lang w:val="en-GB"/>
        </w:rPr>
      </w:pPr>
      <w:r>
        <w:rPr>
          <w:lang w:val="en-GB"/>
        </w:rPr>
        <w:t>Figure</w:t>
      </w:r>
      <w:r w:rsidR="00670296">
        <w:rPr>
          <w:lang w:val="en-GB"/>
        </w:rPr>
        <w:t> </w:t>
      </w:r>
      <w:r>
        <w:rPr>
          <w:lang w:val="en-GB"/>
        </w:rPr>
        <w:t>S</w:t>
      </w:r>
      <w:r w:rsidR="007F3797">
        <w:rPr>
          <w:lang w:val="en-GB"/>
        </w:rPr>
        <w:t>18:</w:t>
      </w:r>
      <w:r>
        <w:rPr>
          <w:lang w:val="en-GB"/>
        </w:rPr>
        <w:t xml:space="preserve"> </w:t>
      </w:r>
      <w:r w:rsidR="002B1FB1">
        <w:rPr>
          <w:lang w:val="en-GB"/>
        </w:rPr>
        <w:t>C</w:t>
      </w:r>
      <w:r>
        <w:rPr>
          <w:lang w:val="en-GB"/>
        </w:rPr>
        <w:t xml:space="preserve">orrelation chart of the 13 metrics for </w:t>
      </w:r>
      <w:r w:rsidR="00670296">
        <w:rPr>
          <w:lang w:val="en-GB"/>
        </w:rPr>
        <w:t>d</w:t>
      </w:r>
      <w:r>
        <w:rPr>
          <w:lang w:val="en-GB"/>
        </w:rPr>
        <w:t>ataset#2 (</w:t>
      </w:r>
      <w:r w:rsidR="008661FE">
        <w:rPr>
          <w:lang w:val="en-GB"/>
        </w:rPr>
        <w:t xml:space="preserve">second step, </w:t>
      </w:r>
      <w:r>
        <w:rPr>
          <w:lang w:val="en-GB"/>
        </w:rPr>
        <w:t>after removal of the drawing</w:t>
      </w:r>
      <w:r w:rsidR="00670296">
        <w:rPr>
          <w:lang w:val="en-GB"/>
        </w:rPr>
        <w:t>-</w:t>
      </w:r>
      <w:r>
        <w:rPr>
          <w:lang w:val="en-GB"/>
        </w:rPr>
        <w:t xml:space="preserve">time proportion and correction </w:t>
      </w:r>
      <w:r w:rsidR="005F555D">
        <w:rPr>
          <w:lang w:val="en-GB"/>
        </w:rPr>
        <w:t>according to</w:t>
      </w:r>
      <w:r>
        <w:rPr>
          <w:lang w:val="en-GB"/>
        </w:rPr>
        <w:t xml:space="preserve"> the drawing test time). The diagonal of the graph </w:t>
      </w:r>
      <w:r w:rsidR="002B1FB1">
        <w:rPr>
          <w:lang w:val="en-GB"/>
        </w:rPr>
        <w:t>provide</w:t>
      </w:r>
      <w:r>
        <w:rPr>
          <w:lang w:val="en-GB"/>
        </w:rPr>
        <w:t xml:space="preserve">s the distribution of each metric, whilst the bottom left and the top-right </w:t>
      </w:r>
      <w:r w:rsidR="002B1FB1">
        <w:rPr>
          <w:lang w:val="en-GB"/>
        </w:rPr>
        <w:t xml:space="preserve">provide </w:t>
      </w:r>
      <w:r>
        <w:rPr>
          <w:lang w:val="en-GB"/>
        </w:rPr>
        <w:t>the correlation figure and the correlation coefficient between two metrics</w:t>
      </w:r>
      <w:r w:rsidR="002B1FB1">
        <w:rPr>
          <w:lang w:val="en-GB"/>
        </w:rPr>
        <w:t>,</w:t>
      </w:r>
      <w:r w:rsidR="002B1FB1" w:rsidRPr="002B1FB1">
        <w:rPr>
          <w:lang w:val="en-GB"/>
        </w:rPr>
        <w:t xml:space="preserve"> </w:t>
      </w:r>
      <w:r w:rsidR="002B1FB1">
        <w:rPr>
          <w:lang w:val="en-GB"/>
        </w:rPr>
        <w:t>respectively</w:t>
      </w:r>
      <w:r>
        <w:rPr>
          <w:lang w:val="en-GB"/>
        </w:rPr>
        <w:t>. Statistical value is given with the correlation coefficient: * means p</w:t>
      </w:r>
      <w:r w:rsidR="00670296">
        <w:rPr>
          <w:lang w:val="en-GB"/>
        </w:rPr>
        <w:t xml:space="preserve"> </w:t>
      </w:r>
      <w:r>
        <w:rPr>
          <w:lang w:val="en-GB"/>
        </w:rPr>
        <w:t>&lt;0.05, ** means p</w:t>
      </w:r>
      <w:r w:rsidR="00670296">
        <w:rPr>
          <w:lang w:val="en-GB"/>
        </w:rPr>
        <w:t xml:space="preserve"> </w:t>
      </w:r>
      <w:r>
        <w:rPr>
          <w:lang w:val="en-GB"/>
        </w:rPr>
        <w:t>&lt;0.01,</w:t>
      </w:r>
      <w:r w:rsidR="002B1FB1">
        <w:rPr>
          <w:lang w:val="en-GB"/>
        </w:rPr>
        <w:t xml:space="preserve"> and </w:t>
      </w:r>
      <w:r>
        <w:rPr>
          <w:lang w:val="en-GB"/>
        </w:rPr>
        <w:t>*** means p</w:t>
      </w:r>
      <w:r w:rsidR="00670296">
        <w:rPr>
          <w:lang w:val="en-GB"/>
        </w:rPr>
        <w:t xml:space="preserve"> </w:t>
      </w:r>
      <w:r>
        <w:rPr>
          <w:lang w:val="en-GB"/>
        </w:rPr>
        <w:t>&lt;0.001.</w:t>
      </w:r>
    </w:p>
    <w:p w14:paraId="4041BCB3" w14:textId="77777777" w:rsidR="00674B67" w:rsidRDefault="00674B67" w:rsidP="006B25BE">
      <w:pPr>
        <w:rPr>
          <w:lang w:val="en-GB"/>
        </w:rPr>
      </w:pPr>
    </w:p>
    <w:p w14:paraId="0C56DD36" w14:textId="3EDFCE94" w:rsidR="00170A96" w:rsidRDefault="00170A96" w:rsidP="006B25BE">
      <w:pPr>
        <w:rPr>
          <w:lang w:val="en-GB"/>
        </w:rPr>
      </w:pPr>
    </w:p>
    <w:p w14:paraId="220C846C" w14:textId="77777777" w:rsidR="0051701C" w:rsidRDefault="0051701C">
      <w:pPr>
        <w:rPr>
          <w:lang w:val="en-GB"/>
        </w:rPr>
      </w:pPr>
      <w:r>
        <w:rPr>
          <w:lang w:val="en-GB"/>
        </w:rPr>
        <w:br w:type="page"/>
      </w:r>
    </w:p>
    <w:p w14:paraId="2B04CCD3" w14:textId="75FA2E8A" w:rsidR="00170A96" w:rsidRDefault="00170A96" w:rsidP="006B25BE">
      <w:pPr>
        <w:rPr>
          <w:lang w:val="en-GB"/>
        </w:rPr>
      </w:pPr>
      <w:r>
        <w:rPr>
          <w:lang w:val="en-GB"/>
        </w:rPr>
        <w:lastRenderedPageBreak/>
        <w:t>Table</w:t>
      </w:r>
      <w:r w:rsidR="00670296">
        <w:rPr>
          <w:lang w:val="en-GB"/>
        </w:rPr>
        <w:t> </w:t>
      </w:r>
      <w:r w:rsidR="00F40738">
        <w:rPr>
          <w:lang w:val="en-GB"/>
        </w:rPr>
        <w:t>S</w:t>
      </w:r>
      <w:r w:rsidR="007F3797">
        <w:rPr>
          <w:lang w:val="en-GB"/>
        </w:rPr>
        <w:t>1</w:t>
      </w:r>
      <w:r>
        <w:rPr>
          <w:lang w:val="en-GB"/>
        </w:rPr>
        <w:t>: Loading of the 13 metrics on the three Varimax rotation PCA dimensions</w:t>
      </w:r>
      <w:r w:rsidR="009824FB">
        <w:rPr>
          <w:lang w:val="en-GB"/>
        </w:rPr>
        <w:t xml:space="preserve"> (before selection of variables with loading superior to 0.4)</w:t>
      </w:r>
      <w:r w:rsidR="007B7664">
        <w:rPr>
          <w:lang w:val="en-GB"/>
        </w:rPr>
        <w:t xml:space="preserve"> of Dataset#1</w:t>
      </w:r>
    </w:p>
    <w:tbl>
      <w:tblPr>
        <w:tblStyle w:val="TableauGrille1Clair"/>
        <w:tblW w:w="0" w:type="auto"/>
        <w:tblLook w:val="04A0" w:firstRow="1" w:lastRow="0" w:firstColumn="1" w:lastColumn="0" w:noHBand="0" w:noVBand="1"/>
      </w:tblPr>
      <w:tblGrid>
        <w:gridCol w:w="2390"/>
        <w:gridCol w:w="1240"/>
        <w:gridCol w:w="1240"/>
        <w:gridCol w:w="1240"/>
      </w:tblGrid>
      <w:tr w:rsidR="00170A96" w:rsidRPr="00170A96" w14:paraId="676D92FA" w14:textId="77777777" w:rsidTr="00170A9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68DEA119" w14:textId="29589DCF" w:rsidR="00170A96" w:rsidRPr="009824FB" w:rsidRDefault="00170A96">
            <w:pPr>
              <w:rPr>
                <w:lang w:val="en-US"/>
              </w:rPr>
            </w:pPr>
          </w:p>
        </w:tc>
        <w:tc>
          <w:tcPr>
            <w:tcW w:w="1240" w:type="dxa"/>
            <w:noWrap/>
            <w:hideMark/>
          </w:tcPr>
          <w:p w14:paraId="3FD7255B" w14:textId="1236621A" w:rsidR="00170A96" w:rsidRPr="00170A96" w:rsidRDefault="00107915">
            <w:pPr>
              <w:cnfStyle w:val="100000000000" w:firstRow="1" w:lastRow="0" w:firstColumn="0" w:lastColumn="0" w:oddVBand="0" w:evenVBand="0" w:oddHBand="0" w:evenHBand="0" w:firstRowFirstColumn="0" w:firstRowLastColumn="0" w:lastRowFirstColumn="0" w:lastRowLastColumn="0"/>
            </w:pPr>
            <w:r>
              <w:t>Dim1</w:t>
            </w:r>
          </w:p>
        </w:tc>
        <w:tc>
          <w:tcPr>
            <w:tcW w:w="1240" w:type="dxa"/>
            <w:noWrap/>
            <w:hideMark/>
          </w:tcPr>
          <w:p w14:paraId="3BC0F5C4" w14:textId="2BC3EF10" w:rsidR="00170A96" w:rsidRPr="00170A96" w:rsidRDefault="00107915">
            <w:pPr>
              <w:cnfStyle w:val="100000000000" w:firstRow="1" w:lastRow="0" w:firstColumn="0" w:lastColumn="0" w:oddVBand="0" w:evenVBand="0" w:oddHBand="0" w:evenHBand="0" w:firstRowFirstColumn="0" w:firstRowLastColumn="0" w:lastRowFirstColumn="0" w:lastRowLastColumn="0"/>
            </w:pPr>
            <w:r>
              <w:t>Dim2</w:t>
            </w:r>
          </w:p>
        </w:tc>
        <w:tc>
          <w:tcPr>
            <w:tcW w:w="1240" w:type="dxa"/>
            <w:noWrap/>
            <w:hideMark/>
          </w:tcPr>
          <w:p w14:paraId="74A134A5" w14:textId="21265225" w:rsidR="00170A96" w:rsidRPr="00170A96" w:rsidRDefault="00107915">
            <w:pPr>
              <w:cnfStyle w:val="100000000000" w:firstRow="1" w:lastRow="0" w:firstColumn="0" w:lastColumn="0" w:oddVBand="0" w:evenVBand="0" w:oddHBand="0" w:evenHBand="0" w:firstRowFirstColumn="0" w:firstRowLastColumn="0" w:lastRowFirstColumn="0" w:lastRowLastColumn="0"/>
            </w:pPr>
            <w:r>
              <w:t>Dim3</w:t>
            </w:r>
          </w:p>
        </w:tc>
      </w:tr>
      <w:tr w:rsidR="00170A96" w:rsidRPr="00170A96" w14:paraId="466A2917"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71AC7688" w14:textId="19D8592C" w:rsidR="00170A96" w:rsidRPr="00170A96" w:rsidRDefault="002B1FB1">
            <w:r w:rsidRPr="00C801EB">
              <w:rPr>
                <w:lang w:val="en-GB"/>
              </w:rPr>
              <w:t>μ</w:t>
            </w:r>
            <w:r>
              <w:rPr>
                <w:lang w:val="en-GB"/>
              </w:rPr>
              <w:t>MLE</w:t>
            </w:r>
            <w:r w:rsidRPr="00170A96" w:rsidDel="002B1FB1">
              <w:t xml:space="preserve"> </w:t>
            </w:r>
          </w:p>
        </w:tc>
        <w:tc>
          <w:tcPr>
            <w:tcW w:w="1240" w:type="dxa"/>
            <w:noWrap/>
            <w:hideMark/>
          </w:tcPr>
          <w:p w14:paraId="004C26F6"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0.639</w:t>
            </w:r>
          </w:p>
        </w:tc>
        <w:tc>
          <w:tcPr>
            <w:tcW w:w="1240" w:type="dxa"/>
            <w:noWrap/>
            <w:hideMark/>
          </w:tcPr>
          <w:p w14:paraId="047F600C"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-0.373</w:t>
            </w:r>
          </w:p>
        </w:tc>
        <w:tc>
          <w:tcPr>
            <w:tcW w:w="1240" w:type="dxa"/>
            <w:noWrap/>
            <w:hideMark/>
          </w:tcPr>
          <w:p w14:paraId="25945413"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0.314</w:t>
            </w:r>
          </w:p>
        </w:tc>
      </w:tr>
      <w:tr w:rsidR="00170A96" w:rsidRPr="00170A96" w14:paraId="1BFD8807"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71B73640" w14:textId="1BE1BC56" w:rsidR="00170A96" w:rsidRPr="00170A96" w:rsidRDefault="00DF540A">
            <w:r>
              <w:t>Angle distribution metric</w:t>
            </w:r>
          </w:p>
        </w:tc>
        <w:tc>
          <w:tcPr>
            <w:tcW w:w="1240" w:type="dxa"/>
            <w:noWrap/>
            <w:hideMark/>
          </w:tcPr>
          <w:p w14:paraId="1CA92425" w14:textId="77777777" w:rsidR="00170A96" w:rsidRPr="00170A96" w:rsidRDefault="00170A96">
            <w:pPr>
              <w:cnfStyle w:val="000000000000" w:firstRow="0" w:lastRow="0" w:firstColumn="0" w:lastColumn="0" w:oddVBand="0" w:evenVBand="0" w:oddHBand="0" w:evenHBand="0" w:firstRowFirstColumn="0" w:firstRowLastColumn="0" w:lastRowFirstColumn="0" w:lastRowLastColumn="0"/>
            </w:pPr>
            <w:r w:rsidRPr="00170A96">
              <w:t> </w:t>
            </w:r>
          </w:p>
        </w:tc>
        <w:tc>
          <w:tcPr>
            <w:tcW w:w="1240" w:type="dxa"/>
            <w:noWrap/>
            <w:hideMark/>
          </w:tcPr>
          <w:p w14:paraId="1FDC72B0"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0.347</w:t>
            </w:r>
          </w:p>
        </w:tc>
        <w:tc>
          <w:tcPr>
            <w:tcW w:w="1240" w:type="dxa"/>
            <w:noWrap/>
            <w:hideMark/>
          </w:tcPr>
          <w:p w14:paraId="67289C35" w14:textId="77777777" w:rsidR="00170A96" w:rsidRPr="00170A96" w:rsidRDefault="00170A96">
            <w:pPr>
              <w:cnfStyle w:val="000000000000" w:firstRow="0" w:lastRow="0" w:firstColumn="0" w:lastColumn="0" w:oddVBand="0" w:evenVBand="0" w:oddHBand="0" w:evenHBand="0" w:firstRowFirstColumn="0" w:firstRowLastColumn="0" w:lastRowFirstColumn="0" w:lastRowLastColumn="0"/>
            </w:pPr>
            <w:r w:rsidRPr="00170A96">
              <w:t> </w:t>
            </w:r>
          </w:p>
        </w:tc>
      </w:tr>
      <w:tr w:rsidR="00170A96" w:rsidRPr="00DF540A" w14:paraId="5F0FE714"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68584829" w14:textId="6F83A8FE" w:rsidR="00170A96" w:rsidRPr="00DF540A" w:rsidRDefault="00DF540A">
            <w:pPr>
              <w:rPr>
                <w:lang w:val="en-US"/>
              </w:rPr>
            </w:pPr>
            <w:r w:rsidRPr="00DF540A">
              <w:rPr>
                <w:lang w:val="en-US"/>
              </w:rPr>
              <w:t>M</w:t>
            </w:r>
            <w:r w:rsidR="00170A96" w:rsidRPr="00DF540A">
              <w:rPr>
                <w:lang w:val="en-US"/>
              </w:rPr>
              <w:t>in</w:t>
            </w:r>
            <w:r w:rsidRPr="00DF540A">
              <w:rPr>
                <w:lang w:val="en-US"/>
              </w:rPr>
              <w:t xml:space="preserve">. </w:t>
            </w:r>
            <w:r w:rsidR="00170A96" w:rsidRPr="00DF540A">
              <w:rPr>
                <w:lang w:val="en-US"/>
              </w:rPr>
              <w:t>conv.</w:t>
            </w:r>
            <w:r>
              <w:rPr>
                <w:lang w:val="en-US"/>
              </w:rPr>
              <w:t xml:space="preserve"> </w:t>
            </w:r>
            <w:r w:rsidR="00170A96" w:rsidRPr="00DF540A">
              <w:rPr>
                <w:lang w:val="en-US"/>
              </w:rPr>
              <w:t>pol</w:t>
            </w:r>
            <w:r>
              <w:rPr>
                <w:lang w:val="en-US"/>
              </w:rPr>
              <w:t>.</w:t>
            </w:r>
          </w:p>
        </w:tc>
        <w:tc>
          <w:tcPr>
            <w:tcW w:w="1240" w:type="dxa"/>
            <w:noWrap/>
            <w:hideMark/>
          </w:tcPr>
          <w:p w14:paraId="1DD54203"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-0.451</w:t>
            </w:r>
          </w:p>
        </w:tc>
        <w:tc>
          <w:tcPr>
            <w:tcW w:w="1240" w:type="dxa"/>
            <w:noWrap/>
            <w:hideMark/>
          </w:tcPr>
          <w:p w14:paraId="19521CE6"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0.725</w:t>
            </w:r>
          </w:p>
        </w:tc>
        <w:tc>
          <w:tcPr>
            <w:tcW w:w="1240" w:type="dxa"/>
            <w:noWrap/>
            <w:hideMark/>
          </w:tcPr>
          <w:p w14:paraId="7E2B52AE"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-0.159</w:t>
            </w:r>
          </w:p>
        </w:tc>
      </w:tr>
      <w:tr w:rsidR="00170A96" w:rsidRPr="00DF540A" w14:paraId="6B60DC4B"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0020CC80" w14:textId="72E7F718" w:rsidR="00170A96" w:rsidRPr="00DF540A" w:rsidRDefault="00DF540A">
            <w:pPr>
              <w:rPr>
                <w:lang w:val="en-US"/>
              </w:rPr>
            </w:pPr>
            <w:r w:rsidRPr="00DF540A">
              <w:rPr>
                <w:lang w:val="en-US"/>
              </w:rPr>
              <w:t>H</w:t>
            </w:r>
            <w:r w:rsidR="00170A96" w:rsidRPr="00DF540A">
              <w:rPr>
                <w:lang w:val="en-US"/>
              </w:rPr>
              <w:t>urst</w:t>
            </w:r>
            <w:r>
              <w:rPr>
                <w:lang w:val="en-US"/>
              </w:rPr>
              <w:t xml:space="preserve"> index</w:t>
            </w:r>
          </w:p>
        </w:tc>
        <w:tc>
          <w:tcPr>
            <w:tcW w:w="1240" w:type="dxa"/>
            <w:noWrap/>
            <w:hideMark/>
          </w:tcPr>
          <w:p w14:paraId="05520300"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-0.14</w:t>
            </w:r>
          </w:p>
        </w:tc>
        <w:tc>
          <w:tcPr>
            <w:tcW w:w="1240" w:type="dxa"/>
            <w:noWrap/>
            <w:hideMark/>
          </w:tcPr>
          <w:p w14:paraId="3649C8D4"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0.195</w:t>
            </w:r>
          </w:p>
        </w:tc>
        <w:tc>
          <w:tcPr>
            <w:tcW w:w="1240" w:type="dxa"/>
            <w:noWrap/>
            <w:hideMark/>
          </w:tcPr>
          <w:p w14:paraId="47AA4D36"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0.849</w:t>
            </w:r>
          </w:p>
        </w:tc>
      </w:tr>
      <w:tr w:rsidR="00170A96" w:rsidRPr="00DF540A" w14:paraId="00DF240C"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7DF0149D" w14:textId="3E792BE9" w:rsidR="00170A96" w:rsidRPr="00DF540A" w:rsidRDefault="00DF540A">
            <w:pPr>
              <w:rPr>
                <w:lang w:val="en-US"/>
              </w:rPr>
            </w:pPr>
            <w:r>
              <w:rPr>
                <w:lang w:val="en-US"/>
              </w:rPr>
              <w:t xml:space="preserve">Drawing test </w:t>
            </w:r>
            <w:r w:rsidR="00170A96" w:rsidRPr="00DF540A">
              <w:rPr>
                <w:lang w:val="en-US"/>
              </w:rPr>
              <w:t>time</w:t>
            </w:r>
          </w:p>
        </w:tc>
        <w:tc>
          <w:tcPr>
            <w:tcW w:w="1240" w:type="dxa"/>
            <w:noWrap/>
            <w:hideMark/>
          </w:tcPr>
          <w:p w14:paraId="7E53D679" w14:textId="77777777" w:rsidR="00170A96" w:rsidRPr="00DF540A" w:rsidRDefault="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 </w:t>
            </w:r>
          </w:p>
        </w:tc>
        <w:tc>
          <w:tcPr>
            <w:tcW w:w="1240" w:type="dxa"/>
            <w:noWrap/>
            <w:hideMark/>
          </w:tcPr>
          <w:p w14:paraId="7157E181" w14:textId="77777777" w:rsidR="00170A96" w:rsidRPr="00DF540A" w:rsidRDefault="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 </w:t>
            </w:r>
          </w:p>
        </w:tc>
        <w:tc>
          <w:tcPr>
            <w:tcW w:w="1240" w:type="dxa"/>
            <w:noWrap/>
            <w:hideMark/>
          </w:tcPr>
          <w:p w14:paraId="53731450" w14:textId="77777777" w:rsidR="00170A96" w:rsidRPr="00DF540A" w:rsidRDefault="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 </w:t>
            </w:r>
          </w:p>
        </w:tc>
      </w:tr>
      <w:tr w:rsidR="00170A96" w:rsidRPr="00DF540A" w14:paraId="139E71BB"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0B7691D1" w14:textId="3A7F24E1" w:rsidR="00170A96" w:rsidRPr="00DF540A" w:rsidRDefault="00DF540A">
            <w:pPr>
              <w:rPr>
                <w:lang w:val="en-US"/>
              </w:rPr>
            </w:pPr>
            <w:r>
              <w:rPr>
                <w:lang w:val="en-US"/>
              </w:rPr>
              <w:t>Number of sequences</w:t>
            </w:r>
          </w:p>
        </w:tc>
        <w:tc>
          <w:tcPr>
            <w:tcW w:w="1240" w:type="dxa"/>
            <w:noWrap/>
            <w:hideMark/>
          </w:tcPr>
          <w:p w14:paraId="5EC4ADE8"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-0.115</w:t>
            </w:r>
          </w:p>
        </w:tc>
        <w:tc>
          <w:tcPr>
            <w:tcW w:w="1240" w:type="dxa"/>
            <w:noWrap/>
            <w:hideMark/>
          </w:tcPr>
          <w:p w14:paraId="3A507E5A"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p>
        </w:tc>
        <w:tc>
          <w:tcPr>
            <w:tcW w:w="1240" w:type="dxa"/>
            <w:noWrap/>
            <w:hideMark/>
          </w:tcPr>
          <w:p w14:paraId="3D0C156B"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-0.755</w:t>
            </w:r>
          </w:p>
        </w:tc>
      </w:tr>
      <w:tr w:rsidR="00170A96" w:rsidRPr="00DF540A" w14:paraId="4BAAD2F3"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407DCDD4" w14:textId="57A84EB7" w:rsidR="00170A96" w:rsidRPr="00DF540A" w:rsidRDefault="00DF540A">
            <w:pPr>
              <w:rPr>
                <w:lang w:val="en-US"/>
              </w:rPr>
            </w:pPr>
            <w:r>
              <w:rPr>
                <w:lang w:val="en-US"/>
              </w:rPr>
              <w:t>Drawing speed</w:t>
            </w:r>
          </w:p>
        </w:tc>
        <w:tc>
          <w:tcPr>
            <w:tcW w:w="1240" w:type="dxa"/>
            <w:noWrap/>
            <w:hideMark/>
          </w:tcPr>
          <w:p w14:paraId="354E0F04"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-0.911</w:t>
            </w:r>
          </w:p>
        </w:tc>
        <w:tc>
          <w:tcPr>
            <w:tcW w:w="1240" w:type="dxa"/>
            <w:noWrap/>
            <w:hideMark/>
          </w:tcPr>
          <w:p w14:paraId="0EA2CD7F"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p>
        </w:tc>
        <w:tc>
          <w:tcPr>
            <w:tcW w:w="1240" w:type="dxa"/>
            <w:noWrap/>
            <w:hideMark/>
          </w:tcPr>
          <w:p w14:paraId="16B227BA" w14:textId="77777777" w:rsidR="00170A96" w:rsidRPr="00DF540A"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DF540A">
              <w:rPr>
                <w:lang w:val="en-US"/>
              </w:rPr>
              <w:t>-0.12</w:t>
            </w:r>
          </w:p>
        </w:tc>
      </w:tr>
      <w:tr w:rsidR="00170A96" w:rsidRPr="00170A96" w14:paraId="6D99B801"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736B9FF2" w14:textId="2EC2E9A7" w:rsidR="00170A96" w:rsidRPr="00170A96" w:rsidRDefault="00170A96" w:rsidP="00DF540A">
            <w:r w:rsidRPr="00DF540A">
              <w:rPr>
                <w:lang w:val="en-US"/>
              </w:rPr>
              <w:t>Gin</w:t>
            </w:r>
            <w:r w:rsidR="00DF540A">
              <w:rPr>
                <w:lang w:val="en-US"/>
              </w:rPr>
              <w:t>i index</w:t>
            </w:r>
          </w:p>
        </w:tc>
        <w:tc>
          <w:tcPr>
            <w:tcW w:w="1240" w:type="dxa"/>
            <w:noWrap/>
            <w:hideMark/>
          </w:tcPr>
          <w:p w14:paraId="02E407CB"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0.762</w:t>
            </w:r>
          </w:p>
        </w:tc>
        <w:tc>
          <w:tcPr>
            <w:tcW w:w="1240" w:type="dxa"/>
            <w:noWrap/>
            <w:hideMark/>
          </w:tcPr>
          <w:p w14:paraId="010BBA69"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0.301</w:t>
            </w:r>
          </w:p>
        </w:tc>
        <w:tc>
          <w:tcPr>
            <w:tcW w:w="1240" w:type="dxa"/>
            <w:noWrap/>
            <w:hideMark/>
          </w:tcPr>
          <w:p w14:paraId="39FB0273"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-0.213</w:t>
            </w:r>
          </w:p>
        </w:tc>
      </w:tr>
      <w:tr w:rsidR="00170A96" w:rsidRPr="00170A96" w14:paraId="12E39ABC"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3D350157" w14:textId="433334CD" w:rsidR="00170A96" w:rsidRPr="00170A96" w:rsidRDefault="00DF540A">
            <w:r>
              <w:t>Entropy index</w:t>
            </w:r>
          </w:p>
        </w:tc>
        <w:tc>
          <w:tcPr>
            <w:tcW w:w="1240" w:type="dxa"/>
            <w:noWrap/>
            <w:hideMark/>
          </w:tcPr>
          <w:p w14:paraId="35812D90"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0.624</w:t>
            </w:r>
          </w:p>
        </w:tc>
        <w:tc>
          <w:tcPr>
            <w:tcW w:w="1240" w:type="dxa"/>
            <w:noWrap/>
            <w:hideMark/>
          </w:tcPr>
          <w:p w14:paraId="37BDC7AD"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0.375</w:t>
            </w:r>
          </w:p>
        </w:tc>
        <w:tc>
          <w:tcPr>
            <w:tcW w:w="1240" w:type="dxa"/>
            <w:noWrap/>
            <w:hideMark/>
          </w:tcPr>
          <w:p w14:paraId="06A213F0" w14:textId="77777777" w:rsidR="00170A96" w:rsidRPr="00170A96" w:rsidRDefault="00170A96" w:rsidP="00170A96">
            <w:pPr>
              <w:cnfStyle w:val="000000000000" w:firstRow="0" w:lastRow="0" w:firstColumn="0" w:lastColumn="0" w:oddVBand="0" w:evenVBand="0" w:oddHBand="0" w:evenHBand="0" w:firstRowFirstColumn="0" w:firstRowLastColumn="0" w:lastRowFirstColumn="0" w:lastRowLastColumn="0"/>
            </w:pPr>
            <w:r w:rsidRPr="00170A96">
              <w:t>-0.235</w:t>
            </w:r>
          </w:p>
        </w:tc>
      </w:tr>
      <w:tr w:rsidR="00170A96" w:rsidRPr="003F394F" w14:paraId="5CE44711"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40B3C8C8" w14:textId="02CE90A4" w:rsidR="00170A96" w:rsidRPr="003F394F" w:rsidRDefault="003F394F" w:rsidP="005F555D">
            <w:pPr>
              <w:rPr>
                <w:lang w:val="en-US"/>
              </w:rPr>
            </w:pPr>
            <w:r w:rsidRPr="003F394F">
              <w:rPr>
                <w:lang w:val="en-US"/>
              </w:rPr>
              <w:t>Mean colo</w:t>
            </w:r>
            <w:r w:rsidR="002B1FB1">
              <w:rPr>
                <w:lang w:val="en-US"/>
              </w:rPr>
              <w:t>u</w:t>
            </w:r>
            <w:r w:rsidRPr="003F394F">
              <w:rPr>
                <w:lang w:val="en-US"/>
              </w:rPr>
              <w:t xml:space="preserve">r </w:t>
            </w:r>
            <w:r w:rsidR="00170A96" w:rsidRPr="003F394F">
              <w:rPr>
                <w:lang w:val="en-US"/>
              </w:rPr>
              <w:t>profil</w:t>
            </w:r>
            <w:r>
              <w:rPr>
                <w:lang w:val="en-US"/>
              </w:rPr>
              <w:t>e</w:t>
            </w:r>
          </w:p>
        </w:tc>
        <w:tc>
          <w:tcPr>
            <w:tcW w:w="1240" w:type="dxa"/>
            <w:noWrap/>
            <w:hideMark/>
          </w:tcPr>
          <w:p w14:paraId="4C2A7A1F"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3F394F">
              <w:rPr>
                <w:lang w:val="en-US"/>
              </w:rPr>
              <w:t>0.365</w:t>
            </w:r>
          </w:p>
        </w:tc>
        <w:tc>
          <w:tcPr>
            <w:tcW w:w="1240" w:type="dxa"/>
            <w:noWrap/>
            <w:hideMark/>
          </w:tcPr>
          <w:p w14:paraId="149BCC75"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3F394F">
              <w:rPr>
                <w:lang w:val="en-US"/>
              </w:rPr>
              <w:t>0.758</w:t>
            </w:r>
          </w:p>
        </w:tc>
        <w:tc>
          <w:tcPr>
            <w:tcW w:w="1240" w:type="dxa"/>
            <w:noWrap/>
            <w:hideMark/>
          </w:tcPr>
          <w:p w14:paraId="37FF6C23"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3F394F">
              <w:rPr>
                <w:lang w:val="en-US"/>
              </w:rPr>
              <w:t>0.254</w:t>
            </w:r>
          </w:p>
        </w:tc>
      </w:tr>
      <w:tr w:rsidR="00170A96" w:rsidRPr="003F394F" w14:paraId="2973794F"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3C873489" w14:textId="4723998B" w:rsidR="00170A96" w:rsidRPr="003F394F" w:rsidRDefault="00170A96">
            <w:pPr>
              <w:rPr>
                <w:lang w:val="en-US"/>
              </w:rPr>
            </w:pPr>
            <w:r w:rsidRPr="003F394F">
              <w:rPr>
                <w:lang w:val="en-US"/>
              </w:rPr>
              <w:t>Std.</w:t>
            </w:r>
            <w:r w:rsidR="003F394F">
              <w:rPr>
                <w:lang w:val="en-US"/>
              </w:rPr>
              <w:t xml:space="preserve"> </w:t>
            </w:r>
            <w:r w:rsidR="002B1FB1">
              <w:rPr>
                <w:lang w:val="en-US"/>
              </w:rPr>
              <w:t>d</w:t>
            </w:r>
            <w:r w:rsidRPr="003F394F">
              <w:rPr>
                <w:lang w:val="en-US"/>
              </w:rPr>
              <w:t>ev.</w:t>
            </w:r>
            <w:r w:rsidR="003F394F">
              <w:rPr>
                <w:lang w:val="en-US"/>
              </w:rPr>
              <w:t xml:space="preserve"> colo</w:t>
            </w:r>
            <w:r w:rsidR="002B1FB1">
              <w:rPr>
                <w:lang w:val="en-US"/>
              </w:rPr>
              <w:t>u</w:t>
            </w:r>
            <w:r w:rsidR="003F394F">
              <w:rPr>
                <w:lang w:val="en-US"/>
              </w:rPr>
              <w:t xml:space="preserve">r </w:t>
            </w:r>
            <w:r w:rsidRPr="003F394F">
              <w:rPr>
                <w:lang w:val="en-US"/>
              </w:rPr>
              <w:t>profil</w:t>
            </w:r>
            <w:r w:rsidR="003F394F">
              <w:rPr>
                <w:lang w:val="en-US"/>
              </w:rPr>
              <w:t>e</w:t>
            </w:r>
          </w:p>
        </w:tc>
        <w:tc>
          <w:tcPr>
            <w:tcW w:w="1240" w:type="dxa"/>
            <w:noWrap/>
            <w:hideMark/>
          </w:tcPr>
          <w:p w14:paraId="29F7520C"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3F394F">
              <w:rPr>
                <w:lang w:val="en-US"/>
              </w:rPr>
              <w:t>0.221</w:t>
            </w:r>
          </w:p>
        </w:tc>
        <w:tc>
          <w:tcPr>
            <w:tcW w:w="1240" w:type="dxa"/>
            <w:noWrap/>
            <w:hideMark/>
          </w:tcPr>
          <w:p w14:paraId="10136DE1"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3F394F">
              <w:rPr>
                <w:lang w:val="en-US"/>
              </w:rPr>
              <w:t>0.296</w:t>
            </w:r>
          </w:p>
        </w:tc>
        <w:tc>
          <w:tcPr>
            <w:tcW w:w="1240" w:type="dxa"/>
            <w:noWrap/>
            <w:hideMark/>
          </w:tcPr>
          <w:p w14:paraId="546B0A35"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3F394F">
              <w:rPr>
                <w:lang w:val="en-US"/>
              </w:rPr>
              <w:t>0.398</w:t>
            </w:r>
          </w:p>
        </w:tc>
      </w:tr>
      <w:tr w:rsidR="00170A96" w:rsidRPr="003F394F" w14:paraId="0FDE2871"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3630" w:type="dxa"/>
            <w:gridSpan w:val="2"/>
            <w:noWrap/>
            <w:hideMark/>
          </w:tcPr>
          <w:p w14:paraId="4E018E4F" w14:textId="43FFE0EA" w:rsidR="00170A96" w:rsidRPr="003F394F" w:rsidRDefault="003F394F">
            <w:pPr>
              <w:rPr>
                <w:lang w:val="en-US"/>
              </w:rPr>
            </w:pPr>
            <w:r>
              <w:rPr>
                <w:lang w:val="en-US"/>
              </w:rPr>
              <w:t xml:space="preserve">Number of </w:t>
            </w:r>
            <w:r w:rsidR="00170A96" w:rsidRPr="003F394F">
              <w:rPr>
                <w:lang w:val="en-US"/>
              </w:rPr>
              <w:t>colo</w:t>
            </w:r>
            <w:r w:rsidR="00670296">
              <w:rPr>
                <w:lang w:val="en-US"/>
              </w:rPr>
              <w:t>u</w:t>
            </w:r>
            <w:r w:rsidR="00170A96" w:rsidRPr="003F394F">
              <w:rPr>
                <w:lang w:val="en-US"/>
              </w:rPr>
              <w:t>rs</w:t>
            </w:r>
          </w:p>
        </w:tc>
        <w:tc>
          <w:tcPr>
            <w:tcW w:w="1240" w:type="dxa"/>
            <w:noWrap/>
            <w:hideMark/>
          </w:tcPr>
          <w:p w14:paraId="2CBD58E6"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3F394F">
              <w:rPr>
                <w:lang w:val="en-US"/>
              </w:rPr>
              <w:t>0.716</w:t>
            </w:r>
          </w:p>
        </w:tc>
        <w:tc>
          <w:tcPr>
            <w:tcW w:w="1240" w:type="dxa"/>
            <w:noWrap/>
            <w:hideMark/>
          </w:tcPr>
          <w:p w14:paraId="77082E1E"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p>
        </w:tc>
      </w:tr>
      <w:tr w:rsidR="00170A96" w:rsidRPr="003F394F" w14:paraId="307DB9A0" w14:textId="77777777" w:rsidTr="00170A96">
        <w:trPr>
          <w:trHeight w:val="288"/>
        </w:trPr>
        <w:tc>
          <w:tcPr>
            <w:cnfStyle w:val="001000000000" w:firstRow="0" w:lastRow="0" w:firstColumn="1" w:lastColumn="0" w:oddVBand="0" w:evenVBand="0" w:oddHBand="0" w:evenHBand="0" w:firstRowFirstColumn="0" w:firstRowLastColumn="0" w:lastRowFirstColumn="0" w:lastRowLastColumn="0"/>
            <w:tcW w:w="2390" w:type="dxa"/>
            <w:noWrap/>
            <w:hideMark/>
          </w:tcPr>
          <w:p w14:paraId="58C22E1F" w14:textId="1B4462D3" w:rsidR="00170A96" w:rsidRPr="003F394F" w:rsidRDefault="003F394F">
            <w:pPr>
              <w:rPr>
                <w:lang w:val="en-US"/>
              </w:rPr>
            </w:pPr>
            <w:r>
              <w:rPr>
                <w:lang w:val="en-US"/>
              </w:rPr>
              <w:t>Drawing distance</w:t>
            </w:r>
          </w:p>
        </w:tc>
        <w:tc>
          <w:tcPr>
            <w:tcW w:w="1240" w:type="dxa"/>
            <w:noWrap/>
            <w:hideMark/>
          </w:tcPr>
          <w:p w14:paraId="2C704882"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3F394F">
              <w:rPr>
                <w:lang w:val="en-US"/>
              </w:rPr>
              <w:t>-0.746</w:t>
            </w:r>
          </w:p>
        </w:tc>
        <w:tc>
          <w:tcPr>
            <w:tcW w:w="1240" w:type="dxa"/>
            <w:noWrap/>
            <w:hideMark/>
          </w:tcPr>
          <w:p w14:paraId="6A9A769F"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p>
        </w:tc>
        <w:tc>
          <w:tcPr>
            <w:tcW w:w="1240" w:type="dxa"/>
            <w:noWrap/>
            <w:hideMark/>
          </w:tcPr>
          <w:p w14:paraId="42C591F8" w14:textId="77777777" w:rsidR="00170A96" w:rsidRPr="003F394F" w:rsidRDefault="00170A96" w:rsidP="00170A96">
            <w:pPr>
              <w:cnfStyle w:val="000000000000" w:firstRow="0" w:lastRow="0" w:firstColumn="0" w:lastColumn="0" w:oddVBand="0" w:evenVBand="0" w:oddHBand="0" w:evenHBand="0" w:firstRowFirstColumn="0" w:firstRowLastColumn="0" w:lastRowFirstColumn="0" w:lastRowLastColumn="0"/>
              <w:rPr>
                <w:lang w:val="en-US"/>
              </w:rPr>
            </w:pPr>
            <w:r w:rsidRPr="003F394F">
              <w:rPr>
                <w:lang w:val="en-US"/>
              </w:rPr>
              <w:t>-0.228</w:t>
            </w:r>
          </w:p>
        </w:tc>
      </w:tr>
    </w:tbl>
    <w:p w14:paraId="238F09B8" w14:textId="77777777" w:rsidR="00170A96" w:rsidRPr="001B7DD8" w:rsidRDefault="00170A96" w:rsidP="006B25BE">
      <w:pPr>
        <w:rPr>
          <w:lang w:val="en-GB"/>
        </w:rPr>
      </w:pPr>
    </w:p>
    <w:p w14:paraId="5F1F29E8" w14:textId="3BC63446" w:rsidR="006B25BE" w:rsidRDefault="00F40738">
      <w:pPr>
        <w:rPr>
          <w:lang w:val="en-GB"/>
        </w:rPr>
      </w:pPr>
      <w:r>
        <w:rPr>
          <w:lang w:val="en-GB"/>
        </w:rPr>
        <w:t xml:space="preserve">Table S2: Mann-Whitney test for each metric of each dimension between the scribbles of toddlers and </w:t>
      </w:r>
      <w:r w:rsidR="002B1FB1">
        <w:rPr>
          <w:lang w:val="en-GB"/>
        </w:rPr>
        <w:t>those drawn by</w:t>
      </w:r>
      <w:r>
        <w:rPr>
          <w:lang w:val="en-GB"/>
        </w:rPr>
        <w:t xml:space="preserve"> adults. p-values&lt;0.05 are in bold</w:t>
      </w:r>
      <w:r w:rsidR="002B1FB1">
        <w:rPr>
          <w:lang w:val="en-GB"/>
        </w:rPr>
        <w:t xml:space="preserve"> print</w:t>
      </w:r>
      <w:r>
        <w:rPr>
          <w:lang w:val="en-GB"/>
        </w:rPr>
        <w:t>.</w:t>
      </w:r>
    </w:p>
    <w:tbl>
      <w:tblPr>
        <w:tblStyle w:val="TableauGrille1Clair"/>
        <w:tblW w:w="8360" w:type="dxa"/>
        <w:tblLook w:val="04A0" w:firstRow="1" w:lastRow="0" w:firstColumn="1" w:lastColumn="0" w:noHBand="0" w:noVBand="1"/>
      </w:tblPr>
      <w:tblGrid>
        <w:gridCol w:w="1240"/>
        <w:gridCol w:w="1760"/>
        <w:gridCol w:w="1240"/>
        <w:gridCol w:w="1240"/>
        <w:gridCol w:w="1441"/>
        <w:gridCol w:w="1460"/>
      </w:tblGrid>
      <w:tr w:rsidR="00F40738" w:rsidRPr="00F40738" w14:paraId="310A9A49" w14:textId="77777777" w:rsidTr="00F4073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1EB8324" w14:textId="77777777" w:rsidR="00F40738" w:rsidRPr="00F40738" w:rsidRDefault="00F40738" w:rsidP="00F40738">
            <w:pPr>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Dimension</w:t>
            </w:r>
          </w:p>
        </w:tc>
        <w:tc>
          <w:tcPr>
            <w:tcW w:w="1760" w:type="dxa"/>
            <w:noWrap/>
            <w:hideMark/>
          </w:tcPr>
          <w:p w14:paraId="3312DD43" w14:textId="77777777" w:rsidR="00F40738" w:rsidRPr="00F40738" w:rsidRDefault="00F40738" w:rsidP="00F407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Metrics</w:t>
            </w:r>
          </w:p>
        </w:tc>
        <w:tc>
          <w:tcPr>
            <w:tcW w:w="1240" w:type="dxa"/>
            <w:noWrap/>
            <w:hideMark/>
          </w:tcPr>
          <w:p w14:paraId="75BF1D5E" w14:textId="77777777" w:rsidR="00F40738" w:rsidRPr="00F40738" w:rsidRDefault="00F40738" w:rsidP="00F407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W</w:t>
            </w:r>
          </w:p>
        </w:tc>
        <w:tc>
          <w:tcPr>
            <w:tcW w:w="1240" w:type="dxa"/>
            <w:noWrap/>
            <w:hideMark/>
          </w:tcPr>
          <w:p w14:paraId="3FD68AAC" w14:textId="77777777" w:rsidR="00F40738" w:rsidRPr="00F40738" w:rsidRDefault="00F40738" w:rsidP="00F407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p-value</w:t>
            </w:r>
          </w:p>
        </w:tc>
        <w:tc>
          <w:tcPr>
            <w:tcW w:w="1420" w:type="dxa"/>
            <w:noWrap/>
            <w:hideMark/>
          </w:tcPr>
          <w:p w14:paraId="2492B523" w14:textId="77777777" w:rsidR="00F40738" w:rsidRPr="00F40738" w:rsidRDefault="00F40738" w:rsidP="00F407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Mean for toddlers</w:t>
            </w:r>
          </w:p>
        </w:tc>
        <w:tc>
          <w:tcPr>
            <w:tcW w:w="1460" w:type="dxa"/>
            <w:noWrap/>
            <w:hideMark/>
          </w:tcPr>
          <w:p w14:paraId="2B3BD296" w14:textId="77777777" w:rsidR="00F40738" w:rsidRPr="00F40738" w:rsidRDefault="00F40738" w:rsidP="00F407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Mean for adults</w:t>
            </w:r>
          </w:p>
        </w:tc>
      </w:tr>
      <w:tr w:rsidR="00F40738" w:rsidRPr="00F40738" w14:paraId="1F80A2D9" w14:textId="77777777" w:rsidTr="00F40738">
        <w:trPr>
          <w:trHeight w:val="288"/>
        </w:trPr>
        <w:tc>
          <w:tcPr>
            <w:cnfStyle w:val="001000000000" w:firstRow="0" w:lastRow="0" w:firstColumn="1" w:lastColumn="0" w:oddVBand="0" w:evenVBand="0" w:oddHBand="0" w:evenHBand="0" w:firstRowFirstColumn="0" w:firstRowLastColumn="0" w:lastRowFirstColumn="0" w:lastRowLastColumn="0"/>
            <w:tcW w:w="1240" w:type="dxa"/>
            <w:vMerge w:val="restart"/>
            <w:noWrap/>
            <w:hideMark/>
          </w:tcPr>
          <w:p w14:paraId="7ECDBB88" w14:textId="77777777" w:rsidR="00F40738" w:rsidRPr="00F40738" w:rsidRDefault="00F40738" w:rsidP="00F40738">
            <w:pPr>
              <w:jc w:val="center"/>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1</w:t>
            </w:r>
          </w:p>
        </w:tc>
        <w:tc>
          <w:tcPr>
            <w:tcW w:w="1760" w:type="dxa"/>
            <w:noWrap/>
            <w:hideMark/>
          </w:tcPr>
          <w:p w14:paraId="35A04884" w14:textId="3DD045E9" w:rsidR="00F40738" w:rsidRPr="00F40738" w:rsidRDefault="002B1FB1"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C801EB">
              <w:rPr>
                <w:lang w:val="en-GB"/>
              </w:rPr>
              <w:t>μ</w:t>
            </w:r>
            <w:r>
              <w:rPr>
                <w:lang w:val="en-GB"/>
              </w:rPr>
              <w:t>MLE</w:t>
            </w:r>
            <w:r w:rsidRPr="00F40738" w:rsidDel="002B1FB1">
              <w:rPr>
                <w:rFonts w:ascii="Calibri" w:eastAsia="Times New Roman" w:hAnsi="Calibri" w:cs="Calibri"/>
                <w:color w:val="000000"/>
                <w:lang w:val="en-US" w:eastAsia="fr-FR"/>
              </w:rPr>
              <w:t xml:space="preserve"> </w:t>
            </w:r>
          </w:p>
        </w:tc>
        <w:tc>
          <w:tcPr>
            <w:tcW w:w="1240" w:type="dxa"/>
            <w:noWrap/>
            <w:hideMark/>
          </w:tcPr>
          <w:p w14:paraId="610AD062"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101</w:t>
            </w:r>
          </w:p>
        </w:tc>
        <w:tc>
          <w:tcPr>
            <w:tcW w:w="1240" w:type="dxa"/>
            <w:noWrap/>
            <w:hideMark/>
          </w:tcPr>
          <w:p w14:paraId="76E93709"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0.225</w:t>
            </w:r>
          </w:p>
        </w:tc>
        <w:tc>
          <w:tcPr>
            <w:tcW w:w="1420" w:type="dxa"/>
            <w:noWrap/>
            <w:hideMark/>
          </w:tcPr>
          <w:p w14:paraId="6BF142A3"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-0.07±0.14</w:t>
            </w:r>
          </w:p>
        </w:tc>
        <w:tc>
          <w:tcPr>
            <w:tcW w:w="1460" w:type="dxa"/>
            <w:noWrap/>
            <w:hideMark/>
          </w:tcPr>
          <w:p w14:paraId="2196567C"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-0.12±0.09</w:t>
            </w:r>
          </w:p>
        </w:tc>
      </w:tr>
      <w:tr w:rsidR="00F40738" w:rsidRPr="00F40738" w14:paraId="2723E555" w14:textId="77777777" w:rsidTr="00F40738">
        <w:trPr>
          <w:trHeight w:val="288"/>
        </w:trPr>
        <w:tc>
          <w:tcPr>
            <w:cnfStyle w:val="001000000000" w:firstRow="0" w:lastRow="0" w:firstColumn="1" w:lastColumn="0" w:oddVBand="0" w:evenVBand="0" w:oddHBand="0" w:evenHBand="0" w:firstRowFirstColumn="0" w:firstRowLastColumn="0" w:lastRowFirstColumn="0" w:lastRowLastColumn="0"/>
            <w:tcW w:w="1240" w:type="dxa"/>
            <w:vMerge/>
            <w:hideMark/>
          </w:tcPr>
          <w:p w14:paraId="24F42378" w14:textId="77777777" w:rsidR="00F40738" w:rsidRPr="00F40738" w:rsidRDefault="00F40738" w:rsidP="00F40738">
            <w:pPr>
              <w:rPr>
                <w:rFonts w:ascii="Calibri" w:eastAsia="Times New Roman" w:hAnsi="Calibri" w:cs="Calibri"/>
                <w:color w:val="000000"/>
                <w:lang w:val="en-US" w:eastAsia="fr-FR"/>
              </w:rPr>
            </w:pPr>
          </w:p>
        </w:tc>
        <w:tc>
          <w:tcPr>
            <w:tcW w:w="1760" w:type="dxa"/>
            <w:noWrap/>
            <w:hideMark/>
          </w:tcPr>
          <w:p w14:paraId="450174C1"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drawing distance</w:t>
            </w:r>
          </w:p>
        </w:tc>
        <w:tc>
          <w:tcPr>
            <w:tcW w:w="1240" w:type="dxa"/>
            <w:noWrap/>
            <w:hideMark/>
          </w:tcPr>
          <w:p w14:paraId="63E8F8DC"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fr-FR"/>
              </w:rPr>
            </w:pPr>
            <w:r w:rsidRPr="00F40738">
              <w:rPr>
                <w:rFonts w:ascii="Calibri" w:eastAsia="Times New Roman" w:hAnsi="Calibri" w:cs="Calibri"/>
                <w:color w:val="000000"/>
                <w:lang w:val="en-US" w:eastAsia="fr-FR"/>
              </w:rPr>
              <w:t>47</w:t>
            </w:r>
          </w:p>
        </w:tc>
        <w:tc>
          <w:tcPr>
            <w:tcW w:w="1240" w:type="dxa"/>
            <w:noWrap/>
            <w:hideMark/>
          </w:tcPr>
          <w:p w14:paraId="7BA00D93"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val="en-US" w:eastAsia="fr-FR"/>
              </w:rPr>
              <w:t>0.</w:t>
            </w:r>
            <w:r w:rsidRPr="00F40738">
              <w:rPr>
                <w:rFonts w:ascii="Calibri" w:eastAsia="Times New Roman" w:hAnsi="Calibri" w:cs="Calibri"/>
                <w:color w:val="000000"/>
                <w:lang w:eastAsia="fr-FR"/>
              </w:rPr>
              <w:t>097</w:t>
            </w:r>
          </w:p>
        </w:tc>
        <w:tc>
          <w:tcPr>
            <w:tcW w:w="1420" w:type="dxa"/>
            <w:noWrap/>
            <w:hideMark/>
          </w:tcPr>
          <w:p w14:paraId="4635B1B2"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30239±72983</w:t>
            </w:r>
          </w:p>
        </w:tc>
        <w:tc>
          <w:tcPr>
            <w:tcW w:w="1460" w:type="dxa"/>
            <w:noWrap/>
            <w:hideMark/>
          </w:tcPr>
          <w:p w14:paraId="14EEC5B8"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26505±14882</w:t>
            </w:r>
          </w:p>
        </w:tc>
      </w:tr>
      <w:tr w:rsidR="00F40738" w:rsidRPr="00F40738" w14:paraId="3EC675C1" w14:textId="77777777" w:rsidTr="00F40738">
        <w:trPr>
          <w:trHeight w:val="288"/>
        </w:trPr>
        <w:tc>
          <w:tcPr>
            <w:cnfStyle w:val="001000000000" w:firstRow="0" w:lastRow="0" w:firstColumn="1" w:lastColumn="0" w:oddVBand="0" w:evenVBand="0" w:oddHBand="0" w:evenHBand="0" w:firstRowFirstColumn="0" w:firstRowLastColumn="0" w:lastRowFirstColumn="0" w:lastRowLastColumn="0"/>
            <w:tcW w:w="1240" w:type="dxa"/>
            <w:vMerge/>
            <w:hideMark/>
          </w:tcPr>
          <w:p w14:paraId="2721BE47" w14:textId="77777777" w:rsidR="00F40738" w:rsidRPr="00F40738" w:rsidRDefault="00F40738" w:rsidP="00F40738">
            <w:pPr>
              <w:rPr>
                <w:rFonts w:ascii="Calibri" w:eastAsia="Times New Roman" w:hAnsi="Calibri" w:cs="Calibri"/>
                <w:color w:val="000000"/>
                <w:lang w:eastAsia="fr-FR"/>
              </w:rPr>
            </w:pPr>
          </w:p>
        </w:tc>
        <w:tc>
          <w:tcPr>
            <w:tcW w:w="1760" w:type="dxa"/>
            <w:noWrap/>
            <w:hideMark/>
          </w:tcPr>
          <w:p w14:paraId="548D7FCF"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drawing speed</w:t>
            </w:r>
          </w:p>
        </w:tc>
        <w:tc>
          <w:tcPr>
            <w:tcW w:w="1240" w:type="dxa"/>
            <w:noWrap/>
            <w:hideMark/>
          </w:tcPr>
          <w:p w14:paraId="536D161E"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29</w:t>
            </w:r>
          </w:p>
        </w:tc>
        <w:tc>
          <w:tcPr>
            <w:tcW w:w="1240" w:type="dxa"/>
            <w:noWrap/>
            <w:hideMark/>
          </w:tcPr>
          <w:p w14:paraId="1AF668A6"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0.007</w:t>
            </w:r>
          </w:p>
        </w:tc>
        <w:tc>
          <w:tcPr>
            <w:tcW w:w="1420" w:type="dxa"/>
            <w:noWrap/>
            <w:hideMark/>
          </w:tcPr>
          <w:p w14:paraId="7A19636B"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0.31±0.73</w:t>
            </w:r>
          </w:p>
        </w:tc>
        <w:tc>
          <w:tcPr>
            <w:tcW w:w="1460" w:type="dxa"/>
            <w:noWrap/>
            <w:hideMark/>
          </w:tcPr>
          <w:p w14:paraId="3B080C23"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1.04±0.68</w:t>
            </w:r>
          </w:p>
        </w:tc>
      </w:tr>
      <w:tr w:rsidR="00F40738" w:rsidRPr="00F40738" w14:paraId="742A5DD2" w14:textId="77777777" w:rsidTr="00F40738">
        <w:trPr>
          <w:trHeight w:val="288"/>
        </w:trPr>
        <w:tc>
          <w:tcPr>
            <w:cnfStyle w:val="001000000000" w:firstRow="0" w:lastRow="0" w:firstColumn="1" w:lastColumn="0" w:oddVBand="0" w:evenVBand="0" w:oddHBand="0" w:evenHBand="0" w:firstRowFirstColumn="0" w:firstRowLastColumn="0" w:lastRowFirstColumn="0" w:lastRowLastColumn="0"/>
            <w:tcW w:w="1240" w:type="dxa"/>
            <w:vMerge w:val="restart"/>
            <w:noWrap/>
            <w:hideMark/>
          </w:tcPr>
          <w:p w14:paraId="5EA03B30" w14:textId="77777777" w:rsidR="00F40738" w:rsidRPr="00F40738" w:rsidRDefault="00F40738" w:rsidP="00F40738">
            <w:pPr>
              <w:jc w:val="center"/>
              <w:rPr>
                <w:rFonts w:ascii="Calibri" w:eastAsia="Times New Roman" w:hAnsi="Calibri" w:cs="Calibri"/>
                <w:color w:val="000000"/>
                <w:lang w:eastAsia="fr-FR"/>
              </w:rPr>
            </w:pPr>
            <w:r w:rsidRPr="00F40738">
              <w:rPr>
                <w:rFonts w:ascii="Calibri" w:eastAsia="Times New Roman" w:hAnsi="Calibri" w:cs="Calibri"/>
                <w:color w:val="000000"/>
                <w:lang w:eastAsia="fr-FR"/>
              </w:rPr>
              <w:t>2</w:t>
            </w:r>
          </w:p>
        </w:tc>
        <w:tc>
          <w:tcPr>
            <w:tcW w:w="1760" w:type="dxa"/>
            <w:noWrap/>
            <w:hideMark/>
          </w:tcPr>
          <w:p w14:paraId="440B849E" w14:textId="569EC386"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Mean colo</w:t>
            </w:r>
            <w:r w:rsidR="002B1FB1">
              <w:rPr>
                <w:rFonts w:ascii="Calibri" w:eastAsia="Times New Roman" w:hAnsi="Calibri" w:cs="Calibri"/>
                <w:color w:val="000000"/>
                <w:lang w:eastAsia="fr-FR"/>
              </w:rPr>
              <w:t>u</w:t>
            </w:r>
            <w:r w:rsidR="005F555D">
              <w:rPr>
                <w:rFonts w:ascii="Calibri" w:eastAsia="Times New Roman" w:hAnsi="Calibri" w:cs="Calibri"/>
                <w:color w:val="000000"/>
                <w:lang w:eastAsia="fr-FR"/>
              </w:rPr>
              <w:t>r</w:t>
            </w:r>
            <w:r w:rsidRPr="00F40738">
              <w:rPr>
                <w:rFonts w:ascii="Calibri" w:eastAsia="Times New Roman" w:hAnsi="Calibri" w:cs="Calibri"/>
                <w:color w:val="000000"/>
                <w:lang w:eastAsia="fr-FR"/>
              </w:rPr>
              <w:t xml:space="preserve"> Profil</w:t>
            </w:r>
          </w:p>
        </w:tc>
        <w:tc>
          <w:tcPr>
            <w:tcW w:w="1240" w:type="dxa"/>
            <w:noWrap/>
            <w:hideMark/>
          </w:tcPr>
          <w:p w14:paraId="08EB759F"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93</w:t>
            </w:r>
          </w:p>
        </w:tc>
        <w:tc>
          <w:tcPr>
            <w:tcW w:w="1240" w:type="dxa"/>
            <w:noWrap/>
            <w:hideMark/>
          </w:tcPr>
          <w:p w14:paraId="4C0C0E88"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0.473</w:t>
            </w:r>
          </w:p>
        </w:tc>
        <w:tc>
          <w:tcPr>
            <w:tcW w:w="1420" w:type="dxa"/>
            <w:noWrap/>
            <w:hideMark/>
          </w:tcPr>
          <w:p w14:paraId="059652F9"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0.01±0.09</w:t>
            </w:r>
          </w:p>
        </w:tc>
        <w:tc>
          <w:tcPr>
            <w:tcW w:w="1460" w:type="dxa"/>
            <w:noWrap/>
            <w:hideMark/>
          </w:tcPr>
          <w:p w14:paraId="72F9CC95"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-0.05±0.16</w:t>
            </w:r>
          </w:p>
        </w:tc>
      </w:tr>
      <w:tr w:rsidR="00F40738" w:rsidRPr="00F40738" w14:paraId="2474AAB0" w14:textId="77777777" w:rsidTr="00F40738">
        <w:trPr>
          <w:trHeight w:val="288"/>
        </w:trPr>
        <w:tc>
          <w:tcPr>
            <w:cnfStyle w:val="001000000000" w:firstRow="0" w:lastRow="0" w:firstColumn="1" w:lastColumn="0" w:oddVBand="0" w:evenVBand="0" w:oddHBand="0" w:evenHBand="0" w:firstRowFirstColumn="0" w:firstRowLastColumn="0" w:lastRowFirstColumn="0" w:lastRowLastColumn="0"/>
            <w:tcW w:w="1240" w:type="dxa"/>
            <w:vMerge/>
            <w:hideMark/>
          </w:tcPr>
          <w:p w14:paraId="185E3E7F" w14:textId="77777777" w:rsidR="00F40738" w:rsidRPr="00F40738" w:rsidRDefault="00F40738" w:rsidP="00F40738">
            <w:pPr>
              <w:rPr>
                <w:rFonts w:ascii="Calibri" w:eastAsia="Times New Roman" w:hAnsi="Calibri" w:cs="Calibri"/>
                <w:color w:val="000000"/>
                <w:lang w:eastAsia="fr-FR"/>
              </w:rPr>
            </w:pPr>
          </w:p>
        </w:tc>
        <w:tc>
          <w:tcPr>
            <w:tcW w:w="1760" w:type="dxa"/>
            <w:noWrap/>
            <w:hideMark/>
          </w:tcPr>
          <w:p w14:paraId="729055B1" w14:textId="23BFC8D1"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N</w:t>
            </w:r>
            <w:r w:rsidR="002B1FB1">
              <w:rPr>
                <w:rFonts w:ascii="Calibri" w:eastAsia="Times New Roman" w:hAnsi="Calibri" w:cs="Calibri"/>
                <w:b/>
                <w:bCs/>
                <w:color w:val="000000"/>
                <w:lang w:eastAsia="fr-FR"/>
              </w:rPr>
              <w:t>umber of</w:t>
            </w:r>
            <w:r w:rsidRPr="00F40738">
              <w:rPr>
                <w:rFonts w:ascii="Calibri" w:eastAsia="Times New Roman" w:hAnsi="Calibri" w:cs="Calibri"/>
                <w:b/>
                <w:bCs/>
                <w:color w:val="000000"/>
                <w:lang w:eastAsia="fr-FR"/>
              </w:rPr>
              <w:t xml:space="preserve"> colours</w:t>
            </w:r>
          </w:p>
        </w:tc>
        <w:tc>
          <w:tcPr>
            <w:tcW w:w="1240" w:type="dxa"/>
            <w:noWrap/>
            <w:hideMark/>
          </w:tcPr>
          <w:p w14:paraId="2634530D"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118</w:t>
            </w:r>
          </w:p>
        </w:tc>
        <w:tc>
          <w:tcPr>
            <w:tcW w:w="1240" w:type="dxa"/>
            <w:noWrap/>
            <w:hideMark/>
          </w:tcPr>
          <w:p w14:paraId="4062D4FE"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0.03</w:t>
            </w:r>
          </w:p>
        </w:tc>
        <w:tc>
          <w:tcPr>
            <w:tcW w:w="1420" w:type="dxa"/>
            <w:noWrap/>
            <w:hideMark/>
          </w:tcPr>
          <w:p w14:paraId="2A91E1C0"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2.79±2.68</w:t>
            </w:r>
          </w:p>
        </w:tc>
        <w:tc>
          <w:tcPr>
            <w:tcW w:w="1460" w:type="dxa"/>
            <w:noWrap/>
            <w:hideMark/>
          </w:tcPr>
          <w:p w14:paraId="398E558C"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0.09±1.</w:t>
            </w:r>
          </w:p>
        </w:tc>
      </w:tr>
      <w:tr w:rsidR="00F40738" w:rsidRPr="00F40738" w14:paraId="46150665" w14:textId="77777777" w:rsidTr="00F40738">
        <w:trPr>
          <w:trHeight w:val="288"/>
        </w:trPr>
        <w:tc>
          <w:tcPr>
            <w:cnfStyle w:val="001000000000" w:firstRow="0" w:lastRow="0" w:firstColumn="1" w:lastColumn="0" w:oddVBand="0" w:evenVBand="0" w:oddHBand="0" w:evenHBand="0" w:firstRowFirstColumn="0" w:firstRowLastColumn="0" w:lastRowFirstColumn="0" w:lastRowLastColumn="0"/>
            <w:tcW w:w="1240" w:type="dxa"/>
            <w:vMerge w:val="restart"/>
            <w:noWrap/>
            <w:hideMark/>
          </w:tcPr>
          <w:p w14:paraId="2AC4D8B6" w14:textId="77777777" w:rsidR="00F40738" w:rsidRPr="00F40738" w:rsidRDefault="00F40738" w:rsidP="00F40738">
            <w:pPr>
              <w:jc w:val="center"/>
              <w:rPr>
                <w:rFonts w:ascii="Calibri" w:eastAsia="Times New Roman" w:hAnsi="Calibri" w:cs="Calibri"/>
                <w:color w:val="000000"/>
                <w:lang w:eastAsia="fr-FR"/>
              </w:rPr>
            </w:pPr>
            <w:r w:rsidRPr="00F40738">
              <w:rPr>
                <w:rFonts w:ascii="Calibri" w:eastAsia="Times New Roman" w:hAnsi="Calibri" w:cs="Calibri"/>
                <w:color w:val="000000"/>
                <w:lang w:eastAsia="fr-FR"/>
              </w:rPr>
              <w:t>3</w:t>
            </w:r>
          </w:p>
        </w:tc>
        <w:tc>
          <w:tcPr>
            <w:tcW w:w="1760" w:type="dxa"/>
            <w:noWrap/>
            <w:hideMark/>
          </w:tcPr>
          <w:p w14:paraId="5CBA8F7D" w14:textId="0F87CB4D" w:rsidR="00F40738" w:rsidRPr="00F40738" w:rsidRDefault="002B1FB1"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Pr>
                <w:rFonts w:ascii="Calibri" w:eastAsia="Times New Roman" w:hAnsi="Calibri" w:cs="Calibri"/>
                <w:color w:val="000000"/>
                <w:lang w:eastAsia="fr-FR"/>
              </w:rPr>
              <w:t>H</w:t>
            </w:r>
            <w:r w:rsidR="00F40738" w:rsidRPr="00F40738">
              <w:rPr>
                <w:rFonts w:ascii="Calibri" w:eastAsia="Times New Roman" w:hAnsi="Calibri" w:cs="Calibri"/>
                <w:color w:val="000000"/>
                <w:lang w:eastAsia="fr-FR"/>
              </w:rPr>
              <w:t>urst</w:t>
            </w:r>
          </w:p>
        </w:tc>
        <w:tc>
          <w:tcPr>
            <w:tcW w:w="1240" w:type="dxa"/>
            <w:noWrap/>
            <w:hideMark/>
          </w:tcPr>
          <w:p w14:paraId="7C1F9249"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84</w:t>
            </w:r>
          </w:p>
        </w:tc>
        <w:tc>
          <w:tcPr>
            <w:tcW w:w="1240" w:type="dxa"/>
            <w:noWrap/>
            <w:hideMark/>
          </w:tcPr>
          <w:p w14:paraId="623BFF97"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0.769</w:t>
            </w:r>
          </w:p>
        </w:tc>
        <w:tc>
          <w:tcPr>
            <w:tcW w:w="1420" w:type="dxa"/>
            <w:noWrap/>
            <w:hideMark/>
          </w:tcPr>
          <w:p w14:paraId="32C93479"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1.29±1.03</w:t>
            </w:r>
          </w:p>
        </w:tc>
        <w:tc>
          <w:tcPr>
            <w:tcW w:w="1460" w:type="dxa"/>
            <w:noWrap/>
            <w:hideMark/>
          </w:tcPr>
          <w:p w14:paraId="6BEEE005"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F40738">
              <w:rPr>
                <w:rFonts w:ascii="Calibri" w:eastAsia="Times New Roman" w:hAnsi="Calibri" w:cs="Calibri"/>
                <w:color w:val="000000"/>
                <w:lang w:eastAsia="fr-FR"/>
              </w:rPr>
              <w:t>0.71±2.0</w:t>
            </w:r>
          </w:p>
        </w:tc>
      </w:tr>
      <w:tr w:rsidR="00F40738" w:rsidRPr="00F40738" w14:paraId="2233F524" w14:textId="77777777" w:rsidTr="00F40738">
        <w:trPr>
          <w:trHeight w:val="288"/>
        </w:trPr>
        <w:tc>
          <w:tcPr>
            <w:cnfStyle w:val="001000000000" w:firstRow="0" w:lastRow="0" w:firstColumn="1" w:lastColumn="0" w:oddVBand="0" w:evenVBand="0" w:oddHBand="0" w:evenHBand="0" w:firstRowFirstColumn="0" w:firstRowLastColumn="0" w:lastRowFirstColumn="0" w:lastRowLastColumn="0"/>
            <w:tcW w:w="1240" w:type="dxa"/>
            <w:vMerge/>
            <w:hideMark/>
          </w:tcPr>
          <w:p w14:paraId="2FA31DCB" w14:textId="77777777" w:rsidR="00F40738" w:rsidRPr="00F40738" w:rsidRDefault="00F40738" w:rsidP="00F40738">
            <w:pPr>
              <w:rPr>
                <w:rFonts w:ascii="Calibri" w:eastAsia="Times New Roman" w:hAnsi="Calibri" w:cs="Calibri"/>
                <w:color w:val="000000"/>
                <w:lang w:eastAsia="fr-FR"/>
              </w:rPr>
            </w:pPr>
          </w:p>
        </w:tc>
        <w:tc>
          <w:tcPr>
            <w:tcW w:w="1760" w:type="dxa"/>
            <w:noWrap/>
            <w:hideMark/>
          </w:tcPr>
          <w:p w14:paraId="1FBACB11" w14:textId="31B87560" w:rsidR="00F40738" w:rsidRPr="00F40738" w:rsidRDefault="002B1FB1"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N</w:t>
            </w:r>
            <w:r>
              <w:rPr>
                <w:rFonts w:ascii="Calibri" w:eastAsia="Times New Roman" w:hAnsi="Calibri" w:cs="Calibri"/>
                <w:b/>
                <w:bCs/>
                <w:color w:val="000000"/>
                <w:lang w:eastAsia="fr-FR"/>
              </w:rPr>
              <w:t>umber</w:t>
            </w:r>
            <w:r w:rsidR="00F40738" w:rsidRPr="00F40738">
              <w:rPr>
                <w:rFonts w:ascii="Calibri" w:eastAsia="Times New Roman" w:hAnsi="Calibri" w:cs="Calibri"/>
                <w:b/>
                <w:bCs/>
                <w:color w:val="000000"/>
                <w:lang w:eastAsia="fr-FR"/>
              </w:rPr>
              <w:t xml:space="preserve"> </w:t>
            </w:r>
            <w:r>
              <w:rPr>
                <w:rFonts w:ascii="Calibri" w:eastAsia="Times New Roman" w:hAnsi="Calibri" w:cs="Calibri"/>
                <w:b/>
                <w:bCs/>
                <w:color w:val="000000"/>
                <w:lang w:eastAsia="fr-FR"/>
              </w:rPr>
              <w:t>of</w:t>
            </w:r>
            <w:r w:rsidR="00D847D5">
              <w:rPr>
                <w:rFonts w:ascii="Calibri" w:eastAsia="Times New Roman" w:hAnsi="Calibri" w:cs="Calibri"/>
                <w:b/>
                <w:bCs/>
                <w:color w:val="000000"/>
                <w:lang w:eastAsia="fr-FR"/>
              </w:rPr>
              <w:t xml:space="preserve"> </w:t>
            </w:r>
            <w:r w:rsidR="00F40738" w:rsidRPr="00F40738">
              <w:rPr>
                <w:rFonts w:ascii="Calibri" w:eastAsia="Times New Roman" w:hAnsi="Calibri" w:cs="Calibri"/>
                <w:b/>
                <w:bCs/>
                <w:color w:val="000000"/>
                <w:lang w:eastAsia="fr-FR"/>
              </w:rPr>
              <w:t>seq</w:t>
            </w:r>
            <w:r>
              <w:rPr>
                <w:rFonts w:ascii="Calibri" w:eastAsia="Times New Roman" w:hAnsi="Calibri" w:cs="Calibri"/>
                <w:b/>
                <w:bCs/>
                <w:color w:val="000000"/>
                <w:lang w:eastAsia="fr-FR"/>
              </w:rPr>
              <w:t>uences</w:t>
            </w:r>
          </w:p>
        </w:tc>
        <w:tc>
          <w:tcPr>
            <w:tcW w:w="1240" w:type="dxa"/>
            <w:noWrap/>
            <w:hideMark/>
          </w:tcPr>
          <w:p w14:paraId="5C0D083E"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11</w:t>
            </w:r>
          </w:p>
        </w:tc>
        <w:tc>
          <w:tcPr>
            <w:tcW w:w="1240" w:type="dxa"/>
            <w:noWrap/>
            <w:hideMark/>
          </w:tcPr>
          <w:p w14:paraId="7B020DC8" w14:textId="77777777" w:rsidR="00F40738" w:rsidRPr="00F40738" w:rsidRDefault="00F40738" w:rsidP="00F407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&lt;0.0001</w:t>
            </w:r>
          </w:p>
        </w:tc>
        <w:tc>
          <w:tcPr>
            <w:tcW w:w="1420" w:type="dxa"/>
            <w:noWrap/>
            <w:hideMark/>
          </w:tcPr>
          <w:p w14:paraId="18D7BB01"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-52.12±33.0</w:t>
            </w:r>
          </w:p>
        </w:tc>
        <w:tc>
          <w:tcPr>
            <w:tcW w:w="1460" w:type="dxa"/>
            <w:noWrap/>
            <w:hideMark/>
          </w:tcPr>
          <w:p w14:paraId="272DC6E5" w14:textId="77777777" w:rsidR="00F40738" w:rsidRPr="00F40738" w:rsidRDefault="00F40738" w:rsidP="00F40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fr-FR"/>
              </w:rPr>
            </w:pPr>
            <w:r w:rsidRPr="00F40738">
              <w:rPr>
                <w:rFonts w:ascii="Calibri" w:eastAsia="Times New Roman" w:hAnsi="Calibri" w:cs="Calibri"/>
                <w:b/>
                <w:bCs/>
                <w:color w:val="000000"/>
                <w:lang w:eastAsia="fr-FR"/>
              </w:rPr>
              <w:t>5.39±18.3</w:t>
            </w:r>
          </w:p>
        </w:tc>
      </w:tr>
    </w:tbl>
    <w:p w14:paraId="50CBCF57" w14:textId="3A977E07" w:rsidR="00F40738" w:rsidRDefault="00F40738">
      <w:pPr>
        <w:rPr>
          <w:lang w:val="en-GB"/>
        </w:rPr>
      </w:pPr>
    </w:p>
    <w:p w14:paraId="60CAA4E3" w14:textId="41BF6F9F" w:rsidR="000C04D0" w:rsidRDefault="000C04D0">
      <w:pPr>
        <w:rPr>
          <w:b/>
          <w:lang w:val="en-GB"/>
        </w:rPr>
      </w:pPr>
      <w:r>
        <w:rPr>
          <w:b/>
          <w:lang w:val="en-GB"/>
        </w:rPr>
        <w:t>References</w:t>
      </w:r>
    </w:p>
    <w:p w14:paraId="53997B5D" w14:textId="77777777" w:rsidR="000C04D0" w:rsidRPr="000C04D0" w:rsidRDefault="000C04D0" w:rsidP="000C04D0">
      <w:pPr>
        <w:pStyle w:val="Bibliographie"/>
        <w:rPr>
          <w:rFonts w:ascii="Calibri" w:hAnsi="Calibri" w:cs="Calibri"/>
          <w:lang w:val="en-US"/>
        </w:rPr>
      </w:pPr>
      <w:r>
        <w:rPr>
          <w:b/>
          <w:lang w:val="en-GB"/>
        </w:rPr>
        <w:fldChar w:fldCharType="begin"/>
      </w:r>
      <w:r>
        <w:rPr>
          <w:b/>
          <w:lang w:val="en-GB"/>
        </w:rPr>
        <w:instrText xml:space="preserve"> ADDIN ZOTERO_BIBL {"uncited":[],"omitted":[],"custom":[]} CSL_BIBLIOGRAPHY </w:instrText>
      </w:r>
      <w:r>
        <w:rPr>
          <w:b/>
          <w:lang w:val="en-GB"/>
        </w:rPr>
        <w:fldChar w:fldCharType="separate"/>
      </w:r>
      <w:r w:rsidRPr="000C04D0">
        <w:rPr>
          <w:rFonts w:ascii="Calibri" w:hAnsi="Calibri" w:cs="Calibri"/>
          <w:lang w:val="en-US"/>
        </w:rPr>
        <w:t>1.</w:t>
      </w:r>
      <w:r w:rsidRPr="000C04D0">
        <w:rPr>
          <w:rFonts w:ascii="Calibri" w:hAnsi="Calibri" w:cs="Calibri"/>
          <w:lang w:val="en-US"/>
        </w:rPr>
        <w:tab/>
        <w:t xml:space="preserve">Martinet, L. </w:t>
      </w:r>
      <w:r w:rsidRPr="000C04D0">
        <w:rPr>
          <w:rFonts w:ascii="Calibri" w:hAnsi="Calibri" w:cs="Calibri"/>
          <w:i/>
          <w:iCs/>
          <w:lang w:val="en-US"/>
        </w:rPr>
        <w:t>et al.</w:t>
      </w:r>
      <w:r w:rsidRPr="000C04D0">
        <w:rPr>
          <w:rFonts w:ascii="Calibri" w:hAnsi="Calibri" w:cs="Calibri"/>
          <w:lang w:val="en-US"/>
        </w:rPr>
        <w:t xml:space="preserve"> New indices to characterize drawing behavior in humans ( Homo sapiens ) and chimpanzees ( Pan troglodytes ). </w:t>
      </w:r>
      <w:r w:rsidRPr="000C04D0">
        <w:rPr>
          <w:rFonts w:ascii="Calibri" w:hAnsi="Calibri" w:cs="Calibri"/>
          <w:i/>
          <w:iCs/>
          <w:lang w:val="en-US"/>
        </w:rPr>
        <w:t>Sci. Rep.</w:t>
      </w:r>
      <w:r w:rsidRPr="000C04D0">
        <w:rPr>
          <w:rFonts w:ascii="Calibri" w:hAnsi="Calibri" w:cs="Calibri"/>
          <w:lang w:val="en-US"/>
        </w:rPr>
        <w:t xml:space="preserve"> </w:t>
      </w:r>
      <w:r w:rsidRPr="000C04D0">
        <w:rPr>
          <w:rFonts w:ascii="Calibri" w:hAnsi="Calibri" w:cs="Calibri"/>
          <w:b/>
          <w:bCs/>
          <w:lang w:val="en-US"/>
        </w:rPr>
        <w:t>11</w:t>
      </w:r>
      <w:r w:rsidRPr="000C04D0">
        <w:rPr>
          <w:rFonts w:ascii="Calibri" w:hAnsi="Calibri" w:cs="Calibri"/>
          <w:lang w:val="en-US"/>
        </w:rPr>
        <w:t>, 3860 (2021).</w:t>
      </w:r>
    </w:p>
    <w:p w14:paraId="421E6EBC"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2.</w:t>
      </w:r>
      <w:r w:rsidRPr="000C04D0">
        <w:rPr>
          <w:rFonts w:ascii="Calibri" w:hAnsi="Calibri" w:cs="Calibri"/>
          <w:lang w:val="en-US"/>
        </w:rPr>
        <w:tab/>
        <w:t xml:space="preserve">Sueur, C. A Non-Lévy Random Walk in Chacma Baboons: What Does It Mean? </w:t>
      </w:r>
      <w:r w:rsidRPr="000C04D0">
        <w:rPr>
          <w:rFonts w:ascii="Calibri" w:hAnsi="Calibri" w:cs="Calibri"/>
          <w:i/>
          <w:iCs/>
          <w:lang w:val="en-US"/>
        </w:rPr>
        <w:t>PLoS ONE</w:t>
      </w:r>
      <w:r w:rsidRPr="000C04D0">
        <w:rPr>
          <w:rFonts w:ascii="Calibri" w:hAnsi="Calibri" w:cs="Calibri"/>
          <w:lang w:val="en-US"/>
        </w:rPr>
        <w:t xml:space="preserve"> </w:t>
      </w:r>
      <w:r w:rsidRPr="000C04D0">
        <w:rPr>
          <w:rFonts w:ascii="Calibri" w:hAnsi="Calibri" w:cs="Calibri"/>
          <w:b/>
          <w:bCs/>
          <w:lang w:val="en-US"/>
        </w:rPr>
        <w:t>6</w:t>
      </w:r>
      <w:r w:rsidRPr="000C04D0">
        <w:rPr>
          <w:rFonts w:ascii="Calibri" w:hAnsi="Calibri" w:cs="Calibri"/>
          <w:lang w:val="en-US"/>
        </w:rPr>
        <w:t>, e16131 (2011).</w:t>
      </w:r>
    </w:p>
    <w:p w14:paraId="248AF4DF"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3.</w:t>
      </w:r>
      <w:r w:rsidRPr="000C04D0">
        <w:rPr>
          <w:rFonts w:ascii="Calibri" w:hAnsi="Calibri" w:cs="Calibri"/>
          <w:lang w:val="en-US"/>
        </w:rPr>
        <w:tab/>
        <w:t xml:space="preserve">Sueur, C., Briard, L. &amp; Petit, O. Individual Analyses of Lévy Walk in Semi-Free Ranging Tonkean Macaques (Macaca tonkeana). </w:t>
      </w:r>
      <w:r w:rsidRPr="000C04D0">
        <w:rPr>
          <w:rFonts w:ascii="Calibri" w:hAnsi="Calibri" w:cs="Calibri"/>
          <w:i/>
          <w:iCs/>
          <w:lang w:val="en-US"/>
        </w:rPr>
        <w:t>PLoS ONE</w:t>
      </w:r>
      <w:r w:rsidRPr="000C04D0">
        <w:rPr>
          <w:rFonts w:ascii="Calibri" w:hAnsi="Calibri" w:cs="Calibri"/>
          <w:lang w:val="en-US"/>
        </w:rPr>
        <w:t xml:space="preserve"> </w:t>
      </w:r>
      <w:r w:rsidRPr="000C04D0">
        <w:rPr>
          <w:rFonts w:ascii="Calibri" w:hAnsi="Calibri" w:cs="Calibri"/>
          <w:b/>
          <w:bCs/>
          <w:lang w:val="en-US"/>
        </w:rPr>
        <w:t>6</w:t>
      </w:r>
      <w:r w:rsidRPr="000C04D0">
        <w:rPr>
          <w:rFonts w:ascii="Calibri" w:hAnsi="Calibri" w:cs="Calibri"/>
          <w:lang w:val="en-US"/>
        </w:rPr>
        <w:t>, e26788 (2011).</w:t>
      </w:r>
    </w:p>
    <w:p w14:paraId="01E0C8EF"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lastRenderedPageBreak/>
        <w:t>4.</w:t>
      </w:r>
      <w:r w:rsidRPr="000C04D0">
        <w:rPr>
          <w:rFonts w:ascii="Calibri" w:hAnsi="Calibri" w:cs="Calibri"/>
          <w:lang w:val="en-US"/>
        </w:rPr>
        <w:tab/>
        <w:t xml:space="preserve">Byrne, R. W., Noser, R., Bates, L. A. &amp; Jupp, P. E. How did they get here from there? Detecting changes of direction in terrestrial ranging. </w:t>
      </w:r>
      <w:r w:rsidRPr="000C04D0">
        <w:rPr>
          <w:rFonts w:ascii="Calibri" w:hAnsi="Calibri" w:cs="Calibri"/>
          <w:i/>
          <w:iCs/>
          <w:lang w:val="en-US"/>
        </w:rPr>
        <w:t>Anim. Behav.</w:t>
      </w:r>
      <w:r w:rsidRPr="000C04D0">
        <w:rPr>
          <w:rFonts w:ascii="Calibri" w:hAnsi="Calibri" w:cs="Calibri"/>
          <w:lang w:val="en-US"/>
        </w:rPr>
        <w:t xml:space="preserve"> </w:t>
      </w:r>
      <w:r w:rsidRPr="000C04D0">
        <w:rPr>
          <w:rFonts w:ascii="Calibri" w:hAnsi="Calibri" w:cs="Calibri"/>
          <w:b/>
          <w:bCs/>
          <w:lang w:val="en-US"/>
        </w:rPr>
        <w:t>77</w:t>
      </w:r>
      <w:r w:rsidRPr="000C04D0">
        <w:rPr>
          <w:rFonts w:ascii="Calibri" w:hAnsi="Calibri" w:cs="Calibri"/>
          <w:lang w:val="en-US"/>
        </w:rPr>
        <w:t>, 619–631 (2009).</w:t>
      </w:r>
    </w:p>
    <w:p w14:paraId="27893BF6"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5.</w:t>
      </w:r>
      <w:r w:rsidRPr="000C04D0">
        <w:rPr>
          <w:rFonts w:ascii="Calibri" w:hAnsi="Calibri" w:cs="Calibri"/>
          <w:lang w:val="en-US"/>
        </w:rPr>
        <w:tab/>
        <w:t xml:space="preserve">Noser, R. &amp; Byrne, R. W. Change point analysis of travel routes reveals novel insights into foraging strategies and cognitive maps of wild baboons. </w:t>
      </w:r>
      <w:r w:rsidRPr="000C04D0">
        <w:rPr>
          <w:rFonts w:ascii="Calibri" w:hAnsi="Calibri" w:cs="Calibri"/>
          <w:i/>
          <w:iCs/>
          <w:lang w:val="en-US"/>
        </w:rPr>
        <w:t>Am. J. Primatol.</w:t>
      </w:r>
      <w:r w:rsidRPr="000C04D0">
        <w:rPr>
          <w:rFonts w:ascii="Calibri" w:hAnsi="Calibri" w:cs="Calibri"/>
          <w:lang w:val="en-US"/>
        </w:rPr>
        <w:t xml:space="preserve"> </w:t>
      </w:r>
      <w:r w:rsidRPr="000C04D0">
        <w:rPr>
          <w:rFonts w:ascii="Calibri" w:hAnsi="Calibri" w:cs="Calibri"/>
          <w:b/>
          <w:bCs/>
          <w:lang w:val="en-US"/>
        </w:rPr>
        <w:t>76</w:t>
      </w:r>
      <w:r w:rsidRPr="000C04D0">
        <w:rPr>
          <w:rFonts w:ascii="Calibri" w:hAnsi="Calibri" w:cs="Calibri"/>
          <w:lang w:val="en-US"/>
        </w:rPr>
        <w:t>, 399–409 (2014).</w:t>
      </w:r>
    </w:p>
    <w:p w14:paraId="56CE1C9E"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6.</w:t>
      </w:r>
      <w:r w:rsidRPr="000C04D0">
        <w:rPr>
          <w:rFonts w:ascii="Calibri" w:hAnsi="Calibri" w:cs="Calibri"/>
          <w:lang w:val="en-US"/>
        </w:rPr>
        <w:tab/>
        <w:t xml:space="preserve">Edwards, A. </w:t>
      </w:r>
      <w:r w:rsidRPr="000C04D0">
        <w:rPr>
          <w:rFonts w:ascii="Calibri" w:hAnsi="Calibri" w:cs="Calibri"/>
          <w:i/>
          <w:iCs/>
          <w:lang w:val="en-US"/>
        </w:rPr>
        <w:t>et al.</w:t>
      </w:r>
      <w:r w:rsidRPr="000C04D0">
        <w:rPr>
          <w:rFonts w:ascii="Calibri" w:hAnsi="Calibri" w:cs="Calibri"/>
          <w:lang w:val="en-US"/>
        </w:rPr>
        <w:t xml:space="preserve"> Revisiting Levy flight search patterns of wandering albatrosses, bumblebees and deer. </w:t>
      </w:r>
      <w:r w:rsidRPr="000C04D0">
        <w:rPr>
          <w:rFonts w:ascii="Calibri" w:hAnsi="Calibri" w:cs="Calibri"/>
          <w:i/>
          <w:iCs/>
          <w:lang w:val="en-US"/>
        </w:rPr>
        <w:t>NATURE</w:t>
      </w:r>
      <w:r w:rsidRPr="000C04D0">
        <w:rPr>
          <w:rFonts w:ascii="Calibri" w:hAnsi="Calibri" w:cs="Calibri"/>
          <w:lang w:val="en-US"/>
        </w:rPr>
        <w:t xml:space="preserve"> </w:t>
      </w:r>
      <w:r w:rsidRPr="000C04D0">
        <w:rPr>
          <w:rFonts w:ascii="Calibri" w:hAnsi="Calibri" w:cs="Calibri"/>
          <w:b/>
          <w:bCs/>
          <w:lang w:val="en-US"/>
        </w:rPr>
        <w:t>449</w:t>
      </w:r>
      <w:r w:rsidRPr="000C04D0">
        <w:rPr>
          <w:rFonts w:ascii="Calibri" w:hAnsi="Calibri" w:cs="Calibri"/>
          <w:lang w:val="en-US"/>
        </w:rPr>
        <w:t>, 1044-U5 (2007).</w:t>
      </w:r>
    </w:p>
    <w:p w14:paraId="3C2CB87C"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7.</w:t>
      </w:r>
      <w:r w:rsidRPr="000C04D0">
        <w:rPr>
          <w:rFonts w:ascii="Calibri" w:hAnsi="Calibri" w:cs="Calibri"/>
          <w:lang w:val="en-US"/>
        </w:rPr>
        <w:tab/>
        <w:t xml:space="preserve">Burnham, K. P. &amp; Anderson, D. R. Multimodel inference understanding AIC and BIC in model selection. </w:t>
      </w:r>
      <w:r w:rsidRPr="000C04D0">
        <w:rPr>
          <w:rFonts w:ascii="Calibri" w:hAnsi="Calibri" w:cs="Calibri"/>
          <w:i/>
          <w:iCs/>
          <w:lang w:val="en-US"/>
        </w:rPr>
        <w:t>Sociol. Methods Res.</w:t>
      </w:r>
      <w:r w:rsidRPr="000C04D0">
        <w:rPr>
          <w:rFonts w:ascii="Calibri" w:hAnsi="Calibri" w:cs="Calibri"/>
          <w:lang w:val="en-US"/>
        </w:rPr>
        <w:t xml:space="preserve"> </w:t>
      </w:r>
      <w:r w:rsidRPr="000C04D0">
        <w:rPr>
          <w:rFonts w:ascii="Calibri" w:hAnsi="Calibri" w:cs="Calibri"/>
          <w:b/>
          <w:bCs/>
          <w:lang w:val="en-US"/>
        </w:rPr>
        <w:t>33</w:t>
      </w:r>
      <w:r w:rsidRPr="000C04D0">
        <w:rPr>
          <w:rFonts w:ascii="Calibri" w:hAnsi="Calibri" w:cs="Calibri"/>
          <w:lang w:val="en-US"/>
        </w:rPr>
        <w:t>, 261–304 (2004).</w:t>
      </w:r>
    </w:p>
    <w:p w14:paraId="1AAE33C8"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8.</w:t>
      </w:r>
      <w:r w:rsidRPr="000C04D0">
        <w:rPr>
          <w:rFonts w:ascii="Calibri" w:hAnsi="Calibri" w:cs="Calibri"/>
          <w:lang w:val="en-US"/>
        </w:rPr>
        <w:tab/>
        <w:t xml:space="preserve">Bartumeus, F., Da Luz, M., Viswanathan, G. &amp; Catalan, J. Animal search strategies: A quantitative. random-walk analysis. </w:t>
      </w:r>
      <w:r w:rsidRPr="000C04D0">
        <w:rPr>
          <w:rFonts w:ascii="Calibri" w:hAnsi="Calibri" w:cs="Calibri"/>
          <w:i/>
          <w:iCs/>
          <w:lang w:val="en-US"/>
        </w:rPr>
        <w:t>ECOLOGY</w:t>
      </w:r>
      <w:r w:rsidRPr="000C04D0">
        <w:rPr>
          <w:rFonts w:ascii="Calibri" w:hAnsi="Calibri" w:cs="Calibri"/>
          <w:lang w:val="en-US"/>
        </w:rPr>
        <w:t xml:space="preserve"> </w:t>
      </w:r>
      <w:r w:rsidRPr="000C04D0">
        <w:rPr>
          <w:rFonts w:ascii="Calibri" w:hAnsi="Calibri" w:cs="Calibri"/>
          <w:b/>
          <w:bCs/>
          <w:lang w:val="en-US"/>
        </w:rPr>
        <w:t>86</w:t>
      </w:r>
      <w:r w:rsidRPr="000C04D0">
        <w:rPr>
          <w:rFonts w:ascii="Calibri" w:hAnsi="Calibri" w:cs="Calibri"/>
          <w:lang w:val="en-US"/>
        </w:rPr>
        <w:t>, 3078–3087 (2005).</w:t>
      </w:r>
    </w:p>
    <w:p w14:paraId="2805451E"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9.</w:t>
      </w:r>
      <w:r w:rsidRPr="000C04D0">
        <w:rPr>
          <w:rFonts w:ascii="Calibri" w:hAnsi="Calibri" w:cs="Calibri"/>
          <w:lang w:val="en-US"/>
        </w:rPr>
        <w:tab/>
        <w:t xml:space="preserve">Viswanathan, G. M. </w:t>
      </w:r>
      <w:r w:rsidRPr="000C04D0">
        <w:rPr>
          <w:rFonts w:ascii="Calibri" w:hAnsi="Calibri" w:cs="Calibri"/>
          <w:i/>
          <w:iCs/>
          <w:lang w:val="en-US"/>
        </w:rPr>
        <w:t>et al.</w:t>
      </w:r>
      <w:r w:rsidRPr="000C04D0">
        <w:rPr>
          <w:rFonts w:ascii="Calibri" w:hAnsi="Calibri" w:cs="Calibri"/>
          <w:lang w:val="en-US"/>
        </w:rPr>
        <w:t xml:space="preserve"> Lévy flight search patterns of wandering albatrosses. </w:t>
      </w:r>
      <w:r w:rsidRPr="000C04D0">
        <w:rPr>
          <w:rFonts w:ascii="Calibri" w:hAnsi="Calibri" w:cs="Calibri"/>
          <w:i/>
          <w:iCs/>
          <w:lang w:val="en-US"/>
        </w:rPr>
        <w:t>Nature</w:t>
      </w:r>
      <w:r w:rsidRPr="000C04D0">
        <w:rPr>
          <w:rFonts w:ascii="Calibri" w:hAnsi="Calibri" w:cs="Calibri"/>
          <w:lang w:val="en-US"/>
        </w:rPr>
        <w:t xml:space="preserve"> </w:t>
      </w:r>
      <w:r w:rsidRPr="000C04D0">
        <w:rPr>
          <w:rFonts w:ascii="Calibri" w:hAnsi="Calibri" w:cs="Calibri"/>
          <w:b/>
          <w:bCs/>
          <w:lang w:val="en-US"/>
        </w:rPr>
        <w:t>381</w:t>
      </w:r>
      <w:r w:rsidRPr="000C04D0">
        <w:rPr>
          <w:rFonts w:ascii="Calibri" w:hAnsi="Calibri" w:cs="Calibri"/>
          <w:lang w:val="en-US"/>
        </w:rPr>
        <w:t>, 413–415 (1996).</w:t>
      </w:r>
    </w:p>
    <w:p w14:paraId="6D3951FC"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10.</w:t>
      </w:r>
      <w:r w:rsidRPr="000C04D0">
        <w:rPr>
          <w:rFonts w:ascii="Calibri" w:hAnsi="Calibri" w:cs="Calibri"/>
          <w:lang w:val="en-US"/>
        </w:rPr>
        <w:tab/>
        <w:t xml:space="preserve">Martinet, L. &amp; Pelé, M. Drawing in nonhuman primates: What we know and what remains to be investigated. </w:t>
      </w:r>
      <w:r w:rsidRPr="000C04D0">
        <w:rPr>
          <w:rFonts w:ascii="Calibri" w:hAnsi="Calibri" w:cs="Calibri"/>
          <w:i/>
          <w:iCs/>
          <w:lang w:val="en-US"/>
        </w:rPr>
        <w:t>J. Comp. Psychol.</w:t>
      </w:r>
      <w:r w:rsidRPr="000C04D0">
        <w:rPr>
          <w:rFonts w:ascii="Calibri" w:hAnsi="Calibri" w:cs="Calibri"/>
          <w:lang w:val="en-US"/>
        </w:rPr>
        <w:t xml:space="preserve"> (2020).</w:t>
      </w:r>
    </w:p>
    <w:p w14:paraId="4B0B1254"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11.</w:t>
      </w:r>
      <w:r w:rsidRPr="000C04D0">
        <w:rPr>
          <w:rFonts w:ascii="Calibri" w:hAnsi="Calibri" w:cs="Calibri"/>
          <w:lang w:val="en-US"/>
        </w:rPr>
        <w:tab/>
        <w:t xml:space="preserve">Bartumeus, F., Catalan, J., Viswanathan, G. M., Raposo, E. P. &amp; da Luz, M. G. E. The influence of turning angles on the success of non-oriented animal searches. </w:t>
      </w:r>
      <w:r w:rsidRPr="000C04D0">
        <w:rPr>
          <w:rFonts w:ascii="Calibri" w:hAnsi="Calibri" w:cs="Calibri"/>
          <w:i/>
          <w:iCs/>
          <w:lang w:val="en-US"/>
        </w:rPr>
        <w:t>J. Theor. Biol.</w:t>
      </w:r>
      <w:r w:rsidRPr="000C04D0">
        <w:rPr>
          <w:rFonts w:ascii="Calibri" w:hAnsi="Calibri" w:cs="Calibri"/>
          <w:lang w:val="en-US"/>
        </w:rPr>
        <w:t xml:space="preserve"> </w:t>
      </w:r>
      <w:r w:rsidRPr="000C04D0">
        <w:rPr>
          <w:rFonts w:ascii="Calibri" w:hAnsi="Calibri" w:cs="Calibri"/>
          <w:b/>
          <w:bCs/>
          <w:lang w:val="en-US"/>
        </w:rPr>
        <w:t>252</w:t>
      </w:r>
      <w:r w:rsidRPr="000C04D0">
        <w:rPr>
          <w:rFonts w:ascii="Calibri" w:hAnsi="Calibri" w:cs="Calibri"/>
          <w:lang w:val="en-US"/>
        </w:rPr>
        <w:t>, 43–55 (2008).</w:t>
      </w:r>
    </w:p>
    <w:p w14:paraId="02CAFC02"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12.</w:t>
      </w:r>
      <w:r w:rsidRPr="000C04D0">
        <w:rPr>
          <w:rFonts w:ascii="Calibri" w:hAnsi="Calibri" w:cs="Calibri"/>
          <w:lang w:val="en-US"/>
        </w:rPr>
        <w:tab/>
        <w:t xml:space="preserve">Hurford, A. GPS Measurement Error Gives Rise to Spurious 180° Turning Angles and Strong Directional Biases in Animal Movement Data. </w:t>
      </w:r>
      <w:r w:rsidRPr="000C04D0">
        <w:rPr>
          <w:rFonts w:ascii="Calibri" w:hAnsi="Calibri" w:cs="Calibri"/>
          <w:i/>
          <w:iCs/>
          <w:lang w:val="en-US"/>
        </w:rPr>
        <w:t>PLOS ONE</w:t>
      </w:r>
      <w:r w:rsidRPr="000C04D0">
        <w:rPr>
          <w:rFonts w:ascii="Calibri" w:hAnsi="Calibri" w:cs="Calibri"/>
          <w:lang w:val="en-US"/>
        </w:rPr>
        <w:t xml:space="preserve"> </w:t>
      </w:r>
      <w:r w:rsidRPr="000C04D0">
        <w:rPr>
          <w:rFonts w:ascii="Calibri" w:hAnsi="Calibri" w:cs="Calibri"/>
          <w:b/>
          <w:bCs/>
          <w:lang w:val="en-US"/>
        </w:rPr>
        <w:t>4</w:t>
      </w:r>
      <w:r w:rsidRPr="000C04D0">
        <w:rPr>
          <w:rFonts w:ascii="Calibri" w:hAnsi="Calibri" w:cs="Calibri"/>
          <w:lang w:val="en-US"/>
        </w:rPr>
        <w:t>, e5632 (2009).</w:t>
      </w:r>
    </w:p>
    <w:p w14:paraId="403283E3"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13.</w:t>
      </w:r>
      <w:r w:rsidRPr="000C04D0">
        <w:rPr>
          <w:rFonts w:ascii="Calibri" w:hAnsi="Calibri" w:cs="Calibri"/>
          <w:lang w:val="en-US"/>
        </w:rPr>
        <w:tab/>
        <w:t xml:space="preserve">Potts, J. R. </w:t>
      </w:r>
      <w:r w:rsidRPr="000C04D0">
        <w:rPr>
          <w:rFonts w:ascii="Calibri" w:hAnsi="Calibri" w:cs="Calibri"/>
          <w:i/>
          <w:iCs/>
          <w:lang w:val="en-US"/>
        </w:rPr>
        <w:t>et al.</w:t>
      </w:r>
      <w:r w:rsidRPr="000C04D0">
        <w:rPr>
          <w:rFonts w:ascii="Calibri" w:hAnsi="Calibri" w:cs="Calibri"/>
          <w:lang w:val="en-US"/>
        </w:rPr>
        <w:t xml:space="preserve"> Finding turning-points in ultra-high-resolution animal movement data. </w:t>
      </w:r>
      <w:r w:rsidRPr="000C04D0">
        <w:rPr>
          <w:rFonts w:ascii="Calibri" w:hAnsi="Calibri" w:cs="Calibri"/>
          <w:i/>
          <w:iCs/>
          <w:lang w:val="en-US"/>
        </w:rPr>
        <w:t>Methods Ecol. Evol.</w:t>
      </w:r>
      <w:r w:rsidRPr="000C04D0">
        <w:rPr>
          <w:rFonts w:ascii="Calibri" w:hAnsi="Calibri" w:cs="Calibri"/>
          <w:lang w:val="en-US"/>
        </w:rPr>
        <w:t xml:space="preserve"> </w:t>
      </w:r>
      <w:r w:rsidRPr="000C04D0">
        <w:rPr>
          <w:rFonts w:ascii="Calibri" w:hAnsi="Calibri" w:cs="Calibri"/>
          <w:b/>
          <w:bCs/>
          <w:lang w:val="en-US"/>
        </w:rPr>
        <w:t>9</w:t>
      </w:r>
      <w:r w:rsidRPr="000C04D0">
        <w:rPr>
          <w:rFonts w:ascii="Calibri" w:hAnsi="Calibri" w:cs="Calibri"/>
          <w:lang w:val="en-US"/>
        </w:rPr>
        <w:t>, 2091–2101 (2018).</w:t>
      </w:r>
    </w:p>
    <w:p w14:paraId="6CFA66EB"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14.</w:t>
      </w:r>
      <w:r w:rsidRPr="000C04D0">
        <w:rPr>
          <w:rFonts w:ascii="Calibri" w:hAnsi="Calibri" w:cs="Calibri"/>
          <w:lang w:val="en-US"/>
        </w:rPr>
        <w:tab/>
        <w:t xml:space="preserve">Nilsen, E. B., Pedersen, S. &amp; Linnell, J. D. C. Can minimum convex polygon home ranges be used to draw biologically meaningful conclusions? </w:t>
      </w:r>
      <w:r w:rsidRPr="000C04D0">
        <w:rPr>
          <w:rFonts w:ascii="Calibri" w:hAnsi="Calibri" w:cs="Calibri"/>
          <w:i/>
          <w:iCs/>
          <w:lang w:val="en-US"/>
        </w:rPr>
        <w:t>Ecol. Res.</w:t>
      </w:r>
      <w:r w:rsidRPr="000C04D0">
        <w:rPr>
          <w:rFonts w:ascii="Calibri" w:hAnsi="Calibri" w:cs="Calibri"/>
          <w:lang w:val="en-US"/>
        </w:rPr>
        <w:t xml:space="preserve"> </w:t>
      </w:r>
      <w:r w:rsidRPr="000C04D0">
        <w:rPr>
          <w:rFonts w:ascii="Calibri" w:hAnsi="Calibri" w:cs="Calibri"/>
          <w:b/>
          <w:bCs/>
          <w:lang w:val="en-US"/>
        </w:rPr>
        <w:t>23</w:t>
      </w:r>
      <w:r w:rsidRPr="000C04D0">
        <w:rPr>
          <w:rFonts w:ascii="Calibri" w:hAnsi="Calibri" w:cs="Calibri"/>
          <w:lang w:val="en-US"/>
        </w:rPr>
        <w:t>, 635–639 (2008).</w:t>
      </w:r>
    </w:p>
    <w:p w14:paraId="5D4B32D7"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15.</w:t>
      </w:r>
      <w:r w:rsidRPr="000C04D0">
        <w:rPr>
          <w:rFonts w:ascii="Calibri" w:hAnsi="Calibri" w:cs="Calibri"/>
          <w:lang w:val="en-US"/>
        </w:rPr>
        <w:tab/>
        <w:t xml:space="preserve">Lecarme, O. &amp; Delvare, K. </w:t>
      </w:r>
      <w:r w:rsidRPr="000C04D0">
        <w:rPr>
          <w:rFonts w:ascii="Calibri" w:hAnsi="Calibri" w:cs="Calibri"/>
          <w:i/>
          <w:iCs/>
          <w:lang w:val="en-US"/>
        </w:rPr>
        <w:t>The book of GIMP: A complete guide to nearly everything</w:t>
      </w:r>
      <w:r w:rsidRPr="000C04D0">
        <w:rPr>
          <w:rFonts w:ascii="Calibri" w:hAnsi="Calibri" w:cs="Calibri"/>
          <w:lang w:val="en-US"/>
        </w:rPr>
        <w:t>. (No Starch Press, 2013).</w:t>
      </w:r>
    </w:p>
    <w:p w14:paraId="28EA4A7B"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16.</w:t>
      </w:r>
      <w:r w:rsidRPr="000C04D0">
        <w:rPr>
          <w:rFonts w:ascii="Calibri" w:hAnsi="Calibri" w:cs="Calibri"/>
          <w:lang w:val="en-US"/>
        </w:rPr>
        <w:tab/>
        <w:t xml:space="preserve">Peck, A. </w:t>
      </w:r>
      <w:r w:rsidRPr="000C04D0">
        <w:rPr>
          <w:rFonts w:ascii="Calibri" w:hAnsi="Calibri" w:cs="Calibri"/>
          <w:i/>
          <w:iCs/>
          <w:lang w:val="en-US"/>
        </w:rPr>
        <w:t>Beginning gimp: From novice to professional</w:t>
      </w:r>
      <w:r w:rsidRPr="000C04D0">
        <w:rPr>
          <w:rFonts w:ascii="Calibri" w:hAnsi="Calibri" w:cs="Calibri"/>
          <w:lang w:val="en-US"/>
        </w:rPr>
        <w:t>. (Apress, 2006).</w:t>
      </w:r>
    </w:p>
    <w:p w14:paraId="3F382B7F"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lastRenderedPageBreak/>
        <w:t>17.</w:t>
      </w:r>
      <w:r w:rsidRPr="000C04D0">
        <w:rPr>
          <w:rFonts w:ascii="Calibri" w:hAnsi="Calibri" w:cs="Calibri"/>
          <w:lang w:val="en-US"/>
        </w:rPr>
        <w:tab/>
        <w:t xml:space="preserve">Beltzung, B. </w:t>
      </w:r>
      <w:r w:rsidRPr="000C04D0">
        <w:rPr>
          <w:rFonts w:ascii="Calibri" w:hAnsi="Calibri" w:cs="Calibri"/>
          <w:i/>
          <w:iCs/>
          <w:lang w:val="en-US"/>
        </w:rPr>
        <w:t>et al.</w:t>
      </w:r>
      <w:r w:rsidRPr="000C04D0">
        <w:rPr>
          <w:rFonts w:ascii="Calibri" w:hAnsi="Calibri" w:cs="Calibri"/>
          <w:lang w:val="en-US"/>
        </w:rPr>
        <w:t xml:space="preserve"> To draw or not to draw: understanding the temporal organization of drawing behaviour using fractal analyses. </w:t>
      </w:r>
      <w:r w:rsidRPr="000C04D0">
        <w:rPr>
          <w:rFonts w:ascii="Calibri" w:hAnsi="Calibri" w:cs="Calibri"/>
          <w:i/>
          <w:iCs/>
          <w:lang w:val="en-US"/>
        </w:rPr>
        <w:t>bioRxiv</w:t>
      </w:r>
      <w:r w:rsidRPr="000C04D0">
        <w:rPr>
          <w:rFonts w:ascii="Calibri" w:hAnsi="Calibri" w:cs="Calibri"/>
          <w:lang w:val="en-US"/>
        </w:rPr>
        <w:t xml:space="preserve"> (2021) doi:10.1101/2021.08.29.458053.</w:t>
      </w:r>
    </w:p>
    <w:p w14:paraId="68E986AB"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18.</w:t>
      </w:r>
      <w:r w:rsidRPr="000C04D0">
        <w:rPr>
          <w:rFonts w:ascii="Calibri" w:hAnsi="Calibri" w:cs="Calibri"/>
          <w:lang w:val="en-US"/>
        </w:rPr>
        <w:tab/>
        <w:t xml:space="preserve">Stadnitski, T. Measuring fractality. </w:t>
      </w:r>
      <w:r w:rsidRPr="000C04D0">
        <w:rPr>
          <w:rFonts w:ascii="Calibri" w:hAnsi="Calibri" w:cs="Calibri"/>
          <w:i/>
          <w:iCs/>
          <w:lang w:val="en-US"/>
        </w:rPr>
        <w:t>Front. Physiol.</w:t>
      </w:r>
      <w:r w:rsidRPr="000C04D0">
        <w:rPr>
          <w:rFonts w:ascii="Calibri" w:hAnsi="Calibri" w:cs="Calibri"/>
          <w:lang w:val="en-US"/>
        </w:rPr>
        <w:t xml:space="preserve"> 13 (2012).</w:t>
      </w:r>
    </w:p>
    <w:p w14:paraId="61E03EA9"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19.</w:t>
      </w:r>
      <w:r w:rsidRPr="000C04D0">
        <w:rPr>
          <w:rFonts w:ascii="Calibri" w:hAnsi="Calibri" w:cs="Calibri"/>
          <w:lang w:val="en-US"/>
        </w:rPr>
        <w:tab/>
        <w:t>Stadnytska, T., Braun, S. &amp; Werner, J. Analyzing Fractal Dynamics Employing R. 29 (2010).</w:t>
      </w:r>
    </w:p>
    <w:p w14:paraId="72D0D2DA"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20.</w:t>
      </w:r>
      <w:r w:rsidRPr="000C04D0">
        <w:rPr>
          <w:rFonts w:ascii="Calibri" w:hAnsi="Calibri" w:cs="Calibri"/>
          <w:lang w:val="en-US"/>
        </w:rPr>
        <w:tab/>
        <w:t>Karagiannis, T., Molle, M. &amp; Faloutsos, M. Understanding the Limitations of Estimation Methods for Long-Range Dependence. 23 (2006).</w:t>
      </w:r>
    </w:p>
    <w:p w14:paraId="5035DFE4"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21.</w:t>
      </w:r>
      <w:r w:rsidRPr="000C04D0">
        <w:rPr>
          <w:rFonts w:ascii="Calibri" w:hAnsi="Calibri" w:cs="Calibri"/>
          <w:lang w:val="en-US"/>
        </w:rPr>
        <w:tab/>
        <w:t xml:space="preserve">Delignières, D., Torre, K. &amp; Lemoine, L. Methodological issues in the application of monofractal analyses in psychological and behavioral research. </w:t>
      </w:r>
      <w:r w:rsidRPr="000C04D0">
        <w:rPr>
          <w:rFonts w:ascii="Calibri" w:hAnsi="Calibri" w:cs="Calibri"/>
          <w:i/>
          <w:iCs/>
          <w:lang w:val="en-US"/>
        </w:rPr>
        <w:t>Nonlinear Dyn. Psychol. Life Sci.</w:t>
      </w:r>
      <w:r w:rsidRPr="000C04D0">
        <w:rPr>
          <w:rFonts w:ascii="Calibri" w:hAnsi="Calibri" w:cs="Calibri"/>
          <w:lang w:val="en-US"/>
        </w:rPr>
        <w:t xml:space="preserve"> </w:t>
      </w:r>
      <w:r w:rsidRPr="000C04D0">
        <w:rPr>
          <w:rFonts w:ascii="Calibri" w:hAnsi="Calibri" w:cs="Calibri"/>
          <w:b/>
          <w:bCs/>
          <w:lang w:val="en-US"/>
        </w:rPr>
        <w:t>9</w:t>
      </w:r>
      <w:r w:rsidRPr="000C04D0">
        <w:rPr>
          <w:rFonts w:ascii="Calibri" w:hAnsi="Calibri" w:cs="Calibri"/>
          <w:lang w:val="en-US"/>
        </w:rPr>
        <w:t>, 435–461 (2005).</w:t>
      </w:r>
    </w:p>
    <w:p w14:paraId="3DDB20D8"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22.</w:t>
      </w:r>
      <w:r w:rsidRPr="000C04D0">
        <w:rPr>
          <w:rFonts w:ascii="Calibri" w:hAnsi="Calibri" w:cs="Calibri"/>
          <w:lang w:val="en-US"/>
        </w:rPr>
        <w:tab/>
        <w:t xml:space="preserve">Signorell, A. </w:t>
      </w:r>
      <w:r w:rsidRPr="000C04D0">
        <w:rPr>
          <w:rFonts w:ascii="Calibri" w:hAnsi="Calibri" w:cs="Calibri"/>
          <w:i/>
          <w:iCs/>
          <w:lang w:val="en-US"/>
        </w:rPr>
        <w:t>et al.</w:t>
      </w:r>
      <w:r w:rsidRPr="000C04D0">
        <w:rPr>
          <w:rFonts w:ascii="Calibri" w:hAnsi="Calibri" w:cs="Calibri"/>
          <w:lang w:val="en-US"/>
        </w:rPr>
        <w:t xml:space="preserve"> DescTools: Tools for descriptive statistics. </w:t>
      </w:r>
      <w:r w:rsidRPr="000C04D0">
        <w:rPr>
          <w:rFonts w:ascii="Calibri" w:hAnsi="Calibri" w:cs="Calibri"/>
          <w:i/>
          <w:iCs/>
          <w:lang w:val="en-US"/>
        </w:rPr>
        <w:t>R Package Version 099</w:t>
      </w:r>
      <w:r w:rsidRPr="000C04D0">
        <w:rPr>
          <w:rFonts w:ascii="Calibri" w:hAnsi="Calibri" w:cs="Calibri"/>
          <w:lang w:val="en-US"/>
        </w:rPr>
        <w:t xml:space="preserve"> </w:t>
      </w:r>
      <w:r w:rsidRPr="000C04D0">
        <w:rPr>
          <w:rFonts w:ascii="Calibri" w:hAnsi="Calibri" w:cs="Calibri"/>
          <w:b/>
          <w:bCs/>
          <w:lang w:val="en-US"/>
        </w:rPr>
        <w:t>18</w:t>
      </w:r>
      <w:r w:rsidRPr="000C04D0">
        <w:rPr>
          <w:rFonts w:ascii="Calibri" w:hAnsi="Calibri" w:cs="Calibri"/>
          <w:lang w:val="en-US"/>
        </w:rPr>
        <w:t>, (2016).</w:t>
      </w:r>
    </w:p>
    <w:p w14:paraId="1A87D158" w14:textId="77777777" w:rsidR="000C04D0" w:rsidRPr="000C04D0" w:rsidRDefault="000C04D0" w:rsidP="000C04D0">
      <w:pPr>
        <w:pStyle w:val="Bibliographie"/>
        <w:rPr>
          <w:rFonts w:ascii="Calibri" w:hAnsi="Calibri" w:cs="Calibri"/>
          <w:lang w:val="en-US"/>
        </w:rPr>
      </w:pPr>
      <w:r w:rsidRPr="000C04D0">
        <w:rPr>
          <w:rFonts w:ascii="Calibri" w:hAnsi="Calibri" w:cs="Calibri"/>
          <w:lang w:val="en-US"/>
        </w:rPr>
        <w:t>23.</w:t>
      </w:r>
      <w:r w:rsidRPr="000C04D0">
        <w:rPr>
          <w:rFonts w:ascii="Calibri" w:hAnsi="Calibri" w:cs="Calibri"/>
          <w:lang w:val="en-US"/>
        </w:rPr>
        <w:tab/>
        <w:t xml:space="preserve">Gray, R. M. </w:t>
      </w:r>
      <w:r w:rsidRPr="000C04D0">
        <w:rPr>
          <w:rFonts w:ascii="Calibri" w:hAnsi="Calibri" w:cs="Calibri"/>
          <w:i/>
          <w:iCs/>
          <w:lang w:val="en-US"/>
        </w:rPr>
        <w:t>Entropy and Information Theory</w:t>
      </w:r>
      <w:r w:rsidRPr="000C04D0">
        <w:rPr>
          <w:rFonts w:ascii="Calibri" w:hAnsi="Calibri" w:cs="Calibri"/>
          <w:lang w:val="en-US"/>
        </w:rPr>
        <w:t>. (Springer Science &amp; Business Media, 2011).</w:t>
      </w:r>
    </w:p>
    <w:p w14:paraId="6776CC65" w14:textId="77777777" w:rsidR="000C04D0" w:rsidRPr="000C04D0" w:rsidRDefault="000C04D0" w:rsidP="000C04D0">
      <w:pPr>
        <w:pStyle w:val="Bibliographie"/>
        <w:rPr>
          <w:rFonts w:ascii="Calibri" w:hAnsi="Calibri" w:cs="Calibri"/>
        </w:rPr>
      </w:pPr>
      <w:r w:rsidRPr="000C04D0">
        <w:rPr>
          <w:rFonts w:ascii="Calibri" w:hAnsi="Calibri" w:cs="Calibri"/>
          <w:lang w:val="en-US"/>
        </w:rPr>
        <w:t>24.</w:t>
      </w:r>
      <w:r w:rsidRPr="000C04D0">
        <w:rPr>
          <w:rFonts w:ascii="Calibri" w:hAnsi="Calibri" w:cs="Calibri"/>
          <w:lang w:val="en-US"/>
        </w:rPr>
        <w:tab/>
        <w:t xml:space="preserve">Leff, H. S. Entropy, its language, and interpretation. </w:t>
      </w:r>
      <w:r w:rsidRPr="000C04D0">
        <w:rPr>
          <w:rFonts w:ascii="Calibri" w:hAnsi="Calibri" w:cs="Calibri"/>
          <w:i/>
          <w:iCs/>
        </w:rPr>
        <w:t>Found. Phys.</w:t>
      </w:r>
      <w:r w:rsidRPr="000C04D0">
        <w:rPr>
          <w:rFonts w:ascii="Calibri" w:hAnsi="Calibri" w:cs="Calibri"/>
        </w:rPr>
        <w:t xml:space="preserve"> </w:t>
      </w:r>
      <w:r w:rsidRPr="000C04D0">
        <w:rPr>
          <w:rFonts w:ascii="Calibri" w:hAnsi="Calibri" w:cs="Calibri"/>
          <w:b/>
          <w:bCs/>
        </w:rPr>
        <w:t>37</w:t>
      </w:r>
      <w:r w:rsidRPr="000C04D0">
        <w:rPr>
          <w:rFonts w:ascii="Calibri" w:hAnsi="Calibri" w:cs="Calibri"/>
        </w:rPr>
        <w:t>, 1744–1766 (2007).</w:t>
      </w:r>
    </w:p>
    <w:p w14:paraId="6829EBB2" w14:textId="538C3E12" w:rsidR="000C04D0" w:rsidRPr="000C04D0" w:rsidRDefault="000C04D0">
      <w:pPr>
        <w:rPr>
          <w:b/>
          <w:lang w:val="en-GB"/>
        </w:rPr>
      </w:pPr>
      <w:r>
        <w:rPr>
          <w:b/>
          <w:lang w:val="en-GB"/>
        </w:rPr>
        <w:fldChar w:fldCharType="end"/>
      </w:r>
    </w:p>
    <w:sectPr w:rsidR="000C04D0" w:rsidRPr="000C04D0" w:rsidSect="00A0284B">
      <w:pgSz w:w="11906" w:h="16838"/>
      <w:pgMar w:top="1417" w:right="1417" w:bottom="1417"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40910" w16cex:dateUtc="2021-03-23T05: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55806" w14:textId="77777777" w:rsidR="00795036" w:rsidRDefault="00795036" w:rsidP="00670296">
      <w:pPr>
        <w:spacing w:after="0" w:line="240" w:lineRule="auto"/>
      </w:pPr>
      <w:r>
        <w:separator/>
      </w:r>
    </w:p>
  </w:endnote>
  <w:endnote w:type="continuationSeparator" w:id="0">
    <w:p w14:paraId="4BE03385" w14:textId="77777777" w:rsidR="00795036" w:rsidRDefault="00795036" w:rsidP="00670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E32C0" w14:textId="77777777" w:rsidR="00795036" w:rsidRDefault="00795036" w:rsidP="00670296">
      <w:pPr>
        <w:spacing w:after="0" w:line="240" w:lineRule="auto"/>
      </w:pPr>
      <w:r>
        <w:separator/>
      </w:r>
    </w:p>
  </w:footnote>
  <w:footnote w:type="continuationSeparator" w:id="0">
    <w:p w14:paraId="64E71C71" w14:textId="77777777" w:rsidR="00795036" w:rsidRDefault="00795036" w:rsidP="00670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B33A6"/>
    <w:multiLevelType w:val="hybridMultilevel"/>
    <w:tmpl w:val="B5889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5BE"/>
    <w:rsid w:val="00014F28"/>
    <w:rsid w:val="0003656A"/>
    <w:rsid w:val="0005312D"/>
    <w:rsid w:val="0006597B"/>
    <w:rsid w:val="000C04D0"/>
    <w:rsid w:val="000C7817"/>
    <w:rsid w:val="000F59DB"/>
    <w:rsid w:val="00103AC1"/>
    <w:rsid w:val="00107915"/>
    <w:rsid w:val="00126150"/>
    <w:rsid w:val="00136219"/>
    <w:rsid w:val="0016193C"/>
    <w:rsid w:val="00170A96"/>
    <w:rsid w:val="00204311"/>
    <w:rsid w:val="00224536"/>
    <w:rsid w:val="00271E28"/>
    <w:rsid w:val="00294DCA"/>
    <w:rsid w:val="002B1FB1"/>
    <w:rsid w:val="003C4F7B"/>
    <w:rsid w:val="003D63D7"/>
    <w:rsid w:val="003F394F"/>
    <w:rsid w:val="0040547C"/>
    <w:rsid w:val="00406BDF"/>
    <w:rsid w:val="00406DD7"/>
    <w:rsid w:val="004174F7"/>
    <w:rsid w:val="00466E9A"/>
    <w:rsid w:val="004A0194"/>
    <w:rsid w:val="004A3BC4"/>
    <w:rsid w:val="004F047D"/>
    <w:rsid w:val="0051701C"/>
    <w:rsid w:val="005664A7"/>
    <w:rsid w:val="005C3985"/>
    <w:rsid w:val="005C3B2A"/>
    <w:rsid w:val="005C6D7D"/>
    <w:rsid w:val="005D0981"/>
    <w:rsid w:val="005D68D1"/>
    <w:rsid w:val="005F555D"/>
    <w:rsid w:val="006563C6"/>
    <w:rsid w:val="00670296"/>
    <w:rsid w:val="00674B67"/>
    <w:rsid w:val="006822F7"/>
    <w:rsid w:val="006932C6"/>
    <w:rsid w:val="006A6713"/>
    <w:rsid w:val="006B0635"/>
    <w:rsid w:val="006B25BE"/>
    <w:rsid w:val="006F2D1D"/>
    <w:rsid w:val="006F3FCE"/>
    <w:rsid w:val="007215DD"/>
    <w:rsid w:val="00724A71"/>
    <w:rsid w:val="00735F02"/>
    <w:rsid w:val="007470E9"/>
    <w:rsid w:val="00756A2C"/>
    <w:rsid w:val="0077579B"/>
    <w:rsid w:val="0078124D"/>
    <w:rsid w:val="0078688F"/>
    <w:rsid w:val="00795036"/>
    <w:rsid w:val="007A07FF"/>
    <w:rsid w:val="007B5994"/>
    <w:rsid w:val="007B7664"/>
    <w:rsid w:val="007C3F76"/>
    <w:rsid w:val="007E7850"/>
    <w:rsid w:val="007F3797"/>
    <w:rsid w:val="0082361E"/>
    <w:rsid w:val="008308E9"/>
    <w:rsid w:val="008661FE"/>
    <w:rsid w:val="008B6730"/>
    <w:rsid w:val="008C196D"/>
    <w:rsid w:val="008E072D"/>
    <w:rsid w:val="00901126"/>
    <w:rsid w:val="00920220"/>
    <w:rsid w:val="0093085E"/>
    <w:rsid w:val="00943309"/>
    <w:rsid w:val="009824FB"/>
    <w:rsid w:val="00991E95"/>
    <w:rsid w:val="00993F77"/>
    <w:rsid w:val="00997118"/>
    <w:rsid w:val="009C7158"/>
    <w:rsid w:val="009E3AD9"/>
    <w:rsid w:val="009E5F46"/>
    <w:rsid w:val="00A0284B"/>
    <w:rsid w:val="00A05847"/>
    <w:rsid w:val="00A712B3"/>
    <w:rsid w:val="00A83503"/>
    <w:rsid w:val="00AB1137"/>
    <w:rsid w:val="00AF0AA2"/>
    <w:rsid w:val="00B34E82"/>
    <w:rsid w:val="00B43B3B"/>
    <w:rsid w:val="00B973F0"/>
    <w:rsid w:val="00BA0A18"/>
    <w:rsid w:val="00BA5166"/>
    <w:rsid w:val="00BE71AF"/>
    <w:rsid w:val="00C801EB"/>
    <w:rsid w:val="00D13430"/>
    <w:rsid w:val="00D358C3"/>
    <w:rsid w:val="00D4519C"/>
    <w:rsid w:val="00D64936"/>
    <w:rsid w:val="00D847D5"/>
    <w:rsid w:val="00DE3580"/>
    <w:rsid w:val="00DF540A"/>
    <w:rsid w:val="00E871D7"/>
    <w:rsid w:val="00EC4CF9"/>
    <w:rsid w:val="00EC732D"/>
    <w:rsid w:val="00F20944"/>
    <w:rsid w:val="00F40738"/>
    <w:rsid w:val="00F46619"/>
    <w:rsid w:val="00F641E4"/>
    <w:rsid w:val="00F66D4F"/>
    <w:rsid w:val="00F85213"/>
    <w:rsid w:val="00FA7AC6"/>
    <w:rsid w:val="00FA7D2A"/>
    <w:rsid w:val="00FC42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35342"/>
  <w15:chartTrackingRefBased/>
  <w15:docId w15:val="{580A8DFB-5827-4EE0-99B8-20EADBCC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5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6B25BE"/>
    <w:rPr>
      <w:sz w:val="16"/>
      <w:szCs w:val="16"/>
    </w:rPr>
  </w:style>
  <w:style w:type="paragraph" w:styleId="Commentaire">
    <w:name w:val="annotation text"/>
    <w:basedOn w:val="Normal"/>
    <w:link w:val="CommentaireCar"/>
    <w:uiPriority w:val="99"/>
    <w:semiHidden/>
    <w:unhideWhenUsed/>
    <w:rsid w:val="006B25BE"/>
    <w:pPr>
      <w:spacing w:line="240" w:lineRule="auto"/>
    </w:pPr>
    <w:rPr>
      <w:sz w:val="20"/>
      <w:szCs w:val="20"/>
    </w:rPr>
  </w:style>
  <w:style w:type="character" w:customStyle="1" w:styleId="CommentaireCar">
    <w:name w:val="Commentaire Car"/>
    <w:basedOn w:val="Policepardfaut"/>
    <w:link w:val="Commentaire"/>
    <w:uiPriority w:val="99"/>
    <w:semiHidden/>
    <w:rsid w:val="006B25BE"/>
    <w:rPr>
      <w:sz w:val="20"/>
      <w:szCs w:val="20"/>
    </w:rPr>
  </w:style>
  <w:style w:type="paragraph" w:styleId="Objetducommentaire">
    <w:name w:val="annotation subject"/>
    <w:basedOn w:val="Commentaire"/>
    <w:next w:val="Commentaire"/>
    <w:link w:val="ObjetducommentaireCar"/>
    <w:uiPriority w:val="99"/>
    <w:semiHidden/>
    <w:unhideWhenUsed/>
    <w:rsid w:val="006B25BE"/>
    <w:rPr>
      <w:b/>
      <w:bCs/>
    </w:rPr>
  </w:style>
  <w:style w:type="character" w:customStyle="1" w:styleId="ObjetducommentaireCar">
    <w:name w:val="Objet du commentaire Car"/>
    <w:basedOn w:val="CommentaireCar"/>
    <w:link w:val="Objetducommentaire"/>
    <w:uiPriority w:val="99"/>
    <w:semiHidden/>
    <w:rsid w:val="006B25BE"/>
    <w:rPr>
      <w:b/>
      <w:bCs/>
      <w:sz w:val="20"/>
      <w:szCs w:val="20"/>
    </w:rPr>
  </w:style>
  <w:style w:type="paragraph" w:styleId="Textedebulles">
    <w:name w:val="Balloon Text"/>
    <w:basedOn w:val="Normal"/>
    <w:link w:val="TextedebullesCar"/>
    <w:uiPriority w:val="99"/>
    <w:semiHidden/>
    <w:unhideWhenUsed/>
    <w:rsid w:val="006B25B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25BE"/>
    <w:rPr>
      <w:rFonts w:ascii="Segoe UI" w:hAnsi="Segoe UI" w:cs="Segoe UI"/>
      <w:sz w:val="18"/>
      <w:szCs w:val="18"/>
    </w:rPr>
  </w:style>
  <w:style w:type="table" w:styleId="Grilledutableau">
    <w:name w:val="Table Grid"/>
    <w:basedOn w:val="TableauNormal"/>
    <w:uiPriority w:val="39"/>
    <w:rsid w:val="0017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170A9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D358C3"/>
    <w:rPr>
      <w:color w:val="808080"/>
    </w:rPr>
  </w:style>
  <w:style w:type="paragraph" w:styleId="En-tte">
    <w:name w:val="header"/>
    <w:basedOn w:val="Normal"/>
    <w:link w:val="En-tteCar"/>
    <w:uiPriority w:val="99"/>
    <w:unhideWhenUsed/>
    <w:rsid w:val="00670296"/>
    <w:pPr>
      <w:tabs>
        <w:tab w:val="center" w:pos="4536"/>
        <w:tab w:val="right" w:pos="9072"/>
      </w:tabs>
      <w:spacing w:after="0" w:line="240" w:lineRule="auto"/>
    </w:pPr>
  </w:style>
  <w:style w:type="character" w:customStyle="1" w:styleId="En-tteCar">
    <w:name w:val="En-tête Car"/>
    <w:basedOn w:val="Policepardfaut"/>
    <w:link w:val="En-tte"/>
    <w:uiPriority w:val="99"/>
    <w:rsid w:val="00670296"/>
  </w:style>
  <w:style w:type="paragraph" w:styleId="Pieddepage">
    <w:name w:val="footer"/>
    <w:basedOn w:val="Normal"/>
    <w:link w:val="PieddepageCar"/>
    <w:uiPriority w:val="99"/>
    <w:unhideWhenUsed/>
    <w:rsid w:val="006702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0296"/>
  </w:style>
  <w:style w:type="paragraph" w:styleId="Bibliographie">
    <w:name w:val="Bibliography"/>
    <w:basedOn w:val="Normal"/>
    <w:next w:val="Normal"/>
    <w:uiPriority w:val="37"/>
    <w:unhideWhenUsed/>
    <w:rsid w:val="00997118"/>
    <w:pPr>
      <w:tabs>
        <w:tab w:val="left" w:pos="384"/>
      </w:tabs>
      <w:spacing w:after="0" w:line="480" w:lineRule="auto"/>
      <w:ind w:left="384" w:hanging="384"/>
    </w:pPr>
  </w:style>
  <w:style w:type="character" w:styleId="Numrodeligne">
    <w:name w:val="line number"/>
    <w:basedOn w:val="Policepardfaut"/>
    <w:uiPriority w:val="99"/>
    <w:semiHidden/>
    <w:unhideWhenUsed/>
    <w:rsid w:val="00036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159087">
      <w:bodyDiv w:val="1"/>
      <w:marLeft w:val="0"/>
      <w:marRight w:val="0"/>
      <w:marTop w:val="0"/>
      <w:marBottom w:val="0"/>
      <w:divBdr>
        <w:top w:val="none" w:sz="0" w:space="0" w:color="auto"/>
        <w:left w:val="none" w:sz="0" w:space="0" w:color="auto"/>
        <w:bottom w:val="none" w:sz="0" w:space="0" w:color="auto"/>
        <w:right w:val="none" w:sz="0" w:space="0" w:color="auto"/>
      </w:divBdr>
    </w:div>
    <w:div w:id="1238705511">
      <w:bodyDiv w:val="1"/>
      <w:marLeft w:val="0"/>
      <w:marRight w:val="0"/>
      <w:marTop w:val="0"/>
      <w:marBottom w:val="0"/>
      <w:divBdr>
        <w:top w:val="none" w:sz="0" w:space="0" w:color="auto"/>
        <w:left w:val="none" w:sz="0" w:space="0" w:color="auto"/>
        <w:bottom w:val="none" w:sz="0" w:space="0" w:color="auto"/>
        <w:right w:val="none" w:sz="0" w:space="0" w:color="auto"/>
      </w:divBdr>
    </w:div>
    <w:div w:id="1799302977">
      <w:bodyDiv w:val="1"/>
      <w:marLeft w:val="0"/>
      <w:marRight w:val="0"/>
      <w:marTop w:val="0"/>
      <w:marBottom w:val="0"/>
      <w:divBdr>
        <w:top w:val="none" w:sz="0" w:space="0" w:color="auto"/>
        <w:left w:val="none" w:sz="0" w:space="0" w:color="auto"/>
        <w:bottom w:val="none" w:sz="0" w:space="0" w:color="auto"/>
        <w:right w:val="none" w:sz="0" w:space="0" w:color="auto"/>
      </w:divBdr>
    </w:div>
    <w:div w:id="203353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36346-52A5-43F1-B023-F80514E3B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12539</Words>
  <Characters>68970</Characters>
  <Application>Microsoft Office Word</Application>
  <DocSecurity>0</DocSecurity>
  <Lines>574</Lines>
  <Paragraphs>162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Cédric Sueur</dc:creator>
  <cp:keywords/>
  <dc:description/>
  <cp:lastModifiedBy>Cédric Sueur</cp:lastModifiedBy>
  <cp:revision>9</cp:revision>
  <dcterms:created xsi:type="dcterms:W3CDTF">2021-06-10T12:30:00Z</dcterms:created>
  <dcterms:modified xsi:type="dcterms:W3CDTF">2021-09-07T18:13:00Z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id="sk0NHHJE"/&gt;&lt;style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