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8B14" w14:textId="77777777" w:rsidR="001633A2" w:rsidRPr="00CE21D9" w:rsidRDefault="001633A2" w:rsidP="001633A2">
      <w:pPr>
        <w:pStyle w:val="NormaleWeb"/>
        <w:spacing w:before="0" w:beforeAutospacing="0" w:after="0" w:afterAutospacing="0"/>
        <w:jc w:val="both"/>
        <w:rPr>
          <w:rFonts w:ascii="Palatino Linotype" w:hAnsi="Palatino Linotype"/>
          <w:color w:val="000000" w:themeColor="text1"/>
          <w:lang w:val="en-GB"/>
        </w:rPr>
      </w:pPr>
    </w:p>
    <w:p w14:paraId="7DC32F91" w14:textId="77777777" w:rsidR="001633A2" w:rsidRPr="00CE21D9" w:rsidRDefault="001633A2" w:rsidP="001633A2">
      <w:pPr>
        <w:jc w:val="both"/>
        <w:rPr>
          <w:rFonts w:ascii="Palatino Linotype" w:hAnsi="Palatino Linotype"/>
          <w:color w:val="000000" w:themeColor="text1"/>
          <w:sz w:val="20"/>
          <w:szCs w:val="20"/>
          <w:lang w:val="en-GB"/>
        </w:rPr>
      </w:pPr>
      <w:r w:rsidRPr="00CE21D9">
        <w:rPr>
          <w:rStyle w:val="Enfasigrassetto"/>
          <w:rFonts w:ascii="Palatino Linotype" w:eastAsiaTheme="majorEastAsia" w:hAnsi="Palatino Linotype"/>
          <w:color w:val="000000" w:themeColor="text1"/>
          <w:sz w:val="20"/>
          <w:szCs w:val="20"/>
          <w:lang w:val="en-GB"/>
        </w:rPr>
        <w:t>Table S1.</w:t>
      </w:r>
      <w:r w:rsidRPr="00CE21D9">
        <w:rPr>
          <w:rFonts w:ascii="Palatino Linotype" w:hAnsi="Palatino Linotype"/>
          <w:color w:val="000000" w:themeColor="text1"/>
          <w:sz w:val="20"/>
          <w:szCs w:val="20"/>
          <w:lang w:val="en-GB"/>
        </w:rPr>
        <w:t xml:space="preserve"> Results for the linear model predicting age at admission as a function of trimester, diagnosis, sex, and admission type, including all possible interactions, estimated with heteroskedasticity-consistent standard errors (HC3).  </w:t>
      </w:r>
    </w:p>
    <w:tbl>
      <w:tblPr>
        <w:tblW w:w="6905" w:type="dxa"/>
        <w:jc w:val="center"/>
        <w:tblLook w:val="04A0" w:firstRow="1" w:lastRow="0" w:firstColumn="1" w:lastColumn="0" w:noHBand="0" w:noVBand="1"/>
      </w:tblPr>
      <w:tblGrid>
        <w:gridCol w:w="4305"/>
        <w:gridCol w:w="1300"/>
        <w:gridCol w:w="1300"/>
      </w:tblGrid>
      <w:tr w:rsidR="001633A2" w:rsidRPr="00CE21D9" w14:paraId="6A816101" w14:textId="77777777" w:rsidTr="005B1943">
        <w:trPr>
          <w:trHeight w:val="320"/>
          <w:jc w:val="center"/>
        </w:trPr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04BB72" w14:textId="77777777" w:rsidR="001633A2" w:rsidRPr="00CE21D9" w:rsidRDefault="001633A2" w:rsidP="005B1943">
            <w:pPr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  <w:t>Effect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7E24E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b/>
                <w:bCs/>
                <w:i/>
                <w:iCs/>
                <w:color w:val="000000" w:themeColor="text1"/>
                <w:sz w:val="20"/>
                <w:szCs w:val="20"/>
              </w:rPr>
              <w:t>F</w:t>
            </w:r>
            <w:r w:rsidRPr="00CE21D9"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  <w:t>-value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16E4D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CE21D9"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  <w:t>-value</w:t>
            </w:r>
          </w:p>
        </w:tc>
      </w:tr>
      <w:tr w:rsidR="001633A2" w:rsidRPr="00CE21D9" w14:paraId="3D622066" w14:textId="77777777" w:rsidTr="005B1943">
        <w:trPr>
          <w:trHeight w:val="320"/>
          <w:jc w:val="center"/>
        </w:trPr>
        <w:tc>
          <w:tcPr>
            <w:tcW w:w="43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45D3" w14:textId="77777777" w:rsidR="001633A2" w:rsidRPr="00CE21D9" w:rsidRDefault="001633A2" w:rsidP="005B194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Trimester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56B0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6.78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9020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  <w:t>0.01</w:t>
            </w:r>
          </w:p>
        </w:tc>
      </w:tr>
      <w:tr w:rsidR="001633A2" w:rsidRPr="00CE21D9" w14:paraId="0F72A44A" w14:textId="77777777" w:rsidTr="005B1943">
        <w:trPr>
          <w:trHeight w:val="320"/>
          <w:jc w:val="center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BDCC" w14:textId="77777777" w:rsidR="001633A2" w:rsidRPr="00CE21D9" w:rsidRDefault="001633A2" w:rsidP="005B194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Diagnosis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B25A9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14.59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831C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1633A2" w:rsidRPr="00CE21D9" w14:paraId="770FE66B" w14:textId="77777777" w:rsidTr="005B1943">
        <w:trPr>
          <w:trHeight w:val="320"/>
          <w:jc w:val="center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5990" w14:textId="77777777" w:rsidR="001633A2" w:rsidRPr="00CE21D9" w:rsidRDefault="001633A2" w:rsidP="005B194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C960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9.37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161A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1633A2" w:rsidRPr="00CE21D9" w14:paraId="742A7DC3" w14:textId="77777777" w:rsidTr="005B1943">
        <w:trPr>
          <w:trHeight w:val="320"/>
          <w:jc w:val="center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8431" w14:textId="77777777" w:rsidR="001633A2" w:rsidRPr="00CE21D9" w:rsidRDefault="001633A2" w:rsidP="005B194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Admission type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263E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8.06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D536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  <w:t>0.005</w:t>
            </w:r>
          </w:p>
        </w:tc>
      </w:tr>
      <w:tr w:rsidR="001633A2" w:rsidRPr="00CE21D9" w14:paraId="67E7B097" w14:textId="77777777" w:rsidTr="005B1943">
        <w:trPr>
          <w:trHeight w:val="320"/>
          <w:jc w:val="center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9981" w14:textId="77777777" w:rsidR="001633A2" w:rsidRPr="00CE21D9" w:rsidRDefault="001633A2" w:rsidP="005B194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Trimester × Diagnosis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A07D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7.98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9ED8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1633A2" w:rsidRPr="00CE21D9" w14:paraId="5317EC6E" w14:textId="77777777" w:rsidTr="005B1943">
        <w:trPr>
          <w:trHeight w:val="320"/>
          <w:jc w:val="center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6EE4" w14:textId="77777777" w:rsidR="001633A2" w:rsidRPr="00CE21D9" w:rsidRDefault="001633A2" w:rsidP="005B194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Trimester × Sex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F918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0.37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E683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0.54</w:t>
            </w:r>
          </w:p>
        </w:tc>
      </w:tr>
      <w:tr w:rsidR="001633A2" w:rsidRPr="00CE21D9" w14:paraId="5259AFB3" w14:textId="77777777" w:rsidTr="005B1943">
        <w:trPr>
          <w:trHeight w:val="320"/>
          <w:jc w:val="center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624AE" w14:textId="77777777" w:rsidR="001633A2" w:rsidRPr="00CE21D9" w:rsidRDefault="001633A2" w:rsidP="005B194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Diagnosis × Sex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168E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2.72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1C48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  <w:t>0.04</w:t>
            </w:r>
          </w:p>
        </w:tc>
      </w:tr>
      <w:tr w:rsidR="001633A2" w:rsidRPr="00CE21D9" w14:paraId="3CEC1ED8" w14:textId="77777777" w:rsidTr="005B1943">
        <w:trPr>
          <w:trHeight w:val="320"/>
          <w:jc w:val="center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530C" w14:textId="77777777" w:rsidR="001633A2" w:rsidRPr="00CE21D9" w:rsidRDefault="001633A2" w:rsidP="005B194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Trimester × Admission type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D836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5.07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7C30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  <w:t>0.02</w:t>
            </w:r>
          </w:p>
        </w:tc>
      </w:tr>
      <w:tr w:rsidR="001633A2" w:rsidRPr="00CE21D9" w14:paraId="2C45D8EF" w14:textId="77777777" w:rsidTr="005B1943">
        <w:trPr>
          <w:trHeight w:val="320"/>
          <w:jc w:val="center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2367" w14:textId="77777777" w:rsidR="001633A2" w:rsidRPr="00CE21D9" w:rsidRDefault="001633A2" w:rsidP="005B194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Diagnosis × Admission type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0594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0.73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CC77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0.53</w:t>
            </w:r>
          </w:p>
        </w:tc>
      </w:tr>
      <w:tr w:rsidR="001633A2" w:rsidRPr="00CE21D9" w14:paraId="3F7EF9A8" w14:textId="77777777" w:rsidTr="005B1943">
        <w:trPr>
          <w:trHeight w:val="320"/>
          <w:jc w:val="center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0B4A" w14:textId="77777777" w:rsidR="001633A2" w:rsidRPr="00CE21D9" w:rsidRDefault="001633A2" w:rsidP="005B194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Sex × Admission type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CDC8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3876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0.19</w:t>
            </w:r>
          </w:p>
        </w:tc>
      </w:tr>
      <w:tr w:rsidR="001633A2" w:rsidRPr="00CE21D9" w14:paraId="0BAABB6C" w14:textId="77777777" w:rsidTr="005B1943">
        <w:trPr>
          <w:trHeight w:val="320"/>
          <w:jc w:val="center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865D" w14:textId="77777777" w:rsidR="001633A2" w:rsidRPr="00CE21D9" w:rsidRDefault="001633A2" w:rsidP="005B194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Trimester × Diagnosis × Sex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5993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3.17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5AA8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b/>
                <w:bCs/>
                <w:color w:val="000000" w:themeColor="text1"/>
                <w:sz w:val="20"/>
                <w:szCs w:val="20"/>
              </w:rPr>
              <w:t>0.02</w:t>
            </w:r>
          </w:p>
        </w:tc>
      </w:tr>
      <w:tr w:rsidR="001633A2" w:rsidRPr="00CE21D9" w14:paraId="2BD3904E" w14:textId="77777777" w:rsidTr="005B1943">
        <w:trPr>
          <w:trHeight w:val="320"/>
          <w:jc w:val="center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D04A" w14:textId="77777777" w:rsidR="001633A2" w:rsidRPr="00CE21D9" w:rsidRDefault="001633A2" w:rsidP="005B194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Trimester × Diagnosis × Admission type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673E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1.29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B6DA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0.28</w:t>
            </w:r>
          </w:p>
        </w:tc>
      </w:tr>
      <w:tr w:rsidR="001633A2" w:rsidRPr="00CE21D9" w14:paraId="534595AB" w14:textId="77777777" w:rsidTr="005B1943">
        <w:trPr>
          <w:trHeight w:val="320"/>
          <w:jc w:val="center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C245" w14:textId="77777777" w:rsidR="001633A2" w:rsidRPr="00CE21D9" w:rsidRDefault="001633A2" w:rsidP="005B194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Trimester × Sex × Admission type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CB47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2.61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2029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0.11</w:t>
            </w:r>
          </w:p>
        </w:tc>
      </w:tr>
      <w:tr w:rsidR="001633A2" w:rsidRPr="00CE21D9" w14:paraId="5282BE88" w14:textId="77777777" w:rsidTr="005B1943">
        <w:trPr>
          <w:trHeight w:val="320"/>
          <w:jc w:val="center"/>
        </w:trPr>
        <w:tc>
          <w:tcPr>
            <w:tcW w:w="430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8B939E" w14:textId="77777777" w:rsidR="001633A2" w:rsidRPr="00CE21D9" w:rsidRDefault="001633A2" w:rsidP="005B194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Diagnosis × Sex × Admission type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AAEDB7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0.84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06E4CBC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0.47</w:t>
            </w:r>
          </w:p>
        </w:tc>
      </w:tr>
      <w:tr w:rsidR="001633A2" w:rsidRPr="00CE21D9" w14:paraId="7A359B31" w14:textId="77777777" w:rsidTr="005B1943">
        <w:trPr>
          <w:trHeight w:val="320"/>
          <w:jc w:val="center"/>
        </w:trPr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4595E" w14:textId="77777777" w:rsidR="001633A2" w:rsidRPr="00CE21D9" w:rsidRDefault="001633A2" w:rsidP="005B1943">
            <w:pPr>
              <w:rPr>
                <w:rFonts w:ascii="Palatino Linotype" w:hAnsi="Palatino Linotype"/>
                <w:color w:val="000000" w:themeColor="text1"/>
                <w:sz w:val="20"/>
                <w:szCs w:val="20"/>
                <w:lang w:val="en-GB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  <w:lang w:val="en-GB"/>
              </w:rPr>
              <w:t>Trimester × Diagnosis × Sex × Admission type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7575EA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97B22" w14:textId="77777777" w:rsidR="001633A2" w:rsidRPr="00CE21D9" w:rsidRDefault="001633A2" w:rsidP="005B1943">
            <w:pPr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CE21D9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0.56</w:t>
            </w:r>
          </w:p>
        </w:tc>
      </w:tr>
    </w:tbl>
    <w:p w14:paraId="758FB0D1" w14:textId="77777777" w:rsidR="001633A2" w:rsidRPr="00CE21D9" w:rsidRDefault="001633A2" w:rsidP="001633A2">
      <w:pPr>
        <w:rPr>
          <w:rFonts w:ascii="Palatino Linotype" w:hAnsi="Palatino Linotype"/>
          <w:color w:val="000000" w:themeColor="text1"/>
          <w:sz w:val="18"/>
          <w:szCs w:val="18"/>
          <w:lang w:val="en-GB"/>
        </w:rPr>
      </w:pPr>
      <w:r w:rsidRPr="00CE21D9">
        <w:rPr>
          <w:rFonts w:ascii="Palatino Linotype" w:hAnsi="Palatino Linotype"/>
          <w:i/>
          <w:iCs/>
          <w:color w:val="000000" w:themeColor="text1"/>
          <w:sz w:val="18"/>
          <w:szCs w:val="18"/>
          <w:lang w:val="en-GB"/>
        </w:rPr>
        <w:t xml:space="preserve">Notes: </w:t>
      </w:r>
      <w:r w:rsidRPr="00CE21D9">
        <w:rPr>
          <w:rFonts w:ascii="Palatino Linotype" w:hAnsi="Palatino Linotype"/>
          <w:color w:val="000000" w:themeColor="text1"/>
          <w:sz w:val="18"/>
          <w:szCs w:val="18"/>
          <w:lang w:val="en-GB"/>
        </w:rPr>
        <w:t>Significant main effects and interactions are highlighted in bold.</w:t>
      </w:r>
    </w:p>
    <w:p w14:paraId="247F3218" w14:textId="77777777" w:rsidR="001633A2" w:rsidRPr="00CE21D9" w:rsidRDefault="001633A2" w:rsidP="001633A2">
      <w:pPr>
        <w:spacing w:after="0" w:line="240" w:lineRule="auto"/>
        <w:jc w:val="both"/>
        <w:textAlignment w:val="baseline"/>
        <w:rPr>
          <w:rStyle w:val="Enfasigrassetto"/>
          <w:rFonts w:ascii="Palatino Linotype" w:eastAsiaTheme="majorEastAsia" w:hAnsi="Palatino Linotype"/>
          <w:color w:val="000000" w:themeColor="text1"/>
          <w:sz w:val="20"/>
          <w:szCs w:val="20"/>
          <w:lang w:val="en-GB"/>
        </w:rPr>
      </w:pPr>
    </w:p>
    <w:p w14:paraId="655E9E77" w14:textId="77777777" w:rsidR="001633A2" w:rsidRDefault="001633A2"/>
    <w:sectPr w:rsidR="001633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A2"/>
    <w:rsid w:val="001633A2"/>
    <w:rsid w:val="0046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FBF11D"/>
  <w15:chartTrackingRefBased/>
  <w15:docId w15:val="{D99FE00B-3C86-A342-89D1-9A8205F1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3A2"/>
  </w:style>
  <w:style w:type="paragraph" w:styleId="Titolo1">
    <w:name w:val="heading 1"/>
    <w:basedOn w:val="Normale"/>
    <w:next w:val="Normale"/>
    <w:link w:val="Titolo1Carattere"/>
    <w:uiPriority w:val="9"/>
    <w:qFormat/>
    <w:rsid w:val="00163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3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3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3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3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3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3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3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3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3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3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3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33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33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33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33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33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33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3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3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3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3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3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33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33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33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3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33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33A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16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nfasigrassetto">
    <w:name w:val="Strong"/>
    <w:basedOn w:val="Carpredefinitoparagrafo"/>
    <w:uiPriority w:val="22"/>
    <w:qFormat/>
    <w:rsid w:val="00163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Barlattani</dc:creator>
  <cp:keywords/>
  <dc:description/>
  <cp:lastModifiedBy>Angelo Barlattani</cp:lastModifiedBy>
  <cp:revision>1</cp:revision>
  <dcterms:created xsi:type="dcterms:W3CDTF">2026-01-13T13:32:00Z</dcterms:created>
  <dcterms:modified xsi:type="dcterms:W3CDTF">2026-01-13T13:32:00Z</dcterms:modified>
</cp:coreProperties>
</file>