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AA5249" w14:textId="225335E7" w:rsidR="005D10A9" w:rsidRDefault="005D10A9" w:rsidP="00FA3209">
      <w:pPr>
        <w:pStyle w:val="Heading3"/>
        <w:rPr>
          <w:rFonts w:ascii="Helvetica" w:hAnsi="Helvetica" w:cs="Helvetica"/>
          <w:bCs/>
        </w:rPr>
      </w:pPr>
      <w:r w:rsidRPr="005D10A9">
        <w:rPr>
          <w:rFonts w:ascii="Helvetica" w:hAnsi="Helvetica" w:cs="Helvetica"/>
          <w:b/>
          <w:bCs/>
        </w:rPr>
        <w:t>Supplementary Information</w:t>
      </w:r>
      <w:r w:rsidR="00904A17" w:rsidRPr="00904A17">
        <w:rPr>
          <w:rFonts w:ascii="Helvetica" w:hAnsi="Helvetica" w:cs="Helvetica"/>
          <w:bCs/>
        </w:rPr>
        <w:t xml:space="preserve"> </w:t>
      </w:r>
    </w:p>
    <w:p w14:paraId="7068EA6D" w14:textId="77777777" w:rsidR="00CD291A" w:rsidRPr="00CD291A" w:rsidRDefault="00CD291A" w:rsidP="00CD291A"/>
    <w:p w14:paraId="5359CC34" w14:textId="6D7961D0" w:rsidR="00FA3209" w:rsidRPr="00CD291A" w:rsidRDefault="00FA3209" w:rsidP="00FA3209">
      <w:pPr>
        <w:pStyle w:val="Heading3"/>
        <w:rPr>
          <w:rFonts w:ascii="Helvetica" w:eastAsia="Times New Roman" w:hAnsi="Helvetica" w:cs="Helvetica"/>
          <w:color w:val="404040" w:themeColor="text1" w:themeTint="BF"/>
          <w:szCs w:val="24"/>
        </w:rPr>
      </w:pPr>
      <w:r w:rsidRPr="00CD291A">
        <w:rPr>
          <w:rFonts w:ascii="Helvetica" w:eastAsia="Times New Roman" w:hAnsi="Helvetica" w:cs="Helvetica"/>
          <w:color w:val="404040" w:themeColor="text1" w:themeTint="BF"/>
          <w:szCs w:val="24"/>
        </w:rPr>
        <w:t>Bioinformatics</w:t>
      </w:r>
    </w:p>
    <w:p w14:paraId="36FBBF3B" w14:textId="77777777" w:rsidR="00FA3209" w:rsidRPr="00CD291A" w:rsidRDefault="00FA3209" w:rsidP="00FA3209">
      <w:pPr>
        <w:rPr>
          <w:rFonts w:ascii="Helvetica" w:eastAsia="Times New Roman" w:hAnsi="Helvetica" w:cs="Helvetica"/>
          <w:b/>
          <w:bCs/>
          <w:sz w:val="22"/>
          <w:szCs w:val="22"/>
        </w:rPr>
      </w:pPr>
      <w:r w:rsidRPr="00CD291A">
        <w:rPr>
          <w:rFonts w:ascii="Helvetica" w:eastAsia="Times New Roman" w:hAnsi="Helvetica" w:cs="Helvetica"/>
          <w:b/>
          <w:bCs/>
          <w:sz w:val="22"/>
          <w:szCs w:val="22"/>
        </w:rPr>
        <w:t>16S rRNA amplicon sequencing</w:t>
      </w:r>
    </w:p>
    <w:p w14:paraId="72E41A30" w14:textId="77777777" w:rsidR="00FA3209" w:rsidRPr="00FA3209" w:rsidRDefault="00FA3209" w:rsidP="00FA3209">
      <w:pPr>
        <w:rPr>
          <w:rFonts w:ascii="Helvetica" w:eastAsia="Times New Roman" w:hAnsi="Helvetica" w:cs="Helvetica"/>
          <w:b/>
          <w:bCs/>
          <w:sz w:val="22"/>
          <w:szCs w:val="22"/>
        </w:rPr>
      </w:pPr>
    </w:p>
    <w:p w14:paraId="33CDA8E3" w14:textId="695445AA" w:rsidR="00FA3209" w:rsidRPr="00FA3209" w:rsidRDefault="00FA3209" w:rsidP="00FA3209">
      <w:pPr>
        <w:spacing w:line="480" w:lineRule="auto"/>
        <w:jc w:val="both"/>
        <w:rPr>
          <w:rFonts w:ascii="Helvetica" w:eastAsia="Arial" w:hAnsi="Helvetica" w:cs="Arial"/>
          <w:kern w:val="0"/>
          <w:sz w:val="22"/>
          <w:szCs w:val="20"/>
          <w:lang w:eastAsia="en-GB"/>
          <w14:ligatures w14:val="none"/>
        </w:rPr>
      </w:pPr>
      <w:r w:rsidRPr="00FA3209">
        <w:rPr>
          <w:rFonts w:ascii="Helvetica" w:eastAsia="Arial" w:hAnsi="Helvetica" w:cs="Arial"/>
          <w:kern w:val="0"/>
          <w:sz w:val="22"/>
          <w:szCs w:val="20"/>
          <w:lang w:eastAsia="en-GB"/>
          <w14:ligatures w14:val="none"/>
        </w:rPr>
        <w:t xml:space="preserve">For amplicons samples (n=57), a total of 4,182,655 reads were obtained. Abundance tables were obtained by constructing Operational Taxonomic Units (OTUs), a proxy for species level assignment using a modified workflow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{"citationID":"4aDxZbzu","properties":{"formattedCitation":"[1]","plainCitation":"[1]","noteIndex":0},"citationItems":[{"id":456,"uris":["http://zotero.org/users/17697971/items/LJ68QRSR"],"itemData":{"id":456,"type":"article-journal","container-title":"Nucleic acids research","ISSN":"1362-4962","issue":"6","note":"publisher: Oxford University Press","page":"e37-e37","title":"Insight into biases and sequencing errors for amplicon sequencing with the Illumina MiSeq platform","volume":"43","author":[{"family":"Schirmer","given":"Melanie"},{"family":"Ijaz","given":"Umer Z"},{"family":"D'Amore","given":"Rosalinda"},{"family":"Hall","given":"Neil"},{"family":"Sloan","given":"William T"},{"family":"Quince","given":"Christopher"}],"issued":{"date-parts":[["2015"]]}}}],"schema":"https://github.com/citation-style-language/schema/raw/master/csl-citation.json"}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[1]</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for pre-processing the amplicons dataset as these result in reducing the substitution error rates significantly.  Briefly, the reads trimming, and filtration was performed using Sickle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{"citationID":"18Jbm7p0","properties":{"formattedCitation":"[2]","plainCitation":"[2]","noteIndex":0},"citationItems":[{"id":457,"uris":["http://zotero.org/users/17697971/items/WCRZ8CF7"],"itemData":{"id":457,"type":"software","title":"Sickle: A sliding-window, adaptive, quality-based trimming tool for FastQ files (Version 1.33) [Software]","URL":"https://github.com/najoshi/sickle","author":[{"family":"Joshi","given":"N.A."},{"family":"Fass","given":"J.N."}],"accessed":{"date-parts":[["2024",8,22]]},"issued":{"date-parts":[["2011"]]}}}],"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[2]</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resulting in a total of 4,148,174 reads from n=57 samples. We then used BayesHammer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{"citationID":"EXOMigan","properties":{"formattedCitation":"[3]","plainCitation":"[3]","noteIndex":0},"citationItems":[{"id":458,"uris":["http://zotero.org/users/17697971/items/D7N52GAB"],"itemData":{"id":458,"type":"article-journal","container-title":"BMC genomics","ISSN":"1471-2164","issue":"Suppl 1","note":"publisher: Springer","page":"S7","title":"BayesHammer: Bayesian clustering for error correction in single-cell sequencing","volume":"14","author":[{"family":"Nikolenko","given":"Sergey I"},{"family":"Korobeynikov","given":"Anton I"},{"family":"Alekseyev","given":"Max A"}],"issued":{"date-parts":[["2013"]]}}}],"schema":"https://github.com/citation-style-language/schema/raw/master/csl-citation.json"}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[3]</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to error correct the paired-end reads. The paired-end reads were then overlapped using PandaSeq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{"citationID":"JIlu4OCS","properties":{"formattedCitation":"[4]","plainCitation":"[4]","noteIndex":0},"citationItems":[{"id":459,"uris":["http://zotero.org/users/17697971/items/367XDAHU"],"itemData":{"id":459,"type":"article-journal","container-title":"BMC bioinformatics","note":"publisher: Springer","page":"1-7","title":"PANDAseq: paired-end assembler for illumina sequences","volume":"13","author":[{"family":"Masella","given":"Andre P"},{"family":"Bartram","given":"Andrea K"},{"family":"Truszkowski","given":"Jakub M"},{"family":"Brown","given":"Daniel G"},{"family":"Neufeld","given":"Josh D"}],"issued":{"date-parts":[["2012"]]}}}],"schema":"https://github.com/citation-style-language/schema/raw/master/csl-citation.json"}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[4]</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resulting in 4,058,250 reads from n=57 samples. </w:t>
      </w:r>
    </w:p>
    <w:p w14:paraId="73D4D345" w14:textId="7E45ACD0" w:rsidR="00FA3209" w:rsidRPr="00FA3209" w:rsidRDefault="00FA3209" w:rsidP="00FA3209">
      <w:pPr>
        <w:spacing w:line="480" w:lineRule="auto"/>
        <w:jc w:val="both"/>
        <w:rPr>
          <w:rFonts w:ascii="Helvetica" w:eastAsia="Arial" w:hAnsi="Helvetica" w:cs="Arial"/>
          <w:kern w:val="0"/>
          <w:sz w:val="22"/>
          <w:szCs w:val="20"/>
          <w:lang w:eastAsia="en-GB"/>
          <w14:ligatures w14:val="none"/>
        </w:rPr>
      </w:pPr>
      <w:r w:rsidRPr="00FA3209">
        <w:rPr>
          <w:rFonts w:ascii="Helvetica" w:eastAsia="Arial" w:hAnsi="Helvetica" w:cs="Arial"/>
          <w:kern w:val="0"/>
          <w:sz w:val="22"/>
          <w:szCs w:val="20"/>
          <w:lang w:eastAsia="en-GB"/>
          <w14:ligatures w14:val="none"/>
        </w:rPr>
        <w:t xml:space="preserve">After having obtained consensus sequences from each sample, VSEARCH pipeline was used for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{"citationID":"ZLHDeNrm","properties":{"formattedCitation":"[5]","plainCitation":"[5]","noteIndex":0},"citationItems":[{"id":292,"uris":["http://zotero.org/users/17697971/items/GYVNXPZ9"],"itemData":{"id":292,"type":"article-journal","abstract":"© 2016 Rognes et al. Background VSEARCH is an open source and free of charge multithreaded 64-bit tool for processing and preparing metagenomics, genomics and population genomics nucleotide sequence data. It is designed as an alternative to the widely used USEARCH tool (Edgar, 2010) for which the source code is not publicly available, algorithm details are only rudimentarily described, and only a memory-confined 32-bit version is freely available for academic use. Methods When searching nucleotide sequences, VSEARCH uses a fast heuristic based on words shared by the query and target sequences in order to quickly identify similar sequences, a similar strategy is probably used in USEARCH. VSEARCH then performs optimal global sequence alignment of the query against potential target sequences, using full dynamic pr ogramming instead of the seed-and-extend heuristic used by USEARCH. Pairwise alignments are computed in parallel using vectorisation and multiple threads. Results VSEARCH includes most commands for analysing nucleotide sequences available in USEARCH version 7 and several of those available in USEARCH version 8, including searching (exact or based on global alignment), clustering by similarity (using length pre-sorting, abundance pre-sorting or a user-defined order), chimera detection (reference-based or de novo), dereplication (full length or prefix), pairwise alignment, reverse complementation, sorting, and subsampling. VSEARCH also includes commands for FASTQ file processing, i.e., format detection, filtering, read quality statistics, and merging of paired reads. Furthermore, VSEARCH extends functionality with several new commands and improvements, including shuffling, rereplication, masking of low-complexity sequences with the well-known DUST algorithm, a choice among different similarity definitions, and FASTQ file format conversion. VSEARCH is here shown to be more accurate than USEARCH when performing searching, clustering, chimera detection and subsampling, while on a par with USEARCH for paired-ends read merging. VSEARCH is slower than USEARCH when performing clustering and chimera detection, but significantly faster when performing paired-end reads merging and dereplication. VSEARCH is available at https://github.com/torognes/vsearch under either the BSD 2-clause license or the GNU General Public License version 3.0. Discussion VSEARCH has been shown to be a fast, accurate and full-fledged alternative to USEARCH. A free and open-source versatile tool for sequence analysis is now available to the metagenomics community.","container-title":"PeerJ","DOI":"10.7717/peerj.2584","page":"e2584","title":"VSEARCH: a versatile open source tool for metagenomics","volume":"4","author":[{"family":"Rognes","given":"Torbjørn"},{"family":"Flouri","given":"Tomáš"},{"family":"Nichols","given":"Ben"},{"family":"Quince","given":"Christopher"},{"family":"Mahé","given":"Frédéric"}],"issued":{"date-parts":[["2016"]]}}}],"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[5]</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OTU construction.</w:t>
      </w:r>
    </w:p>
    <w:p w14:paraId="46B9F0DB" w14:textId="77777777" w:rsidR="00FA3209" w:rsidRPr="00FA3209" w:rsidRDefault="00FA3209" w:rsidP="00FA3209">
      <w:pPr>
        <w:spacing w:line="480" w:lineRule="auto"/>
        <w:jc w:val="both"/>
        <w:rPr>
          <w:rFonts w:ascii="Helvetica" w:eastAsia="Arial" w:hAnsi="Helvetica" w:cs="Arial"/>
          <w:kern w:val="0"/>
          <w:sz w:val="22"/>
          <w:szCs w:val="20"/>
          <w:lang w:eastAsia="en-GB"/>
          <w14:ligatures w14:val="none"/>
        </w:rPr>
      </w:pPr>
      <w:r w:rsidRPr="00FA3209">
        <w:rPr>
          <w:rFonts w:ascii="Helvetica" w:eastAsia="Arial" w:hAnsi="Helvetica" w:cs="Arial"/>
          <w:kern w:val="0"/>
          <w:sz w:val="22"/>
          <w:szCs w:val="20"/>
          <w:lang w:eastAsia="en-GB"/>
          <w14:ligatures w14:val="none"/>
        </w:rPr>
        <w:t xml:space="preserve"> The approach is as follows: we pool the reads from different samples together and add barcodes to keep an account of the samples these reads originate from. We then dereplicate the reads and sort them by decreasing abundance and discard singletons. In the next step, the reads are clustered, followed by removing clusters that have chimeric models built from more abundant reads (–uchime_denovo option in vsearch). A few chimeras may be missed, especially if they have parents that are absent from the reads or are present with very low abundance. Therefore, in the next step, we use a reference-based chimera filtering step (–uchime_ref option in vsearch) using a gold database (https://www.mothur.org/w/images/f/f1/Silva.gold.bacteria.zip). The original barcoded reads were matched against clean OTUs with 99% similarity.</w:t>
      </w:r>
    </w:p>
    <w:p w14:paraId="6659E5E3" w14:textId="30F1DD85" w:rsidR="00FA3209" w:rsidRPr="00FA3209" w:rsidRDefault="00FA3209" w:rsidP="00FA3209">
      <w:pPr>
        <w:spacing w:line="480" w:lineRule="auto"/>
        <w:jc w:val="both"/>
        <w:rPr>
          <w:rFonts w:ascii="Helvetica" w:eastAsia="Arial" w:hAnsi="Helvetica" w:cs="Arial"/>
          <w:kern w:val="0"/>
          <w:sz w:val="22"/>
          <w:szCs w:val="20"/>
          <w:lang w:eastAsia="en-GB"/>
          <w14:ligatures w14:val="none"/>
        </w:rPr>
      </w:pPr>
      <w:r w:rsidRPr="00FA3209">
        <w:rPr>
          <w:rFonts w:ascii="Helvetica" w:eastAsia="Arial" w:hAnsi="Helvetica" w:cs="Arial"/>
          <w:kern w:val="0"/>
          <w:sz w:val="22"/>
          <w:szCs w:val="20"/>
          <w:lang w:eastAsia="en-GB"/>
          <w14:ligatures w14:val="none"/>
        </w:rPr>
        <w:t xml:space="preserve">SILVA SSU Ref NR database release v.138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{"citationID":"A34vVlF8","properties":{"formattedCitation":"[6]","plainCitation":"[6]","noteIndex":0},"citationItems":[{"id":461,"uris":["http://zotero.org/users/17697971/items/Y5CZ9JYB"],"itemData":{"id":461,"type":"article-journal","container-title":"Nucleic acids research","ISSN":"0305-1048","issue":"D1","note":"publisher: Oxford University Press","page":"D590-D596","title":"The SILVA ribosomal RNA gene database project: improved data processing and web-based tools","volume":"41","author":[{"family":"Quast","given":"Christian"},{"family":"Pruesse","given":"Elmar"},{"family":"Yilmaz","given":"Pelin"},{"family":"Gerken","given":"Jan"},{"family":"Schweer","given":"Timmy"},{"family":"Yarza","given":"Pablo"},{"family":"Peplies","given":"Jörg"},{"family":"Glöckner","given":"Frank Oliver"}],"issued":{"date-parts":[["2012"]]}}}],"schema":"https://github.com/citation-style-language/schema/raw/master/csl-citation.json"}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[6]</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was used to assign taxonomy and generated the rooted phylogenetic tree (using qiime phylogeny align-to-tree-mafft-fasttree) within the QIIME2 framework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{"citationID":"MoGhHvzY","properties":{"formattedCitation":"[7]","plainCitation":"[7]","noteIndex":0},"citationItems":[{"id":328,"uris":["http://zotero.org/users/17697971/items/MKJ8ZMMX"],"itemData":{"id":328,"type":"article-journal","abstract":"An amendment to this paper has been published and can be accessed via a link at the top of the paper.","container-title":"Nature Biotechnology","DOI":"10.1038/s41587-019-0252-6","ISSN":"1546-1696","issue":"9","page":"1091","title":"Reproducible, interactive, scalable and extensible microbiome data science using QIIME 2","volume":"37","author":[{"family":"Bolyen","given":"Evan"},{"family":"Rideout","given":"Jai Ram"},{"family":"Dillon","given":"Matthew R"},{"family":"Bokulich","given":"Nicholas A"},{"family":"Abnet","given":"Christian C"},{"family":"Al-Ghalith","given":"Gabriel A"},{"family":"Alexander","given":"Harriet"},{"family":"Alm","given":"Eric J"},{"family":"Arumugam","given":"Manimozhiyan"},{"family":"Asnicar","given":"Francesco"},{"family":"Bai","given":"Yang"},{"family":"Bisanz","given":"Jordan E"},{"family":"Bittinger","given":"Kyle"},{"family":"Brejnrod","given":"Asker"},{"family":"Brislawn","given":"Colin J"},{"family":"Brown","given":"C Titus"},{"family":"Callahan","given":"Benjamin J"},{"family":"Caraballo-Rodríguez","given":"Andrés Mauricio"},{"family":"Chase","given":"John"},{"family":"Cope","given":"Emily K"},{"family":"Da Silva","given":"Ricardo"},{"family":"Diener","given":"Christian"},{"family":"Dorrestein","given":"Pieter C"},{"family":"Douglas","given":"Gavin M"},{"family":"Durall","given":"Daniel M"},{"family":"Duvallet","given":"Claire"},{"family":"Edwardson","given":"Christian F"},{"family":"Ernst","given":"Madeleine"},{"family":"Estaki","given":"Mehrbod"},{"family":"Fouquier","given":"Jennifer"},{"family":"Gauglitz","given":"Julia M"},{"family":"Gibbons","given":"Sean M"},{"family":"Gibson","given":"Deanna L"},{"family":"Gonzalez","given":"Antonio"},{"family":"Gorlick","given":"Kestrel"},{"family":"Guo","given":"Jiarong"},{"family":"Hillmann","given":"Benjamin"},{"family":"Holmes","given":"Susan"},{"family":"Holste","given":"Hannes"},{"family":"Huttenhower","given":"Curtis"},{"family":"Huttley","given":"Gavin A"},{"family":"Janssen","given":"Stefan"},{"family":"Jarmusch","given":"Alan K"},{"family":"Jiang","given":"Lingjing"},{"family":"Kaehler","given":"Benjamin D"},{"family":"Kang","given":"Kyo Bin"},{"family":"Keefe","given":"Christopher R"},{"family":"Keim","given":"Paul"},{"family":"Kelley","given":"Scott T"},{"family":"Knights","given":"Dan"},{"family":"Koester","given":"Irina"},{"family":"Kosciolek","given":"Tomasz"},{"family":"Kreps","given":"Jorden"},{"family":"Langille","given":"Morgan G I"},{"family":"Lee","given":"Joslynn"},{"family":"Ley","given":"Ruth"},{"family":"Liu","given":"Yong-Xin"},{"family":"Loftfield","given":"Erikka"},{"family":"Lozupone","given":"Catherine"},{"family":"Maher","given":"Massoud"},{"family":"Marotz","given":"Clarisse"},{"family":"Martin","given":"Bryan D"},{"family":"McDonald","given":"Daniel"},{"family":"McIver","given":"Lauren J"},{"family":"Melnik","given":"Alexey V"},{"family":"Metcalf","given":"Jessica L"},{"family":"Morgan","given":"Sydney C"},{"family":"Morton","given":"Jamie T"},{"family":"Naimey","given":"Ahmad Turan"},{"family":"Navas-Molina","given":"Jose A"},{"family":"Nothias","given":"Louis Felix"},{"family":"Orchanian","given":"Stephanie B"},{"family":"Pearson","given":"Talima"},{"family":"Peoples","given":"Samuel L"},{"family":"Petras","given":"Daniel"},{"family":"Preuss","given":"Mary Lai"},{"family":"Pruesse","given":"Elmar"},{"family":"Rasmussen","given":"Lasse Buur"},{"family":"Rivers","given":"Adam"},{"family":"Robeson","given":"Michael S"},{"family":"Rosenthal","given":"Patrick"},{"family":"Segata","given":"Nicola"},{"family":"Shaffer","given":"Michael"},{"family":"Shiffer","given":"Arron"},{"family":"Sinha","given":"Rashmi"},{"family":"Song","given":"Se Jin"},{"family":"Spear","given":"John R"},{"family":"Swafford","given":"Austin D"},{"family":"Thompson","given":"Luke R"},{"family":"Torres","given":"Pedro J"},{"family":"Trinh","given":"Pauline"},{"family":"Tripathi","given":"Anupriya"},{"family":"Turnbaugh","given":"Peter J"},{"family":"Ul-Hasan","given":"Sabah"},{"family":"Hooft","given":"Justin J J","non-dropping-particle":"van der"},{"family":"Vargas","given":"Fernando"},{"family":"Vázquez-Baeza","given":"Yoshiki"},{"family":"Vogtmann","given":"Emily"},{"family":"Hippel","given":"Max","non-dropping-particle":"von"},{"family":"Walters","given":"William"},{"family":"Wan","given":"Yunhu"},{"family":"Wang","given":"Mingxun"},{"family":"Warren","given":"Jonathan"},{"family":"Weber","given":"Kyle C"},{"family":"Williamson","given":"Charles H D"},{"family":"Willis","given":"Amy D"},{"family":"Xu","given":"Zhenjiang Zech"},{"family":"Zaneveld","given":"Jesse R"},{"family":"Zhang","given":"Yilong"},{"family":"Zhu","given":"Qiyun"},{"family":"Knight","given":"Rob"},{"family":"Caporaso","given":"J Gregory"}],"issued":{"date-parts":[["2019"]]}}}],"schema":"https://github.com/citation-style-language/schema/raw/master/csl-citation.json"}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[7]</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Furthermore, PICRUSt2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{"citationID":"XpYqbhwS","properties":{"formattedCitation":"[8]","plainCitation":"[8]","noteIndex":0},"citationItems":[{"id":463,"uris":["http://zotero.org/users/17697971/items/JIDXA7ZP"],"itemData":{"id":463,"type":"article-journal","container-title":"Nature biotechnology","ISSN":"1087-0156","issue":"6","note":"publisher: Nature Publishing Group US New York","page":"685-688","title":"PICRUSt2 for prediction of metagenome functions","volume":"38","author":[{"family":"Douglas","given":"Gavin M"},{"family":"Maffei","given":"Vincent J"},{"family":"Zaneveld","given":"Jesse R"},{"family":"Yurgel","given":"Svetlana N"},{"family":"Brown","given":"James R"},{"family":"Taylor","given":"Christopher M"},{"family":"Huttenhower","given":"Curtis"},{"family":"Langille","given":"Morgan G I"}],"issued":{"date-parts":[["2020"]]}}}],"schema":"https://github.com/citation-style-language/schema/raw/master/csl-citation.json"}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[8]</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was used within the QIIME2 environment </w:t>
      </w:r>
      <w:r w:rsidRPr="00FA3209">
        <w:rPr>
          <w:rFonts w:ascii="Helvetica" w:eastAsia="Arial" w:hAnsi="Helvetica" w:cs="Arial"/>
          <w:kern w:val="0"/>
          <w:sz w:val="22"/>
          <w:szCs w:val="20"/>
          <w:lang w:eastAsia="en-GB"/>
          <w14:ligatures w14:val="none"/>
        </w:rPr>
        <w:lastRenderedPageBreak/>
        <w:t xml:space="preserve">to recover KEGG enzymes and MetaCyc pathway predictions. For this purpose, we used the parameters --p-hsp-method pic --p-max-nsti 2 in qiime picrust2 full-pipeline [https://github.com/gavinmdouglas/q2-picrust2]. QIIME2 was also used to generate a final BIOM file that combined abundance information with the new taxonomy and which along with the newly phylogenetic tree, and the meta data was used for the downstream statistical analysis. Note that using OTUs based approach, we produced a final n=57 x P=5,966 OTUs abundance table with the summary statistics of OTUs per sample as [1st Quartile: 43,183; Median: 49,010; Mean: 54,206; 3rd Quartile: 69,061; and Max: 84,220]. Note that, prior to using VSEARCH pipeline, we have also tried to recover Amplicon Sequencing Variants (ASVs) using DADA2 </w:t>
      </w:r>
      <w:r w:rsidRPr="00FA3209">
        <w:rPr>
          <w:rFonts w:ascii="Helvetica" w:eastAsia="Arial" w:hAnsi="Helvetica" w:cs="Arial"/>
          <w:kern w:val="0"/>
          <w:sz w:val="22"/>
          <w:szCs w:val="20"/>
          <w:lang w:eastAsia="en-GB"/>
          <w14:ligatures w14:val="none"/>
        </w:rPr>
        <w:fldChar w:fldCharType="begin"/>
      </w:r>
      <w:r w:rsidR="007436F8">
        <w:rPr>
          <w:rFonts w:ascii="Helvetica" w:eastAsia="Arial" w:hAnsi="Helvetica" w:cs="Arial"/>
          <w:kern w:val="0"/>
          <w:sz w:val="22"/>
          <w:szCs w:val="20"/>
          <w:lang w:eastAsia="en-GB"/>
          <w14:ligatures w14:val="none"/>
        </w:rPr>
        <w:instrText xml:space="preserve"> ADDIN ZOTERO_ITEM CSL_CITATION {"citationID":"LgzB62UZ","properties":{"formattedCitation":"[9]","plainCitation":"[9]","noteIndex":0},"citationItems":[{"id":420,"uris":["http://zotero.org/users/17697971/items/AIVH5DIF"],"itemData":{"id":420,"type":"article-journal","container-title":"The ISME Journal","DOI":"10.1038/ismej.2017.119","ISSN":"1751-7362","issue":"12","page":"2639-2643","title":"Exact sequence variants should replace operational taxonomic units in marker-gene data analysis","volume":"11","author":[{"family":"Callahan","given":"Benjamin J"},{"family":"McMurdie","given":"Paul J"},{"family":"Holmes","given":"Susan P"}],"issued":{"date-parts":[["2017",12,21]]}}}],"schema":"https://github.com/citation-style-language/schema/raw/master/csl-citation.json"} </w:instrText>
      </w:r>
      <w:r w:rsidRPr="00FA3209">
        <w:rPr>
          <w:rFonts w:ascii="Helvetica" w:eastAsia="Arial" w:hAnsi="Helvetica" w:cs="Arial"/>
          <w:kern w:val="0"/>
          <w:sz w:val="22"/>
          <w:szCs w:val="20"/>
          <w:lang w:eastAsia="en-GB"/>
          <w14:ligatures w14:val="none"/>
        </w:rPr>
        <w:fldChar w:fldCharType="separate"/>
      </w:r>
      <w:r w:rsidR="007436F8" w:rsidRPr="007436F8">
        <w:rPr>
          <w:rFonts w:ascii="Helvetica" w:hAnsi="Helvetica" w:cs="Helvetica"/>
          <w:sz w:val="22"/>
        </w:rPr>
        <w:t>[9]</w:t>
      </w:r>
      <w:r w:rsidRPr="00FA3209">
        <w:rPr>
          <w:rFonts w:ascii="Helvetica" w:eastAsia="Arial" w:hAnsi="Helvetica" w:cs="Arial"/>
          <w:kern w:val="0"/>
          <w:sz w:val="22"/>
          <w:szCs w:val="20"/>
          <w:lang w:eastAsia="en-GB"/>
          <w14:ligatures w14:val="none"/>
        </w:rPr>
        <w:fldChar w:fldCharType="end"/>
      </w:r>
      <w:r w:rsidRPr="00FA3209">
        <w:rPr>
          <w:rFonts w:ascii="Helvetica" w:eastAsia="Arial" w:hAnsi="Helvetica" w:cs="Arial"/>
          <w:kern w:val="0"/>
          <w:sz w:val="22"/>
          <w:szCs w:val="20"/>
          <w:lang w:eastAsia="en-GB"/>
          <w14:ligatures w14:val="none"/>
        </w:rPr>
        <w:t xml:space="preserve"> algorithm, however, the mean number of ASVs per sample were 12,428 which were lower than the mean number of OTUs per sample, and therefore, we processed the OTUs data further. From PICRUSt2, we recovered: n=57 x P=10,543 KEGG Orthologs abundance table; and a n=57 x P=489 MetaCyc pathways abundance table.</w:t>
      </w:r>
    </w:p>
    <w:p w14:paraId="21D517A0" w14:textId="77777777" w:rsidR="00FA3209" w:rsidRPr="00FA3209" w:rsidRDefault="00FA3209" w:rsidP="00FA3209">
      <w:pPr>
        <w:jc w:val="both"/>
        <w:rPr>
          <w:rFonts w:ascii="Helvetica" w:eastAsia="Times New Roman" w:hAnsi="Helvetica" w:cs="Helvetica"/>
          <w:b/>
          <w:bCs/>
          <w:sz w:val="22"/>
        </w:rPr>
      </w:pPr>
    </w:p>
    <w:p w14:paraId="06F806A8" w14:textId="77777777" w:rsidR="00FA3209" w:rsidRPr="00FA3209" w:rsidRDefault="00FA3209" w:rsidP="00FA3209">
      <w:pPr>
        <w:jc w:val="both"/>
        <w:rPr>
          <w:rFonts w:ascii="Helvetica" w:eastAsia="Times New Roman" w:hAnsi="Helvetica" w:cs="Helvetica"/>
          <w:b/>
          <w:bCs/>
          <w:sz w:val="22"/>
        </w:rPr>
      </w:pPr>
      <w:r w:rsidRPr="00FA3209">
        <w:rPr>
          <w:rFonts w:ascii="Helvetica" w:eastAsia="Times New Roman" w:hAnsi="Helvetica" w:cs="Helvetica"/>
          <w:b/>
          <w:bCs/>
          <w:sz w:val="22"/>
        </w:rPr>
        <w:t>Shotgun Metagenomics</w:t>
      </w:r>
    </w:p>
    <w:p w14:paraId="742410FA" w14:textId="77777777" w:rsidR="00FA3209" w:rsidRPr="00FA3209" w:rsidRDefault="00FA3209" w:rsidP="00FA3209">
      <w:pPr>
        <w:jc w:val="both"/>
        <w:rPr>
          <w:rFonts w:ascii="Helvetica" w:eastAsia="Times New Roman" w:hAnsi="Helvetica" w:cs="Helvetica"/>
          <w:b/>
          <w:bCs/>
          <w:sz w:val="22"/>
        </w:rPr>
      </w:pPr>
    </w:p>
    <w:p w14:paraId="26AC3EA2" w14:textId="5B00B513" w:rsidR="00FA3209" w:rsidRPr="00FA3209" w:rsidRDefault="00FA3209" w:rsidP="00FA3209">
      <w:pPr>
        <w:spacing w:line="480" w:lineRule="auto"/>
        <w:jc w:val="both"/>
        <w:rPr>
          <w:rFonts w:ascii="Helvetica" w:eastAsia="Aptos" w:hAnsi="Helvetica" w:cs="Helvetica"/>
          <w:color w:val="000000"/>
          <w:sz w:val="22"/>
          <w:szCs w:val="22"/>
          <w:shd w:val="clear" w:color="auto" w:fill="FFFFFF"/>
        </w:rPr>
      </w:pPr>
      <w:r w:rsidRPr="00FA3209">
        <w:rPr>
          <w:rFonts w:ascii="Helvetica" w:eastAsia="Aptos" w:hAnsi="Helvetica" w:cs="Helvetica"/>
          <w:bCs/>
          <w:sz w:val="22"/>
          <w:szCs w:val="22"/>
        </w:rPr>
        <w:t xml:space="preserve">For a set of 21 metagenomic samples, the sequencing centre provided adapter-trimmed reads. Subsequently, these reads underwent quality trimming using Sickle </w:t>
      </w:r>
      <w:r w:rsidRPr="00FA3209">
        <w:rPr>
          <w:rFonts w:ascii="Helvetica" w:eastAsia="Aptos" w:hAnsi="Helvetica" w:cs="Helvetica"/>
          <w:bCs/>
          <w:sz w:val="22"/>
          <w:szCs w:val="22"/>
        </w:rPr>
        <w:fldChar w:fldCharType="begin"/>
      </w:r>
      <w:r w:rsidR="007436F8">
        <w:rPr>
          <w:rFonts w:ascii="Helvetica" w:eastAsia="Aptos" w:hAnsi="Helvetica" w:cs="Helvetica"/>
          <w:bCs/>
          <w:sz w:val="22"/>
          <w:szCs w:val="22"/>
        </w:rPr>
        <w:instrText xml:space="preserve"> ADDIN ZOTERO_ITEM CSL_CITATION {"citationID":"U85OSEM4","properties":{"formattedCitation":"[2]","plainCitation":"[2]","noteIndex":0},"citationItems":[{"id":457,"uris":["http://zotero.org/users/17697971/items/WCRZ8CF7"],"itemData":{"id":457,"type":"software","title":"Sickle: A sliding-window, adaptive, quality-based trimming tool for FastQ files (Version 1.33) [Software]","URL":"https://github.com/najoshi/sickle","author":[{"family":"Joshi","given":"N.A."},{"family":"Fass","given":"J.N."}],"accessed":{"date-parts":[["2024",8,22]]},"issued":{"date-parts":[["2011"]]}}}],"schema":"https://github.com/citation-style-language/schema/raw/master/csl-citation.json"} </w:instrText>
      </w:r>
      <w:r w:rsidRPr="00FA3209">
        <w:rPr>
          <w:rFonts w:ascii="Helvetica" w:eastAsia="Aptos" w:hAnsi="Helvetica" w:cs="Helvetica"/>
          <w:bCs/>
          <w:sz w:val="22"/>
          <w:szCs w:val="22"/>
        </w:rPr>
        <w:fldChar w:fldCharType="separate"/>
      </w:r>
      <w:r w:rsidR="007436F8" w:rsidRPr="007436F8">
        <w:rPr>
          <w:rFonts w:ascii="Helvetica" w:hAnsi="Helvetica" w:cs="Helvetica"/>
          <w:sz w:val="22"/>
        </w:rPr>
        <w:t>[2]</w:t>
      </w:r>
      <w:r w:rsidRPr="00FA3209">
        <w:rPr>
          <w:rFonts w:ascii="Helvetica" w:eastAsia="Aptos" w:hAnsi="Helvetica" w:cs="Helvetica"/>
          <w:bCs/>
          <w:sz w:val="22"/>
          <w:szCs w:val="22"/>
        </w:rPr>
        <w:fldChar w:fldCharType="end"/>
      </w:r>
      <w:r w:rsidRPr="00FA3209">
        <w:rPr>
          <w:rFonts w:ascii="Helvetica" w:eastAsia="Aptos" w:hAnsi="Helvetica" w:cs="Helvetica"/>
          <w:bCs/>
          <w:sz w:val="22"/>
          <w:szCs w:val="22"/>
        </w:rPr>
        <w:t xml:space="preserve">. This involved removing reads where the average Phred quality fell below 20 and retaining paired-end reads with a post-trimming length exceeding 50bp.  This gave us a total of 409,081,828 reads from all samples. We aggregated both the forward and reverse reads and conducted a collective assembly for all samples using Megahit. The assembly was performed with the parameters --k-list 27,47,67,87 --kmin-1pass -m 0.95 --min-contig-len 1000 </w:t>
      </w:r>
      <w:r w:rsidRPr="00FA3209">
        <w:rPr>
          <w:rFonts w:ascii="Helvetica" w:eastAsia="Aptos" w:hAnsi="Helvetica" w:cs="Helvetica"/>
          <w:bCs/>
          <w:sz w:val="22"/>
          <w:szCs w:val="22"/>
        </w:rPr>
        <w:fldChar w:fldCharType="begin" w:fldLock="1"/>
      </w:r>
      <w:r w:rsidR="007436F8">
        <w:rPr>
          <w:rFonts w:ascii="Helvetica" w:eastAsia="Aptos" w:hAnsi="Helvetica" w:cs="Helvetica"/>
          <w:bCs/>
          <w:sz w:val="22"/>
          <w:szCs w:val="22"/>
        </w:rPr>
        <w:instrText xml:space="preserve"> ADDIN ZOTERO_ITEM CSL_CITATION {"citationID":"yMJmIAAX","properties":{"formattedCitation":"[10]","plainCitation":"[10]","noteIndex":0},"citationItems":[{"id":"0xU62H9F/gGrxQKgG","uris":["http://www.mendeley.com/documents/?uuid=85efcb36-900c-430a-a533-090f396c8039"],"itemData":{"DOI":"10.1093/bioinformatics/btv033","ISSN":"14602059","PMID":"25609793","abstract":"Summary: MEGAHIT is a NGS de novo assembler for assembling large and complex metagenomics data in a time- and cost-efficient manner. It finished assembling a soil metagenomics dataset with 252</w:instrText>
      </w:r>
      <w:r w:rsidR="007436F8">
        <w:rPr>
          <w:rFonts w:ascii="Cambria Math" w:eastAsia="Aptos" w:hAnsi="Cambria Math" w:cs="Cambria Math"/>
          <w:bCs/>
          <w:sz w:val="22"/>
          <w:szCs w:val="22"/>
        </w:rPr>
        <w:instrText>∈</w:instrText>
      </w:r>
      <w:r w:rsidR="007436F8">
        <w:rPr>
          <w:rFonts w:ascii="Helvetica" w:eastAsia="Aptos" w:hAnsi="Helvetica" w:cs="Helvetica"/>
          <w:bCs/>
          <w:sz w:val="22"/>
          <w:szCs w:val="22"/>
        </w:rPr>
        <w:instrText>Gbps in 44.1 and 99.6</w:instrText>
      </w:r>
      <w:r w:rsidR="007436F8">
        <w:rPr>
          <w:rFonts w:ascii="Cambria Math" w:eastAsia="Aptos" w:hAnsi="Cambria Math" w:cs="Cambria Math"/>
          <w:bCs/>
          <w:sz w:val="22"/>
          <w:szCs w:val="22"/>
        </w:rPr>
        <w:instrText>∈</w:instrText>
      </w:r>
      <w:r w:rsidR="007436F8">
        <w:rPr>
          <w:rFonts w:ascii="Helvetica" w:eastAsia="Aptos" w:hAnsi="Helvetica" w:cs="Helvetica"/>
          <w:bCs/>
          <w:sz w:val="22"/>
          <w:szCs w:val="22"/>
        </w:rPr>
        <w:instrText xml:space="preserve">h on a single computing node with and without a graphics processing unit, respectively. MEGAHIT assembles the data as a whole, i.e. no pre-processing like partitioning and normalization was needed. When compared with previous methods on assembling the soil data, MEGAHIT generated a three-time larger assembly, with longer contig N50 and average contig length; furthermore, 55.8% of the reads were aligned to the assembly, giving a fourfold improvement.","author":[{"dropping-particle":"","family":"Li","given":"Dinghua","non-dropping-particle":"","parse-names":false,"suffix":""},{"dropping-particle":"","family":"Liu","given":"Chi Man","non-dropping-particle":"","parse-names":false,"suffix":""},{"dropping-particle":"","family":"Luo","given":"Ruibang","non-dropping-particle":"","parse-names":false,"suffix":""},{"dropping-particle":"","family":"Sadakane","given":"Kunihiko","non-dropping-particle":"","parse-names":false,"suffix":""},{"dropping-particle":"","family":"Lam","given":"Tak Wah","non-dropping-particle":"","parse-names":false,"suffix":""}],"container-title":"Bioinformatics","id":"ITEM-1","issue":"10","issued":{"date-parts":[["2015"]]},"page":"1674-1676","title":"MEGAHIT: An ultra-fast single-node solution for large and complex metagenomics assembly via succinct de Bruijn graph","type":"article-journal","volume":"31"}}],"schema":"https://github.com/citation-style-language/schema/raw/master/csl-citation.json"} </w:instrText>
      </w:r>
      <w:r w:rsidRPr="00FA3209">
        <w:rPr>
          <w:rFonts w:ascii="Helvetica" w:eastAsia="Aptos" w:hAnsi="Helvetica" w:cs="Helvetica"/>
          <w:bCs/>
          <w:sz w:val="22"/>
          <w:szCs w:val="22"/>
        </w:rPr>
        <w:fldChar w:fldCharType="separate"/>
      </w:r>
      <w:r w:rsidR="007436F8" w:rsidRPr="007436F8">
        <w:rPr>
          <w:rFonts w:ascii="Helvetica" w:hAnsi="Helvetica" w:cs="Helvetica"/>
          <w:sz w:val="22"/>
        </w:rPr>
        <w:t>[10]</w:t>
      </w:r>
      <w:r w:rsidRPr="00FA3209">
        <w:rPr>
          <w:rFonts w:ascii="Helvetica" w:eastAsia="Aptos" w:hAnsi="Helvetica" w:cs="Helvetica"/>
          <w:bCs/>
          <w:sz w:val="22"/>
          <w:szCs w:val="22"/>
        </w:rPr>
        <w:fldChar w:fldCharType="end"/>
      </w:r>
      <w:r w:rsidRPr="00FA3209">
        <w:rPr>
          <w:rFonts w:ascii="Helvetica" w:eastAsia="Aptos" w:hAnsi="Helvetica" w:cs="Helvetica"/>
          <w:bCs/>
          <w:sz w:val="22"/>
          <w:szCs w:val="22"/>
        </w:rPr>
        <w:t xml:space="preserve">. This gave us a total of 391,236 contigs, </w:t>
      </w:r>
      <w:bookmarkStart w:id="0" w:name="_Hlk207114194"/>
      <w:r w:rsidRPr="00FA3209">
        <w:rPr>
          <w:rFonts w:ascii="Helvetica" w:eastAsia="Aptos" w:hAnsi="Helvetica" w:cs="Helvetica"/>
          <w:bCs/>
          <w:sz w:val="22"/>
          <w:szCs w:val="22"/>
        </w:rPr>
        <w:t xml:space="preserve">a total of </w:t>
      </w:r>
      <w:bookmarkStart w:id="1" w:name="_Hlk207114120"/>
      <w:r w:rsidRPr="00FA3209">
        <w:rPr>
          <w:rFonts w:ascii="Helvetica" w:eastAsia="Aptos" w:hAnsi="Helvetica" w:cs="Helvetica"/>
          <w:bCs/>
          <w:sz w:val="22"/>
          <w:szCs w:val="22"/>
        </w:rPr>
        <w:t>1,453,073,008 base pairs</w:t>
      </w:r>
      <w:bookmarkEnd w:id="1"/>
      <w:r w:rsidRPr="00FA3209">
        <w:rPr>
          <w:rFonts w:ascii="Helvetica" w:eastAsia="Aptos" w:hAnsi="Helvetica" w:cs="Helvetica"/>
          <w:bCs/>
          <w:sz w:val="22"/>
          <w:szCs w:val="22"/>
        </w:rPr>
        <w:t xml:space="preserve"> (bp), maximum of 1,627,611 bp, average length of 3,714 bp, and an N50 score of 6,762 bp. </w:t>
      </w:r>
      <w:bookmarkEnd w:id="0"/>
      <w:r w:rsidRPr="00FA3209">
        <w:rPr>
          <w:rFonts w:ascii="Helvetica" w:eastAsia="Aptos" w:hAnsi="Helvetica" w:cs="Helvetica"/>
          <w:bCs/>
          <w:sz w:val="22"/>
          <w:szCs w:val="22"/>
        </w:rPr>
        <w:t xml:space="preserve">We then used MetaWRAP pipeline </w:t>
      </w:r>
      <w:r w:rsidRPr="00FA3209">
        <w:rPr>
          <w:rFonts w:ascii="Helvetica" w:eastAsia="Aptos" w:hAnsi="Helvetica" w:cs="Helvetica"/>
          <w:bCs/>
          <w:sz w:val="22"/>
          <w:szCs w:val="22"/>
        </w:rPr>
        <w:fldChar w:fldCharType="begin"/>
      </w:r>
      <w:r w:rsidR="007436F8">
        <w:rPr>
          <w:rFonts w:ascii="Helvetica" w:eastAsia="Aptos" w:hAnsi="Helvetica" w:cs="Helvetica"/>
          <w:bCs/>
          <w:sz w:val="22"/>
          <w:szCs w:val="22"/>
        </w:rPr>
        <w:instrText xml:space="preserve"> ADDIN ZOTERO_ITEM CSL_CITATION {"citationID":"RNSZQGtw","properties":{"formattedCitation":"[11]","plainCitation":"[11]","noteIndex":0},"citationItems":[{"id":465,"uris":["http://zotero.org/users/17697971/items/WD6NV38Z"],"itemData":{"id":465,"type":"article-journal","container-title":"Microbiome","note":"publisher: Springer","page":"1-13","title":"MetaWRAP—a flexible pipeline for genome-resolved metagenomic data analysis","volume":"6","author":[{"family":"Uritskiy","given":"Gherman V"},{"family":"DiRuggiero","given":"Jocelyne"},{"family":"Taylor","given":"James"}],"issued":{"date-parts":[["2018"]]}}}],"schema":"https://github.com/citation-style-language/schema/raw/master/csl-citation.json"} </w:instrText>
      </w:r>
      <w:r w:rsidRPr="00FA3209">
        <w:rPr>
          <w:rFonts w:ascii="Helvetica" w:eastAsia="Aptos" w:hAnsi="Helvetica" w:cs="Helvetica"/>
          <w:bCs/>
          <w:sz w:val="22"/>
          <w:szCs w:val="22"/>
        </w:rPr>
        <w:fldChar w:fldCharType="separate"/>
      </w:r>
      <w:r w:rsidR="007436F8" w:rsidRPr="007436F8">
        <w:rPr>
          <w:rFonts w:ascii="Helvetica" w:hAnsi="Helvetica" w:cs="Helvetica"/>
          <w:sz w:val="22"/>
        </w:rPr>
        <w:t>[11]</w:t>
      </w:r>
      <w:r w:rsidRPr="00FA3209">
        <w:rPr>
          <w:rFonts w:ascii="Helvetica" w:eastAsia="Aptos" w:hAnsi="Helvetica" w:cs="Helvetica"/>
          <w:bCs/>
          <w:sz w:val="22"/>
          <w:szCs w:val="22"/>
        </w:rPr>
        <w:fldChar w:fldCharType="end"/>
      </w:r>
      <w:r w:rsidRPr="00FA3209">
        <w:rPr>
          <w:rFonts w:ascii="Helvetica" w:eastAsia="Aptos" w:hAnsi="Helvetica" w:cs="Helvetica"/>
          <w:bCs/>
          <w:sz w:val="22"/>
          <w:szCs w:val="22"/>
        </w:rPr>
        <w:t xml:space="preserve"> </w:t>
      </w:r>
      <w:r w:rsidRPr="00FA3209">
        <w:rPr>
          <w:rFonts w:ascii="Helvetica" w:eastAsia="Aptos" w:hAnsi="Helvetica" w:cs="Helvetica"/>
          <w:bCs/>
          <w:sz w:val="22"/>
          <w:szCs w:val="22"/>
          <w:lang w:val="en-US"/>
        </w:rPr>
        <w:t xml:space="preserve">and binned the contigs using three different binning algorithms i.e. metabat2 (381 bins) </w:t>
      </w:r>
      <w:r w:rsidRPr="00FA3209">
        <w:rPr>
          <w:rFonts w:ascii="Helvetica" w:eastAsia="Aptos" w:hAnsi="Helvetica" w:cs="Helvetica"/>
          <w:bCs/>
          <w:sz w:val="22"/>
          <w:szCs w:val="22"/>
          <w:lang w:val="en-US"/>
        </w:rPr>
        <w:fldChar w:fldCharType="begin"/>
      </w:r>
      <w:r w:rsidR="007436F8">
        <w:rPr>
          <w:rFonts w:ascii="Helvetica" w:eastAsia="Aptos" w:hAnsi="Helvetica" w:cs="Helvetica"/>
          <w:bCs/>
          <w:sz w:val="22"/>
          <w:szCs w:val="22"/>
          <w:lang w:val="en-US"/>
        </w:rPr>
        <w:instrText xml:space="preserve"> ADDIN ZOTERO_ITEM CSL_CITATION {"citationID":"owyfplU4","properties":{"formattedCitation":"[12]","plainCitation":"[12]","noteIndex":0},"citationItems":[{"id":466,"uris":["http://zotero.org/users/17697971/items/J2G3CWIU"],"itemData":{"id":466,"type":"article-journal","container-title":"PeerJ","ISSN":"2167-8359","note":"publisher: PeerJ Inc.","page":"e7359","title":"MetaBAT 2: an adaptive binning algorithm for robust and efficient genome reconstruction from metagenome assemblies","volume":"7","author":[{"family":"Kang","given":"Dongwan D"},{"family":"Li","given":"Feng"},{"family":"Kirton","given":"Edward"},{"family":"Thomas","given":"Ashleigh"},{"family":"Egan","given":"Rob"},{"family":"An","given":"Hong"},{"family":"Wang","given":"Zhong"}],"issued":{"date-parts":[["2019"]]}}}],"schema":"https://github.com/citation-style-language/schema/raw/master/csl-citation.json"} </w:instrText>
      </w:r>
      <w:r w:rsidRPr="00FA3209">
        <w:rPr>
          <w:rFonts w:ascii="Helvetica" w:eastAsia="Aptos" w:hAnsi="Helvetica" w:cs="Helvetica"/>
          <w:bCs/>
          <w:sz w:val="22"/>
          <w:szCs w:val="22"/>
          <w:lang w:val="en-US"/>
        </w:rPr>
        <w:fldChar w:fldCharType="separate"/>
      </w:r>
      <w:r w:rsidR="007436F8" w:rsidRPr="007436F8">
        <w:rPr>
          <w:rFonts w:ascii="Helvetica" w:hAnsi="Helvetica" w:cs="Helvetica"/>
          <w:sz w:val="22"/>
        </w:rPr>
        <w:t>[12]</w:t>
      </w:r>
      <w:r w:rsidRPr="00FA3209">
        <w:rPr>
          <w:rFonts w:ascii="Helvetica" w:eastAsia="Aptos" w:hAnsi="Helvetica" w:cs="Helvetica"/>
          <w:bCs/>
          <w:sz w:val="22"/>
          <w:szCs w:val="22"/>
          <w:lang w:val="en-US"/>
        </w:rPr>
        <w:fldChar w:fldCharType="end"/>
      </w:r>
      <w:r w:rsidRPr="00FA3209">
        <w:rPr>
          <w:rFonts w:ascii="Helvetica" w:eastAsia="Aptos" w:hAnsi="Helvetica" w:cs="Helvetica"/>
          <w:bCs/>
          <w:sz w:val="22"/>
          <w:szCs w:val="22"/>
          <w:lang w:val="en-US"/>
        </w:rPr>
        <w:t xml:space="preserve">, maxbin2 (323 bins) </w:t>
      </w:r>
      <w:r w:rsidRPr="00FA3209">
        <w:rPr>
          <w:rFonts w:ascii="Helvetica" w:eastAsia="Aptos" w:hAnsi="Helvetica" w:cs="Helvetica"/>
          <w:bCs/>
          <w:sz w:val="22"/>
          <w:szCs w:val="22"/>
          <w:lang w:val="en-US"/>
        </w:rPr>
        <w:fldChar w:fldCharType="begin"/>
      </w:r>
      <w:r w:rsidR="007436F8">
        <w:rPr>
          <w:rFonts w:ascii="Helvetica" w:eastAsia="Aptos" w:hAnsi="Helvetica" w:cs="Helvetica"/>
          <w:bCs/>
          <w:sz w:val="22"/>
          <w:szCs w:val="22"/>
          <w:lang w:val="en-US"/>
        </w:rPr>
        <w:instrText xml:space="preserve"> ADDIN ZOTERO_ITEM CSL_CITATION {"citationID":"gW6CgkEs","properties":{"formattedCitation":"[13]","plainCitation":"[13]","noteIndex":0},"citationItems":[{"id":467,"uris":["http://zotero.org/users/17697971/items/7BXQVFBI"],"itemData":{"id":467,"type":"article-journal","container-title":"Bioinformatics","ISSN":"1367-4811","issue":"4","note":"publisher: Oxford University Press","page":"605-607","title":"MaxBin 2.0: an automated binning algorithm to recover genomes from multiple metagenomic datasets","volume":"32","author":[{"family":"Wu","given":"Yu-Wei"},{"family":"Simmons","given":"Blake A"},{"family":"Singer","given":"Steven W"}],"issued":{"date-parts":[["2016"]]}}}],"schema":"https://github.com/citation-style-language/schema/raw/master/csl-citation.json"} </w:instrText>
      </w:r>
      <w:r w:rsidRPr="00FA3209">
        <w:rPr>
          <w:rFonts w:ascii="Helvetica" w:eastAsia="Aptos" w:hAnsi="Helvetica" w:cs="Helvetica"/>
          <w:bCs/>
          <w:sz w:val="22"/>
          <w:szCs w:val="22"/>
          <w:lang w:val="en-US"/>
        </w:rPr>
        <w:fldChar w:fldCharType="separate"/>
      </w:r>
      <w:r w:rsidR="007436F8" w:rsidRPr="007436F8">
        <w:rPr>
          <w:rFonts w:ascii="Helvetica" w:hAnsi="Helvetica" w:cs="Helvetica"/>
          <w:sz w:val="22"/>
        </w:rPr>
        <w:t>[13]</w:t>
      </w:r>
      <w:r w:rsidRPr="00FA3209">
        <w:rPr>
          <w:rFonts w:ascii="Helvetica" w:eastAsia="Aptos" w:hAnsi="Helvetica" w:cs="Helvetica"/>
          <w:bCs/>
          <w:sz w:val="22"/>
          <w:szCs w:val="22"/>
          <w:lang w:val="en-US"/>
        </w:rPr>
        <w:fldChar w:fldCharType="end"/>
      </w:r>
      <w:r w:rsidRPr="00FA3209">
        <w:rPr>
          <w:rFonts w:ascii="Helvetica" w:eastAsia="Aptos" w:hAnsi="Helvetica" w:cs="Helvetica"/>
          <w:bCs/>
          <w:color w:val="000000"/>
          <w:sz w:val="22"/>
          <w:szCs w:val="22"/>
          <w:lang w:val="en-US"/>
        </w:rPr>
        <w:t>,</w:t>
      </w:r>
      <w:r w:rsidRPr="00FA3209">
        <w:rPr>
          <w:rFonts w:ascii="Helvetica" w:eastAsia="Aptos" w:hAnsi="Helvetica" w:cs="Helvetica"/>
          <w:bCs/>
          <w:sz w:val="22"/>
          <w:szCs w:val="22"/>
          <w:lang w:val="en-US"/>
        </w:rPr>
        <w:t xml:space="preserve"> and CONCOCT (324 bins) </w:t>
      </w:r>
      <w:r w:rsidRPr="00FA3209">
        <w:rPr>
          <w:rFonts w:ascii="Helvetica" w:eastAsia="Aptos" w:hAnsi="Helvetica" w:cs="Helvetica"/>
          <w:bCs/>
          <w:sz w:val="22"/>
          <w:szCs w:val="22"/>
          <w:lang w:val="en-US"/>
        </w:rPr>
        <w:fldChar w:fldCharType="begin"/>
      </w:r>
      <w:r w:rsidR="007436F8">
        <w:rPr>
          <w:rFonts w:ascii="Helvetica" w:eastAsia="Aptos" w:hAnsi="Helvetica" w:cs="Helvetica"/>
          <w:bCs/>
          <w:sz w:val="22"/>
          <w:szCs w:val="22"/>
          <w:lang w:val="en-US"/>
        </w:rPr>
        <w:instrText xml:space="preserve"> ADDIN ZOTERO_ITEM CSL_CITATION {"citationID":"MelAnbcs","properties":{"formattedCitation":"[14]","plainCitation":"[14]","noteIndex":0},"citationItems":[{"id":468,"uris":["http://zotero.org/users/17697971/items/JTNLCG6A"],"itemData":{"id":468,"type":"article-journal","container-title":"Nature methods","ISSN":"1548-7091","issue":"11","note":"publisher: Nature Publishing Group US New York","page":"1144-1146","title":"Binning metagenomic contigs by coverage and composition","volume":"11","author":[{"family":"Alneberg","given":"Johannes"},{"family":"Bjarnason","given":"Brynjar Smári"},{"family":"De Bruijn","given":"Ino"},{"family":"Schirmer","given":"Melanie"},{"family":"Quick","given":"Joshua"},{"family":"Ijaz","given":"Umer Z"},{"family":"Lahti","given":"Leo"},{"family":"Loman","given":"Nicholas J"},{"family":"Andersson","given":"Anders F"},{"family":"Quince","given":"Christopher"}],"issued":{"date-parts":[["2014"]]}}}],"schema":"https://github.com/citation-style-language/schema/raw/master/csl-citation.json"} </w:instrText>
      </w:r>
      <w:r w:rsidRPr="00FA3209">
        <w:rPr>
          <w:rFonts w:ascii="Helvetica" w:eastAsia="Aptos" w:hAnsi="Helvetica" w:cs="Helvetica"/>
          <w:bCs/>
          <w:sz w:val="22"/>
          <w:szCs w:val="22"/>
          <w:lang w:val="en-US"/>
        </w:rPr>
        <w:fldChar w:fldCharType="separate"/>
      </w:r>
      <w:r w:rsidR="007436F8" w:rsidRPr="007436F8">
        <w:rPr>
          <w:rFonts w:ascii="Helvetica" w:hAnsi="Helvetica" w:cs="Helvetica"/>
          <w:sz w:val="22"/>
        </w:rPr>
        <w:t>[14]</w:t>
      </w:r>
      <w:r w:rsidRPr="00FA3209">
        <w:rPr>
          <w:rFonts w:ascii="Helvetica" w:eastAsia="Aptos" w:hAnsi="Helvetica" w:cs="Helvetica"/>
          <w:bCs/>
          <w:sz w:val="22"/>
          <w:szCs w:val="22"/>
          <w:lang w:val="en-US"/>
        </w:rPr>
        <w:fldChar w:fldCharType="end"/>
      </w:r>
      <w:r w:rsidRPr="00FA3209">
        <w:rPr>
          <w:rFonts w:ascii="Helvetica" w:eastAsia="Aptos" w:hAnsi="Helvetica" w:cs="Helvetica"/>
          <w:bCs/>
          <w:sz w:val="22"/>
          <w:szCs w:val="22"/>
          <w:lang w:val="en-US"/>
        </w:rPr>
        <w:t xml:space="preserve">. </w:t>
      </w:r>
      <w:r w:rsidRPr="00FA3209">
        <w:rPr>
          <w:rFonts w:ascii="Helvetica" w:eastAsia="Aptos" w:hAnsi="Helvetica" w:cs="Helvetica"/>
          <w:bCs/>
          <w:sz w:val="22"/>
          <w:szCs w:val="22"/>
        </w:rPr>
        <w:t xml:space="preserve">We applied CheckM on these bins </w:t>
      </w:r>
      <w:r w:rsidRPr="00FA3209">
        <w:rPr>
          <w:rFonts w:ascii="Helvetica" w:eastAsia="Aptos" w:hAnsi="Helvetica" w:cs="Helvetica"/>
          <w:bCs/>
          <w:sz w:val="22"/>
          <w:szCs w:val="22"/>
        </w:rPr>
        <w:fldChar w:fldCharType="begin"/>
      </w:r>
      <w:r w:rsidR="007436F8">
        <w:rPr>
          <w:rFonts w:ascii="Helvetica" w:eastAsia="Aptos" w:hAnsi="Helvetica" w:cs="Helvetica"/>
          <w:bCs/>
          <w:sz w:val="22"/>
          <w:szCs w:val="22"/>
        </w:rPr>
        <w:instrText xml:space="preserve"> ADDIN ZOTERO_ITEM CSL_CITATION {"citationID":"uq9pnPOh","properties":{"formattedCitation":"[15]","plainCitation":"[15]","noteIndex":0},"citationItems":[{"id":469,"uris":["http://zotero.org/users/17697971/items/3DG3S5J4"],"itemData":{"id":469,"type":"article-journal","container-title":"Genome research","ISSN":"1088-9051","issue":"7","note":"publisher: Cold Spring Harbor Lab","page":"1043-1055","title":"CheckM: assessing the quality of microbial genomes recovered from isolates, single cells, and metagenomes","volume":"25","author":[{"family":"Parks","given":"Donovan H"},{"family":"Imelfort","given":"Michael"},{"family":"Skennerton","given":"Connor T"},{"family":"Hugenholtz","given":"Philip"},{"family":"Tyson","given":"Gene W"}],"issued":{"date-parts":[["2015"]]}}}],"schema":"https://github.com/citation-style-language/schema/raw/master/csl-citation.json"} </w:instrText>
      </w:r>
      <w:r w:rsidRPr="00FA3209">
        <w:rPr>
          <w:rFonts w:ascii="Helvetica" w:eastAsia="Aptos" w:hAnsi="Helvetica" w:cs="Helvetica"/>
          <w:bCs/>
          <w:sz w:val="22"/>
          <w:szCs w:val="22"/>
        </w:rPr>
        <w:fldChar w:fldCharType="separate"/>
      </w:r>
      <w:r w:rsidR="007436F8" w:rsidRPr="007436F8">
        <w:rPr>
          <w:rFonts w:ascii="Helvetica" w:hAnsi="Helvetica" w:cs="Helvetica"/>
          <w:sz w:val="22"/>
        </w:rPr>
        <w:t>[15]</w:t>
      </w:r>
      <w:r w:rsidRPr="00FA3209">
        <w:rPr>
          <w:rFonts w:ascii="Helvetica" w:eastAsia="Aptos" w:hAnsi="Helvetica" w:cs="Helvetica"/>
          <w:bCs/>
          <w:sz w:val="22"/>
          <w:szCs w:val="22"/>
        </w:rPr>
        <w:fldChar w:fldCharType="end"/>
      </w:r>
      <w:r w:rsidRPr="00FA3209">
        <w:rPr>
          <w:rFonts w:ascii="Helvetica" w:eastAsia="Aptos" w:hAnsi="Helvetica" w:cs="Helvetica"/>
          <w:bCs/>
          <w:sz w:val="22"/>
          <w:szCs w:val="22"/>
        </w:rPr>
        <w:t xml:space="preserve"> to assess their completion and contamination</w:t>
      </w:r>
      <w:r w:rsidRPr="00FA3209">
        <w:rPr>
          <w:rFonts w:ascii="Helvetica" w:eastAsia="Aptos" w:hAnsi="Helvetica" w:cs="Helvetica"/>
          <w:bCs/>
          <w:sz w:val="22"/>
          <w:szCs w:val="22"/>
          <w:lang w:val="en-US"/>
        </w:rPr>
        <w:t xml:space="preserve">. Within MetaWRAP framework, the bins </w:t>
      </w:r>
      <w:r w:rsidRPr="00FA3209">
        <w:rPr>
          <w:rFonts w:ascii="Helvetica" w:eastAsia="Aptos" w:hAnsi="Helvetica" w:cs="Helvetica"/>
          <w:bCs/>
          <w:sz w:val="22"/>
          <w:szCs w:val="22"/>
          <w:lang w:val="en-US"/>
        </w:rPr>
        <w:lastRenderedPageBreak/>
        <w:t xml:space="preserve">from the three binners were consolidated, retaining bins with </w:t>
      </w:r>
      <m:oMath>
        <m:r>
          <w:rPr>
            <w:rFonts w:ascii="Cambria Math" w:eastAsia="Aptos" w:hAnsi="Cambria Math" w:cs="Helvetica"/>
            <w:sz w:val="22"/>
            <w:szCs w:val="22"/>
            <w:lang w:val="en-US"/>
          </w:rPr>
          <m:t>≥</m:t>
        </m:r>
      </m:oMath>
      <w:r w:rsidRPr="00FA3209">
        <w:rPr>
          <w:rFonts w:ascii="Helvetica" w:eastAsia="Aptos" w:hAnsi="Helvetica" w:cs="Helvetica"/>
          <w:bCs/>
          <w:sz w:val="22"/>
          <w:szCs w:val="22"/>
          <w:lang w:val="en-US"/>
        </w:rPr>
        <w:t xml:space="preserve">50% completion and </w:t>
      </w:r>
      <m:oMath>
        <m:r>
          <w:rPr>
            <w:rFonts w:ascii="Cambria Math" w:eastAsia="Aptos" w:hAnsi="Cambria Math" w:cs="Helvetica"/>
            <w:sz w:val="22"/>
            <w:szCs w:val="22"/>
            <w:lang w:val="en-US"/>
          </w:rPr>
          <m:t>≤</m:t>
        </m:r>
      </m:oMath>
      <w:r w:rsidRPr="00FA3209">
        <w:rPr>
          <w:rFonts w:ascii="Helvetica" w:eastAsia="Aptos" w:hAnsi="Helvetica" w:cs="Helvetica"/>
          <w:bCs/>
          <w:sz w:val="22"/>
          <w:szCs w:val="22"/>
          <w:lang w:val="en-US"/>
        </w:rPr>
        <w:t xml:space="preserve">10% contamination to give a final set of 183 bins [Metagenomic Assembled Genomes (MAGs)]. We obtained a mean genome completion of 77.87% and a mean contamination of 4.020% for bins. </w:t>
      </w:r>
      <w:r w:rsidRPr="00FA3209">
        <w:rPr>
          <w:rFonts w:ascii="Helvetica" w:eastAsia="Aptos" w:hAnsi="Helvetica" w:cs="Helvetica"/>
          <w:color w:val="000000"/>
          <w:sz w:val="22"/>
          <w:szCs w:val="22"/>
          <w:shd w:val="clear" w:color="auto" w:fill="FFFFFF"/>
        </w:rPr>
        <w:t xml:space="preserve">METABOLIC pipeline </w:t>
      </w:r>
      <w:r w:rsidRPr="00FA3209">
        <w:rPr>
          <w:rFonts w:ascii="Helvetica" w:eastAsia="Aptos" w:hAnsi="Helvetica" w:cs="Helvetica"/>
          <w:color w:val="000000"/>
          <w:sz w:val="22"/>
          <w:szCs w:val="22"/>
          <w:shd w:val="clear" w:color="auto" w:fill="FFFFFF"/>
        </w:rPr>
        <w:fldChar w:fldCharType="begin"/>
      </w:r>
      <w:r w:rsidR="007436F8">
        <w:rPr>
          <w:rFonts w:ascii="Helvetica" w:eastAsia="Aptos" w:hAnsi="Helvetica" w:cs="Helvetica"/>
          <w:color w:val="000000"/>
          <w:sz w:val="22"/>
          <w:szCs w:val="22"/>
          <w:shd w:val="clear" w:color="auto" w:fill="FFFFFF"/>
        </w:rPr>
        <w:instrText xml:space="preserve"> ADDIN ZOTERO_ITEM CSL_CITATION {"citationID":"pdwxlgFy","properties":{"formattedCitation":"[16]","plainCitation":"[16]","noteIndex":0},"citationItems":[{"id":470,"uris":["http://zotero.org/users/17697971/items/DN7LPDQ8"],"itemData":{"id":470,"type":"article-journal","container-title":"Microbiome","ISSN":"2049-2618","issue":"1","note":"publisher: Springer","page":"33","title":"METABOLIC: high-throughput profiling of microbial genomes for functional traits, metabolism, biogeochemistry, and community-scale functional networks","volume":"10","author":[{"family":"Zhou","given":"Zhichao"},{"family":"Tran","given":"Patricia Q"},{"family":"Breister","given":"Adam M"},{"family":"Liu","given":"Yang"},{"family":"Kieft","given":"Kristopher"},{"family":"Cowley","given":"Elise S"},{"family":"Karaoz","given":"Ulas"},{"family":"Anantharaman","given":"Karthik"}],"issued":{"date-parts":[["2022"]]}}}],"schema":"https://github.com/citation-style-language/schema/raw/master/csl-citation.json"}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[16]</w:t>
      </w:r>
      <w:r w:rsidRPr="00FA3209">
        <w:rPr>
          <w:rFonts w:ascii="Helvetica" w:eastAsia="Aptos" w:hAnsi="Helvetica" w:cs="Helvetica"/>
          <w:color w:val="000000"/>
          <w:sz w:val="22"/>
          <w:szCs w:val="22"/>
          <w:shd w:val="clear" w:color="auto" w:fill="FFFFFF"/>
        </w:rPr>
        <w:fldChar w:fldCharType="end"/>
      </w:r>
      <w:r w:rsidRPr="00FA3209">
        <w:rPr>
          <w:rFonts w:ascii="Helvetica" w:eastAsia="Aptos" w:hAnsi="Helvetica" w:cs="Helvetica"/>
          <w:color w:val="000000"/>
          <w:sz w:val="22"/>
          <w:szCs w:val="22"/>
          <w:shd w:val="clear" w:color="auto" w:fill="FFFFFF"/>
        </w:rPr>
        <w:t xml:space="preserve"> was used to annotate the MAGs. This recovered several feature tables using numerous databases: KEGG </w:t>
      </w:r>
      <w:r w:rsidRPr="00FA3209">
        <w:rPr>
          <w:rFonts w:ascii="Helvetica" w:eastAsia="Aptos" w:hAnsi="Helvetica" w:cs="Helvetica"/>
          <w:color w:val="000000"/>
          <w:sz w:val="22"/>
          <w:szCs w:val="22"/>
          <w:shd w:val="clear" w:color="auto" w:fill="FFFFFF"/>
        </w:rPr>
        <w:fldChar w:fldCharType="begin"/>
      </w:r>
      <w:r w:rsidR="007436F8">
        <w:rPr>
          <w:rFonts w:ascii="Helvetica" w:eastAsia="Aptos" w:hAnsi="Helvetica" w:cs="Helvetica"/>
          <w:color w:val="000000"/>
          <w:sz w:val="22"/>
          <w:szCs w:val="22"/>
          <w:shd w:val="clear" w:color="auto" w:fill="FFFFFF"/>
        </w:rPr>
        <w:instrText xml:space="preserve"> ADDIN ZOTERO_ITEM CSL_CITATION {"citationID":"JnVfctnL","properties":{"formattedCitation":"[17]","plainCitation":"[17]","noteIndex":0},"citationItems":[{"id":471,"uris":["http://zotero.org/users/17697971/items/W7C6M24I"],"itemData":{"id":471,"type":"article-journal","container-title":"Nucleic acids research","ISSN":"1362-4962","issue":"1","note":"publisher: Oxford University Press","page":"27-30","title":"KEGG: kyoto encyclopedia of genes and genomes","volume":"28","author":[{"family":"Kanehisa","given":"Minoru"},{"family":"Goto","given":"Susumu"}],"issued":{"date-parts":[["2000"]]}}}],"schema":"https://github.com/citation-style-language/schema/raw/master/csl-citation.json"}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[17]</w:t>
      </w:r>
      <w:r w:rsidRPr="00FA3209">
        <w:rPr>
          <w:rFonts w:ascii="Helvetica" w:eastAsia="Aptos" w:hAnsi="Helvetica" w:cs="Helvetica"/>
          <w:color w:val="000000"/>
          <w:sz w:val="22"/>
          <w:szCs w:val="22"/>
          <w:shd w:val="clear" w:color="auto" w:fill="FFFFFF"/>
        </w:rPr>
        <w:fldChar w:fldCharType="end"/>
      </w:r>
      <w:r w:rsidRPr="00FA3209">
        <w:rPr>
          <w:rFonts w:ascii="Helvetica" w:eastAsia="Aptos" w:hAnsi="Helvetica" w:cs="Helvetica"/>
          <w:color w:val="000000"/>
          <w:sz w:val="22"/>
          <w:szCs w:val="22"/>
          <w:shd w:val="clear" w:color="auto" w:fill="FFFFFF"/>
        </w:rPr>
        <w:t xml:space="preserve">, TIGRfam </w:t>
      </w:r>
      <w:r w:rsidRPr="00FA3209">
        <w:rPr>
          <w:rFonts w:ascii="Helvetica" w:eastAsia="Aptos" w:hAnsi="Helvetica" w:cs="Helvetica"/>
          <w:color w:val="000000"/>
          <w:sz w:val="22"/>
          <w:szCs w:val="22"/>
          <w:shd w:val="clear" w:color="auto" w:fill="FFFFFF"/>
        </w:rPr>
        <w:fldChar w:fldCharType="begin"/>
      </w:r>
      <w:r w:rsidR="007436F8">
        <w:rPr>
          <w:rFonts w:ascii="Helvetica" w:eastAsia="Aptos" w:hAnsi="Helvetica" w:cs="Helvetica"/>
          <w:color w:val="000000"/>
          <w:sz w:val="22"/>
          <w:szCs w:val="22"/>
          <w:shd w:val="clear" w:color="auto" w:fill="FFFFFF"/>
        </w:rPr>
        <w:instrText xml:space="preserve"> ADDIN ZOTERO_ITEM CSL_CITATION {"citationID":"pUObreOF","properties":{"formattedCitation":"[18]","plainCitation":"[18]","noteIndex":0},"citationItems":[{"id":472,"uris":["http://zotero.org/users/17697971/items/8T9JRVKU"],"itemData":{"id":472,"type":"article-journal","abstract":"TIGRFAMs is a collection of protein family definitions built to aid in high-throughput annotation of specific protein functions. Each family is based on a hidden Markov model (HMM), where both cutoff scores and membership in the seed alignment are chosen so that the HMMs can classify numerous proteins according to their specific molecular functions. Most TIGRFAMs models describe ‘equivalog’ families, where both orthology and lateral gene transfer may be part of the evolutionary history, but where a single molecular function has been conserved. The Genome Properties system contains a queriable set of metabolic reconstructions, genome metrics and extractions of information from the scientific literature. Its genome-by-genome assertions of whether or not specific structures, pathways or systems are present provide high-level conceptual descriptions of genomic content. These assertions enable comparative genomics, provide a meaningful biological context to aid in manual annotation, support assignments of Gene Ontology (GO) biological process terms and help validate HMM-based predictions of protein function. The Genome Properties system is particularly useful as a generator of phylogenetic profiles, through which new protein family functions may be discovered. The TIGRFAMs and Genome Properties systems can be accessed at  and .","container-title":"Nucleic Acids Research","DOI":"10.1093/nar/gkl1043","ISSN":"0305-1048","issue":"suppl_1","page":"D260-D264","title":"TIGRFAMs and Genome Properties: tools for the assignment of molecular function and biological process in prokaryotic genomes","volume":"35","author":[{"family":"Selengut","given":"Jeremy D"},{"family":"Haft","given":"Daniel H"},{"family":"Davidsen","given":"Tanja"},{"family":"Ganapathy","given":"Anurhada"},{"family":"Gwinn-Giglio","given":"Michelle"},{"family":"Nelson","given":"William C"},{"family":"Richter","given":"Alexander R"},{"family":"White","given":"Owen"}],"issued":{"date-parts":[["2007",1,1]]}}}],"schema":"https://github.com/citation-style-language/schema/raw/master/csl-citation.json"}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[18]</w:t>
      </w:r>
      <w:r w:rsidRPr="00FA3209">
        <w:rPr>
          <w:rFonts w:ascii="Helvetica" w:eastAsia="Aptos" w:hAnsi="Helvetica" w:cs="Helvetica"/>
          <w:color w:val="000000"/>
          <w:sz w:val="22"/>
          <w:szCs w:val="22"/>
          <w:shd w:val="clear" w:color="auto" w:fill="FFFFFF"/>
        </w:rPr>
        <w:fldChar w:fldCharType="end"/>
      </w:r>
      <w:r w:rsidRPr="007436F8">
        <w:rPr>
          <w:rFonts w:ascii="Helvetica" w:eastAsia="Aptos" w:hAnsi="Helvetica" w:cs="Helvetica"/>
          <w:color w:val="000000"/>
          <w:sz w:val="22"/>
          <w:szCs w:val="22"/>
          <w:shd w:val="clear" w:color="auto" w:fill="FFFFFF"/>
        </w:rPr>
        <w:t xml:space="preserve">, Pfam </w:t>
      </w:r>
      <w:r w:rsidRPr="00FA3209">
        <w:rPr>
          <w:rFonts w:ascii="Helvetica" w:eastAsia="Aptos" w:hAnsi="Helvetica" w:cs="Helvetica"/>
          <w:color w:val="000000"/>
          <w:sz w:val="22"/>
          <w:szCs w:val="22"/>
          <w:shd w:val="clear" w:color="auto" w:fill="FFFFFF"/>
        </w:rPr>
        <w:fldChar w:fldCharType="begin"/>
      </w:r>
      <w:r w:rsidR="007436F8" w:rsidRPr="007436F8">
        <w:rPr>
          <w:rFonts w:ascii="Helvetica" w:eastAsia="Aptos" w:hAnsi="Helvetica" w:cs="Helvetica"/>
          <w:color w:val="000000"/>
          <w:sz w:val="22"/>
          <w:szCs w:val="22"/>
          <w:shd w:val="clear" w:color="auto" w:fill="FFFFFF"/>
        </w:rPr>
        <w:instrText xml:space="preserve"> ADDIN ZOTERO_ITEM CSL_CITATION {"citationID":"ul7xzIPu","properties":{"formattedCitation":"[19]","plainCitation":"[19]","noteIndex":0},"citationItems":[{"id":473,"uris":["http://zotero.org/users/17697971/items/MCEDCEUL"],"itemData":{"id":473,"type":"article-journal","abstract":"Pfam, available via servers in the UK (http://pfam.sanger.ac.uk/) and the USA (http://pfam.janelia.org/), is a widely used database of protein families, containing 14 831 manually curated entries in the current release, version 27.0. Since the last update article 2 years ago, we have generated 1182 new families and maintained sequence coverage of the UniProt Knowledgebase (UniProtKB) at nearly 80%, despite a 50% increase in the size of the underlying sequence database. Since our 2012 article describing Pfam, we have also undertaken a comprehensive review of the features that are provided by Pfam over and above the basic family data. For each feature, we determined the relevance, computational burden, usage statistics and the functionality of the feature in a website context. As a consequence of this review, we have removed some features, enhanced others and developed new ones to meet the changing demands of computational biology. Here, we describe the changes to Pfam content. Notably, we now provide family alignments based on four different representative proteome sequence data sets and a new interactive DNA search interface. We also discuss the mapping between Pfam and known 3D structures.","container-title":"Nucleic Acids Research","DOI":"10.1093/nar/gkt1223","ISSN":"0305-1048","issue":"D1","page":"D222-D230","title":"Pfam: the protein families database","volume":"42","author":[{"family":"Finn","given":"Robert D"},{"family":"Bateman","given":"Alex"},{"family":"Clements","given":"Jody"},{"family":"Coggill","given":"Penelope"},{"family":"Eberhardt","given":"Ruth Y"},{"family":"Eddy","given":"Sean R"},{"family":"Heger","given":"Andreas"},{"family":"Hetherington","given":"Kirstie"},{"family":"Holm","given":"Liisa"},{"family":"Mistry","given":"Jaina"},{"family":"Sonnhammer","given":"Erik L L"},{"family":"Tate","given":"John"},{"family":"Punta","given":"Marco"}],"issued":{"date-parts":[["2014",1,1]]}}}],"schema":"https://github.com/citation-style-language/schema/raw/master/csl-citation.json"}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[19]</w:t>
      </w:r>
      <w:r w:rsidRPr="00FA3209">
        <w:rPr>
          <w:rFonts w:ascii="Helvetica" w:eastAsia="Aptos" w:hAnsi="Helvetica" w:cs="Helvetica"/>
          <w:color w:val="000000"/>
          <w:sz w:val="22"/>
          <w:szCs w:val="22"/>
          <w:shd w:val="clear" w:color="auto" w:fill="FFFFFF"/>
        </w:rPr>
        <w:fldChar w:fldCharType="end"/>
      </w:r>
      <w:r w:rsidRPr="007436F8">
        <w:rPr>
          <w:rFonts w:ascii="Helvetica" w:eastAsia="Aptos" w:hAnsi="Helvetica" w:cs="Helvetica"/>
          <w:color w:val="000000"/>
          <w:sz w:val="22"/>
          <w:szCs w:val="22"/>
          <w:shd w:val="clear" w:color="auto" w:fill="FFFFFF"/>
        </w:rPr>
        <w:t xml:space="preserve"> custom hidden Markov model (HMM) databases </w:t>
      </w:r>
      <w:r w:rsidRPr="00FA3209">
        <w:rPr>
          <w:rFonts w:ascii="Helvetica" w:eastAsia="Aptos" w:hAnsi="Helvetica" w:cs="Helvetica"/>
          <w:color w:val="000000"/>
          <w:sz w:val="22"/>
          <w:szCs w:val="22"/>
          <w:shd w:val="clear" w:color="auto" w:fill="FFFFFF"/>
          <w:lang w:val="es-AR"/>
        </w:rPr>
        <w:fldChar w:fldCharType="begin"/>
      </w:r>
      <w:r w:rsidR="007436F8" w:rsidRPr="007436F8">
        <w:rPr>
          <w:rFonts w:ascii="Helvetica" w:eastAsia="Aptos" w:hAnsi="Helvetica" w:cs="Helvetica"/>
          <w:color w:val="000000"/>
          <w:sz w:val="22"/>
          <w:szCs w:val="22"/>
          <w:shd w:val="clear" w:color="auto" w:fill="FFFFFF"/>
        </w:rPr>
        <w:instrText xml:space="preserve"> ADDIN ZOTERO_ITEM CSL_CITATION {"citationID":"YN6iqSL2","properties":{"formattedCitation":"[20]","plainCitation":"[20]","noteIndex":0},"citationItems":[{"id":474,"uris":["http://zotero.org/users/17697971/items/S5LSL442"],"itemData":{"id":474,"type":"article-journal","abstract":"The subterranean world hosts up to one-fifth of all biomass, including microbial communities that drive transformations central to Earth’s biogeochemical cycles. However, little is known about how complex microbial communities in such environments are structured, and how inter-organism interactions shape ecosystem function. Here we apply terabase-scale cultivation-independent metagenomics to aquifer sediments and groundwater, and reconstruct 2,540 draft-quality, near-complete and complete strain-resolved genomes that represent the majority of known bacterial phyla as well as 47 newly discovered phylum-level lineages. Metabolic analyses spanning this vast phylogenetic diversity and representing up to 36% of organisms detected in the system are used to document the distribution of pathways in coexisting organisms. Consistent with prior findings indicating metabolic handoffs in simple consortia, we find that few organisms within the community can conduct multiple sequential redox transformations. As environmental conditions change, different assemblages of organisms are selected for, altering linkages among the major biogeochemical cycles.","container-title":"Nature Communications","DOI":"10.1038/ncomms13219","ISSN":"2041-1723","issue":"1","page":"13219","title":"Thousands of microbial genomes shed light on interconnected biogeochemical processes in an aquifer system","volume":"7","author":[{"family":"Anantharaman","given":"Karthik"},{"family":"Brown","given":"Christopher T"},{"family":"Hug","given":"Laura A"},{"family":"Sharon","given":"Itai"},{"family":"Castelle","given":"Cindy J"},{"family":"Probst","given":"Alexander J"},{"family":"Thomas","given":"Brian C"},{"family":"Singh","given":"Andrea"},{"family":"Wilkins","given":"Michael J"},{"family":"Karaoz","given":"Ulas"},{"family":"Brodie","given":"Eoin L"},{"family":"Williams","given":"Kenneth H"},{"family":"Hubbard","given":"Susan S"},{"family":"Banfield","given":"Jillian F"}],"issued":{"date-parts":[["2016"]]}}}],"schema":"https://github.com/citation-style-language/schema/raw/master/csl-citation.json"} </w:instrText>
      </w:r>
      <w:r w:rsidRPr="00FA3209">
        <w:rPr>
          <w:rFonts w:ascii="Helvetica" w:eastAsia="Aptos" w:hAnsi="Helvetica" w:cs="Helvetica"/>
          <w:color w:val="000000"/>
          <w:sz w:val="22"/>
          <w:szCs w:val="22"/>
          <w:shd w:val="clear" w:color="auto" w:fill="FFFFFF"/>
          <w:lang w:val="es-AR"/>
        </w:rPr>
        <w:fldChar w:fldCharType="separate"/>
      </w:r>
      <w:r w:rsidR="007436F8" w:rsidRPr="007436F8">
        <w:rPr>
          <w:rFonts w:ascii="Helvetica" w:hAnsi="Helvetica" w:cs="Helvetica"/>
          <w:sz w:val="22"/>
        </w:rPr>
        <w:t>[20]</w:t>
      </w:r>
      <w:r w:rsidRPr="00FA3209">
        <w:rPr>
          <w:rFonts w:ascii="Helvetica" w:eastAsia="Aptos" w:hAnsi="Helvetica" w:cs="Helvetica"/>
          <w:color w:val="000000"/>
          <w:sz w:val="22"/>
          <w:szCs w:val="22"/>
          <w:shd w:val="clear" w:color="auto" w:fill="FFFFFF"/>
          <w:lang w:val="es-AR"/>
        </w:rPr>
        <w:fldChar w:fldCharType="end"/>
      </w:r>
      <w:r w:rsidRPr="007436F8">
        <w:rPr>
          <w:rFonts w:ascii="Helvetica" w:eastAsia="Aptos" w:hAnsi="Helvetica" w:cs="Helvetica"/>
          <w:color w:val="000000"/>
          <w:sz w:val="22"/>
          <w:szCs w:val="22"/>
          <w:shd w:val="clear" w:color="auto" w:fill="FFFFFF"/>
        </w:rPr>
        <w:t xml:space="preserve">, dbCAN2 </w:t>
      </w:r>
      <w:r w:rsidRPr="00FA3209">
        <w:rPr>
          <w:rFonts w:ascii="Helvetica" w:eastAsia="Aptos" w:hAnsi="Helvetica" w:cs="Helvetica"/>
          <w:color w:val="000000"/>
          <w:sz w:val="22"/>
          <w:szCs w:val="22"/>
          <w:shd w:val="clear" w:color="auto" w:fill="FFFFFF"/>
        </w:rPr>
        <w:fldChar w:fldCharType="begin"/>
      </w:r>
      <w:r w:rsidR="007436F8" w:rsidRPr="007436F8">
        <w:rPr>
          <w:rFonts w:ascii="Helvetica" w:eastAsia="Aptos" w:hAnsi="Helvetica" w:cs="Helvetica"/>
          <w:color w:val="000000"/>
          <w:sz w:val="22"/>
          <w:szCs w:val="22"/>
          <w:shd w:val="clear" w:color="auto" w:fill="FFFFFF"/>
        </w:rPr>
        <w:instrText xml:space="preserve"> ADDIN ZOTERO_ITEM CSL_CITATION {"citationID":"9uj9gbYG","properties":{"formattedCitation":"[21]","plainCitation":"[21]","noteIndex":0},"citationItems":[{"id":475,"uris":["http://zotero.org/users/17697971/items/7WZK4ALD"],"itemData":{"id":475,"type":"article-journal","abstract":"Complex carbohydrates of plants are the main food sources of animals and microbes, and serve as promising renewable feedstock for biofuel and biomaterial production. Carbohydrate active enzymes (CAZymes) are the most important enzymes for complex carbohydrate metabolism. With an increasing number of plant and plant-associated microbial genomes and metagenomes being sequenced, there is an urgent need of automatic tools for genomic data mining of CAZymes. We developed the dbCAN web server in 2012 to provide a public service for automated CAZyme annotation for newly sequenced genomes. Here, dbCAN2 (http://cys.bios.niu.edu/dbCAN2) is presented as an updated meta server, which integrates three state-of-the-art tools for CAZome (all CAZymes of a genome) annotation: (i) HMMER search against the dbCAN HMM (hidden Markov model) database; (ii) DIAMOND search against the CAZy pre-annotated CAZyme sequence database and (iii) Hotpep search against the conserved CAZyme short peptide database. Combining the three outputs and removing CAZymes found by only one tool can significantly improve the CAZome annotation accuracy. In addition, dbCAN2 now also accepts nucleotide sequence submission, and offers the service to predict physically linked CAZyme gene clusters (CGCs), which will be a very useful online tool for identifying putative polysaccharide utilization loci (PULs) in microbial genomes or metagenomes.","container-title":"Nucleic Acids Research","DOI":"10.1093/nar/gky418","ISSN":"0305-1048","issue":"W1","page":"W95-W101","title":"dbCAN2: a meta server for automated carbohydrate-active enzyme annotation","volume":"46","author":[{"family":"Zhang","given":"Han"},{"family":"Yohe","given":"Tanner"},{"family":"Huang","given":"Le"},{"family":"Entwistle","given":"Sarah"},{"family":"Wu","given":"Peizhi"},{"family":"Yang","given":"Zhenglu"},{"family":"Busk","given":"Peter K"},{"family":"Xu","given":"Ying"},{"family":"Yin","given":"Yanbin"}],"issued":{"date-parts":[["2018",7,2]]}}}],"schema":"https://github.com/citation-style-language/schema/raw/master/csl-citation.json"}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[21]</w:t>
      </w:r>
      <w:r w:rsidRPr="00FA3209">
        <w:rPr>
          <w:rFonts w:ascii="Helvetica" w:eastAsia="Aptos" w:hAnsi="Helvetica" w:cs="Helvetica"/>
          <w:color w:val="000000"/>
          <w:sz w:val="22"/>
          <w:szCs w:val="22"/>
          <w:shd w:val="clear" w:color="auto" w:fill="FFFFFF"/>
        </w:rPr>
        <w:fldChar w:fldCharType="end"/>
      </w:r>
      <w:r w:rsidRPr="007436F8">
        <w:rPr>
          <w:rFonts w:ascii="Helvetica" w:eastAsia="Aptos" w:hAnsi="Helvetica" w:cs="Helvetica"/>
          <w:color w:val="000000"/>
          <w:sz w:val="22"/>
          <w:szCs w:val="22"/>
          <w:shd w:val="clear" w:color="auto" w:fill="FFFFFF"/>
        </w:rPr>
        <w:t xml:space="preserve">, and MEROPS </w:t>
      </w:r>
      <w:r w:rsidRPr="00FA3209">
        <w:rPr>
          <w:rFonts w:ascii="Helvetica" w:eastAsia="Aptos" w:hAnsi="Helvetica" w:cs="Helvetica"/>
          <w:color w:val="000000"/>
          <w:sz w:val="22"/>
          <w:szCs w:val="22"/>
          <w:shd w:val="clear" w:color="auto" w:fill="FFFFFF"/>
          <w:lang w:val="es-AR"/>
        </w:rPr>
        <w:fldChar w:fldCharType="begin"/>
      </w:r>
      <w:r w:rsidR="007436F8" w:rsidRPr="007436F8">
        <w:rPr>
          <w:rFonts w:ascii="Helvetica" w:eastAsia="Aptos" w:hAnsi="Helvetica" w:cs="Helvetica"/>
          <w:color w:val="000000"/>
          <w:sz w:val="22"/>
          <w:szCs w:val="22"/>
          <w:shd w:val="clear" w:color="auto" w:fill="FFFFFF"/>
        </w:rPr>
        <w:instrText xml:space="preserve"> ADDIN ZOTERO_ITEM CSL_CITATION {"citationID":"LDNSgWiE","properties":{"formattedCitation":"[22]","plainCitation":"[22]","noteIndex":0},"citationItems":[{"id":476,"uris":["http://zotero.org/users/17697971/items/KSFF3XI4"],"itemData":{"id":476,"type":"article-journal","abstract":"The MEROPS database (http://merops.sanger.ac.uk) is an integrated source of information about peptidases, their substrates and inhibitors, which are of great relevance to biology, medicine and biotechnology. The hierarchical classification of the database is as follows: homologous sets of sequences are grouped into a protein species; protein species are grouped into a family; families are grouped into clans. There is a type example for each protein species (known as a ‘holotype’), family and clan, and each protein species, family and clan has its own unique identifier. Pages to show the involvement of peptidases and peptidase inhibitors in biological pathways have been created. Each page shows the peptidases and peptidase inhibitors involved in the pathway, along with the known substrate cleavages and peptidase-inhibitor interactions, and a link to the KEGG database of biological pathways. Links have also been established with the IUPHAR Guide to Pharmacology. A new service has been set up to allow the submission of identified substrate cleavages so that conservation of the cleavage site can be assessed. This should help establish whether or not a cleavage site is physiologically re</w:instrText>
      </w:r>
      <w:r w:rsidR="007436F8">
        <w:rPr>
          <w:rFonts w:ascii="Helvetica" w:eastAsia="Aptos" w:hAnsi="Helvetica" w:cs="Helvetica"/>
          <w:color w:val="000000"/>
          <w:sz w:val="22"/>
          <w:szCs w:val="22"/>
          <w:shd w:val="clear" w:color="auto" w:fill="FFFFFF"/>
          <w:lang w:val="es-AR"/>
        </w:rPr>
        <w:instrText xml:space="preserve">levant on the basis that such a cleavage site is likely to be conserved.","container-title":"Nucleic Acids Research","DOI":"10.1093/nar/gkv1118","ISSN":"0305-1048","issue":"D1","page":"D343-D350","title":"Twenty years of the MEROPS database of proteolytic enzymes, their substrates and inhibitors","volume":"44","author":[{"family":"Rawlings","given":"Neil D"},{"family":"Barrett","given":"Alan J"},{"family":"Finn","given":"Robert"}],"issued":{"date-parts":[["2016",1,4]]}}}],"schema":"https://github.com/citation-style-language/schema/raw/master/csl-citation.json"} </w:instrText>
      </w:r>
      <w:r w:rsidRPr="00FA3209">
        <w:rPr>
          <w:rFonts w:ascii="Helvetica" w:eastAsia="Aptos" w:hAnsi="Helvetica" w:cs="Helvetica"/>
          <w:color w:val="000000"/>
          <w:sz w:val="22"/>
          <w:szCs w:val="22"/>
          <w:shd w:val="clear" w:color="auto" w:fill="FFFFFF"/>
          <w:lang w:val="es-AR"/>
        </w:rPr>
        <w:fldChar w:fldCharType="separate"/>
      </w:r>
      <w:r w:rsidR="007436F8" w:rsidRPr="007436F8">
        <w:rPr>
          <w:rFonts w:ascii="Helvetica" w:hAnsi="Helvetica" w:cs="Helvetica"/>
          <w:sz w:val="22"/>
        </w:rPr>
        <w:t>[22]</w:t>
      </w:r>
      <w:r w:rsidRPr="00FA3209">
        <w:rPr>
          <w:rFonts w:ascii="Helvetica" w:eastAsia="Aptos" w:hAnsi="Helvetica" w:cs="Helvetica"/>
          <w:color w:val="000000"/>
          <w:sz w:val="22"/>
          <w:szCs w:val="22"/>
          <w:shd w:val="clear" w:color="auto" w:fill="FFFFFF"/>
          <w:lang w:val="es-AR"/>
        </w:rPr>
        <w:fldChar w:fldCharType="end"/>
      </w:r>
      <w:r w:rsidRPr="00FA3209">
        <w:rPr>
          <w:rFonts w:ascii="Helvetica" w:eastAsia="Aptos" w:hAnsi="Helvetica" w:cs="Helvetica"/>
          <w:color w:val="000000"/>
          <w:sz w:val="22"/>
          <w:szCs w:val="22"/>
          <w:shd w:val="clear" w:color="auto" w:fill="FFFFFF"/>
          <w:lang w:val="es-AR"/>
        </w:rPr>
        <w:t xml:space="preserve">. </w:t>
      </w:r>
      <w:r w:rsidRPr="00FA3209">
        <w:rPr>
          <w:rFonts w:ascii="Helvetica" w:eastAsia="Aptos" w:hAnsi="Helvetica" w:cs="Helvetica"/>
          <w:color w:val="000000"/>
          <w:sz w:val="22"/>
          <w:szCs w:val="22"/>
          <w:shd w:val="clear" w:color="auto" w:fill="FFFFFF"/>
        </w:rPr>
        <w:t xml:space="preserve">Within the METABOLIC pipeline, the taxonomy of each MAGs was also found using the GTDB-TK </w:t>
      </w:r>
      <w:r w:rsidRPr="00FA3209">
        <w:rPr>
          <w:rFonts w:ascii="Helvetica" w:eastAsia="Aptos" w:hAnsi="Helvetica" w:cs="Helvetica"/>
          <w:color w:val="000000"/>
          <w:sz w:val="22"/>
          <w:szCs w:val="22"/>
          <w:shd w:val="clear" w:color="auto" w:fill="FFFFFF"/>
        </w:rPr>
        <w:fldChar w:fldCharType="begin"/>
      </w:r>
      <w:r w:rsidR="007436F8">
        <w:rPr>
          <w:rFonts w:ascii="Helvetica" w:eastAsia="Aptos" w:hAnsi="Helvetica" w:cs="Helvetica"/>
          <w:color w:val="000000"/>
          <w:sz w:val="22"/>
          <w:szCs w:val="22"/>
          <w:shd w:val="clear" w:color="auto" w:fill="FFFFFF"/>
        </w:rPr>
        <w:instrText xml:space="preserve"> ADDIN ZOTERO_ITEM CSL_CITATION {"citationID":"R2sGCL9H","properties":{"formattedCitation":"[23]","plainCitation":"[23]","noteIndex":0},"citationItems":[{"id":477,"uris":["http://zotero.org/users/17697971/items/DMNBLNGE"],"itemData":{"id":477,"type":"article-journal","abstract":"The Genome Taxonomy Database Toolkit (GTDB-Tk) provides objective taxonomic assignments for bacterial and archaeal genomes based on the GTDB. GTDB-Tk is computationally efficient and able to classify thousands of draft genomes in parallel. Here we demonstrate the accuracy of the GTDB-Tk taxonomic assignments by evaluating its performance on a phylogenetically diverse set of 10 156 bacterial and archaeal metagenome-assembled genomes.GTDB-Tk is implemented in Python and licenced under the GNU General Public Licence v3.0. Source code and documentation are available at: https://github.com/ecogenomics/gtdbtk.Supplementary data are available at Bioinformatics online.","container-title":"Bioinformatics","DOI":"10.1093/bioinformatics/btz848","ISSN":"1367-4803","issue":"6","page":"1925-1927","title":"GTDB-Tk: a toolkit to classify genomes with the Genome Taxonomy Database","volume":"36","author":[{"family":"Chaumeil","given":"Pierre-Alain"},{"family":"Mussig","given":"Aaron J"},{"family":"Hugenholtz","given":"Philip"},{"family":"Parks","given":"Donovan H"}],"issued":{"date-parts":[["2020",3,15]]}}}],"schema":"https://github.com/citation-style-language/schema/raw/master/csl-citation.json"}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[23]</w:t>
      </w:r>
      <w:r w:rsidRPr="00FA3209">
        <w:rPr>
          <w:rFonts w:ascii="Helvetica" w:eastAsia="Aptos" w:hAnsi="Helvetica" w:cs="Helvetica"/>
          <w:color w:val="000000"/>
          <w:sz w:val="22"/>
          <w:szCs w:val="22"/>
          <w:shd w:val="clear" w:color="auto" w:fill="FFFFFF"/>
        </w:rPr>
        <w:fldChar w:fldCharType="end"/>
      </w:r>
      <w:r w:rsidRPr="00FA3209">
        <w:rPr>
          <w:rFonts w:ascii="Helvetica" w:eastAsia="Aptos" w:hAnsi="Helvetica" w:cs="Helvetica"/>
          <w:color w:val="000000"/>
          <w:sz w:val="22"/>
          <w:szCs w:val="22"/>
          <w:shd w:val="clear" w:color="auto" w:fill="FFFFFF"/>
        </w:rPr>
        <w:t xml:space="preserve"> database. To deduce the phylogeny of the MAGs, we employed GToTree </w:t>
      </w:r>
      <w:r w:rsidRPr="00FA3209">
        <w:rPr>
          <w:rFonts w:ascii="Helvetica" w:eastAsia="Aptos" w:hAnsi="Helvetica" w:cs="Helvetica"/>
          <w:color w:val="000000"/>
          <w:sz w:val="22"/>
          <w:szCs w:val="22"/>
          <w:shd w:val="clear" w:color="auto" w:fill="FFFFFF"/>
        </w:rPr>
        <w:fldChar w:fldCharType="begin"/>
      </w:r>
      <w:r w:rsidR="007436F8">
        <w:rPr>
          <w:rFonts w:ascii="Helvetica" w:eastAsia="Aptos" w:hAnsi="Helvetica" w:cs="Helvetica"/>
          <w:color w:val="000000"/>
          <w:sz w:val="22"/>
          <w:szCs w:val="22"/>
          <w:shd w:val="clear" w:color="auto" w:fill="FFFFFF"/>
        </w:rPr>
        <w:instrText xml:space="preserve"> ADDIN ZOTERO_ITEM CSL_CITATION {"citationID":"P682XmqQ","properties":{"formattedCitation":"[24]","plainCitation":"[24]","noteIndex":0},"citationItems":[{"id":478,"uris":["http://zotero.org/users/17697971/items/UGK7JA3C"],"itemData":{"id":478,"type":"article-journal","abstract":"Genome-level evolutionary inference (i.e. phylogenomics) is becoming an increasingly essential step in many biologists’ work. Accordingly, there are several tools available for the major steps in a phylogenomics workflow. But for the biologist whose main focus is not bioinformatics, much of the computational work required—such as accessing genomic data on large scales, integrating genomes from different file formats, performing required filtering, stitching different tools together etc.—can be prohibitive. Here I introduce GToTree, a command-line tool that can take any combination of fasta files, GenBank files and/or NCBI assembly accessions as input and outputs an alignment file, estimates of genome completeness and redundancy, and a phylogenomic tree based on a specified single-copy gene (SCG) set. Although GToTree can work with any custom hidden Markov Models (HMMs), also included are 13 newly generated SCG-set HMMs for different lineages and levels of resolution, built based on searches of </w:instrText>
      </w:r>
      <w:r w:rsidR="007436F8">
        <w:rPr>
          <w:rFonts w:ascii="Cambria Math" w:eastAsia="Aptos" w:hAnsi="Cambria Math" w:cs="Cambria Math"/>
          <w:color w:val="000000"/>
          <w:sz w:val="22"/>
          <w:szCs w:val="22"/>
          <w:shd w:val="clear" w:color="auto" w:fill="FFFFFF"/>
        </w:rPr>
        <w:instrText>∼</w:instrText>
      </w:r>
      <w:r w:rsidR="007436F8">
        <w:rPr>
          <w:rFonts w:ascii="Helvetica" w:eastAsia="Aptos" w:hAnsi="Helvetica" w:cs="Helvetica"/>
          <w:color w:val="000000"/>
          <w:sz w:val="22"/>
          <w:szCs w:val="22"/>
          <w:shd w:val="clear" w:color="auto" w:fill="FFFFFF"/>
        </w:rPr>
        <w:instrText xml:space="preserve">12 000 bacterial and archaeal high-quality genomes. GToTree aims to give more researchers the capability to make phylogenomic trees.GToTree is open-source and freely available for download from: github.com/AstrobioMike/GToTree. It is implemented primarily in bash with helper scripts written in python.Supplementary data are available at Bioinformatics online.","container-title":"Bioinformatics","DOI":"10.1093/bioinformatics/btz188","ISSN":"1367-4803","issue":"20","page":"4162-4164","title":"GToTree: a user-friendly workflow for phylogenomics","volume":"35","author":[{"family":"Lee","given":"Michael D"}],"issued":{"date-parts":[["2019",10,15]]}}}],"schema":"https://github.com/citation-style-language/schema/raw/master/csl-citation.json"} </w:instrText>
      </w:r>
      <w:r w:rsidRPr="00FA3209">
        <w:rPr>
          <w:rFonts w:ascii="Helvetica" w:eastAsia="Aptos" w:hAnsi="Helvetica" w:cs="Helvetica"/>
          <w:color w:val="000000"/>
          <w:sz w:val="22"/>
          <w:szCs w:val="22"/>
          <w:shd w:val="clear" w:color="auto" w:fill="FFFFFF"/>
        </w:rPr>
        <w:fldChar w:fldCharType="separate"/>
      </w:r>
      <w:r w:rsidR="007436F8" w:rsidRPr="007436F8">
        <w:rPr>
          <w:rFonts w:ascii="Helvetica" w:hAnsi="Helvetica" w:cs="Helvetica"/>
          <w:sz w:val="22"/>
        </w:rPr>
        <w:t>[24]</w:t>
      </w:r>
      <w:r w:rsidRPr="00FA3209">
        <w:rPr>
          <w:rFonts w:ascii="Helvetica" w:eastAsia="Aptos" w:hAnsi="Helvetica" w:cs="Helvetica"/>
          <w:color w:val="000000"/>
          <w:sz w:val="22"/>
          <w:szCs w:val="22"/>
          <w:shd w:val="clear" w:color="auto" w:fill="FFFFFF"/>
        </w:rPr>
        <w:fldChar w:fldCharType="end"/>
      </w:r>
      <w:r w:rsidRPr="00FA3209">
        <w:rPr>
          <w:rFonts w:ascii="Helvetica" w:eastAsia="Aptos" w:hAnsi="Helvetica" w:cs="Helvetica"/>
          <w:color w:val="000000"/>
          <w:sz w:val="22"/>
          <w:szCs w:val="22"/>
          <w:shd w:val="clear" w:color="auto" w:fill="FFFFFF"/>
        </w:rPr>
        <w:t xml:space="preserve">. The software offers various Single Copy Genes (SCGs) sets based on the resolution of domains and the taxonomic rank of interest. Specifically, we utilized a 25-gene set for Bacteria and Archaea. To identify novel MAGs, we utilized the Genome Tree Toolkit available at </w:t>
      </w:r>
      <w:hyperlink r:id="rId7" w:history="1">
        <w:r w:rsidRPr="00FA3209">
          <w:rPr>
            <w:rFonts w:ascii="Helvetica" w:eastAsia="Aptos" w:hAnsi="Helvetica" w:cs="Helvetica"/>
            <w:color w:val="467886"/>
            <w:sz w:val="22"/>
            <w:szCs w:val="22"/>
            <w:u w:val="single"/>
            <w:shd w:val="clear" w:color="auto" w:fill="FFFFFF"/>
          </w:rPr>
          <w:t>https://github.com/donovan-h-parks/GenomeTreeTk</w:t>
        </w:r>
      </w:hyperlink>
      <w:r w:rsidRPr="00FA3209">
        <w:rPr>
          <w:rFonts w:ascii="Helvetica" w:eastAsia="Aptos" w:hAnsi="Helvetica" w:cs="Helvetica"/>
          <w:color w:val="000000"/>
          <w:sz w:val="22"/>
          <w:szCs w:val="22"/>
          <w:shd w:val="clear" w:color="auto" w:fill="FFFFFF"/>
        </w:rPr>
        <w:t>. This involved assessing the phylogenetic gain for each MAG against the rest of the tree, with higher values potentially indicating novel species. We calculated these values for each MAG in the trees recovered using both the 25-gene Bacteria and Archaea SCGs set. Finally, reads from each sample was mapped against the MAGs to generate a coverage table of mean abundances using CoverM (</w:t>
      </w:r>
      <w:hyperlink r:id="rId8" w:history="1">
        <w:r w:rsidRPr="00FA3209">
          <w:rPr>
            <w:rFonts w:ascii="Helvetica" w:eastAsia="Aptos" w:hAnsi="Helvetica" w:cs="Helvetica"/>
            <w:color w:val="467886"/>
            <w:sz w:val="22"/>
            <w:szCs w:val="22"/>
            <w:u w:val="single"/>
            <w:shd w:val="clear" w:color="auto" w:fill="FFFFFF"/>
          </w:rPr>
          <w:t>https://github.com/wwood/CoverM</w:t>
        </w:r>
      </w:hyperlink>
      <w:r w:rsidRPr="00FA3209">
        <w:rPr>
          <w:rFonts w:ascii="Helvetica" w:eastAsia="Aptos" w:hAnsi="Helvetica" w:cs="Helvetica"/>
          <w:color w:val="000000"/>
          <w:sz w:val="22"/>
          <w:szCs w:val="22"/>
          <w:shd w:val="clear" w:color="auto" w:fill="FFFFFF"/>
        </w:rPr>
        <w:t xml:space="preserve">). </w:t>
      </w:r>
    </w:p>
    <w:p w14:paraId="38EB9169" w14:textId="77777777" w:rsidR="00FA3209" w:rsidRPr="00CD291A" w:rsidRDefault="00FA3209" w:rsidP="00CD291A">
      <w:pPr>
        <w:pStyle w:val="Heading3"/>
        <w:rPr>
          <w:rFonts w:ascii="Helvetica" w:eastAsia="Times New Roman" w:hAnsi="Helvetica" w:cs="Helvetica"/>
          <w:color w:val="404040" w:themeColor="text1" w:themeTint="BF"/>
          <w:szCs w:val="24"/>
        </w:rPr>
      </w:pPr>
      <w:r w:rsidRPr="00CD291A">
        <w:rPr>
          <w:rFonts w:ascii="Helvetica" w:eastAsia="Times New Roman" w:hAnsi="Helvetica" w:cs="Helvetica"/>
          <w:color w:val="404040" w:themeColor="text1" w:themeTint="BF"/>
          <w:szCs w:val="24"/>
        </w:rPr>
        <w:t>Statistical methods</w:t>
      </w:r>
    </w:p>
    <w:p w14:paraId="40364AB4" w14:textId="0646D8F9" w:rsidR="00FA3209" w:rsidRPr="00FA3209" w:rsidRDefault="00FA3209" w:rsidP="00FA3209">
      <w:pPr>
        <w:spacing w:line="480" w:lineRule="auto"/>
        <w:jc w:val="both"/>
        <w:rPr>
          <w:rFonts w:ascii="Helvetica" w:eastAsia="Aptos" w:hAnsi="Helvetica" w:cs="Helvetica"/>
          <w:bCs/>
        </w:rPr>
      </w:pPr>
      <w:r w:rsidRPr="00FA3209">
        <w:rPr>
          <w:rFonts w:ascii="Helvetica" w:eastAsia="Aptos" w:hAnsi="Helvetica" w:cs="Helvetica"/>
        </w:rPr>
        <w:t xml:space="preserve">For 16S rRNA dataset, </w:t>
      </w:r>
      <w:r w:rsidRPr="00FA3209">
        <w:rPr>
          <w:rFonts w:ascii="Helvetica" w:eastAsia="Aptos" w:hAnsi="Helvetica" w:cs="Helvetica"/>
          <w:bCs/>
        </w:rPr>
        <w:t xml:space="preserve">as a pre-processing step, we selected for samples with &gt;5000 reads, and removed typical contaminants such as </w:t>
      </w:r>
      <w:r w:rsidRPr="00FA3209">
        <w:rPr>
          <w:rFonts w:ascii="Helvetica" w:eastAsia="Aptos" w:hAnsi="Helvetica" w:cs="Helvetica"/>
          <w:bCs/>
          <w:i/>
          <w:iCs/>
        </w:rPr>
        <w:t>Mitochondria</w:t>
      </w:r>
      <w:r w:rsidRPr="00FA3209">
        <w:rPr>
          <w:rFonts w:ascii="Helvetica" w:eastAsia="Aptos" w:hAnsi="Helvetica" w:cs="Helvetica"/>
          <w:bCs/>
        </w:rPr>
        <w:t xml:space="preserve"> and </w:t>
      </w:r>
      <w:r w:rsidRPr="00FA3209">
        <w:rPr>
          <w:rFonts w:ascii="Helvetica" w:eastAsia="Aptos" w:hAnsi="Helvetica" w:cs="Helvetica"/>
          <w:bCs/>
          <w:i/>
          <w:iCs/>
        </w:rPr>
        <w:t>Chloroplasts</w:t>
      </w:r>
      <w:r w:rsidRPr="00FA3209">
        <w:rPr>
          <w:rFonts w:ascii="Helvetica" w:eastAsia="Aptos" w:hAnsi="Helvetica" w:cs="Helvetica"/>
          <w:bCs/>
        </w:rPr>
        <w:t xml:space="preserve">, as well as any Operational Taxonomic Units (OTUs) that were unassigned at all levels, as per recommendations given at </w:t>
      </w:r>
      <w:hyperlink r:id="rId9" w:history="1">
        <w:r w:rsidRPr="00FA3209">
          <w:rPr>
            <w:rFonts w:ascii="Helvetica" w:eastAsia="Aptos" w:hAnsi="Helvetica" w:cs="Helvetica"/>
            <w:bCs/>
            <w:color w:val="467886"/>
            <w:u w:val="single"/>
          </w:rPr>
          <w:t>https://docs.qiime2.org/2022.8/tutorials/filtering/</w:t>
        </w:r>
      </w:hyperlink>
      <w:r w:rsidRPr="00FA3209">
        <w:rPr>
          <w:rFonts w:ascii="Helvetica" w:eastAsia="Aptos" w:hAnsi="Helvetica" w:cs="Helvetica"/>
          <w:bCs/>
        </w:rPr>
        <w:t xml:space="preserve">. For shotgun metagenomics, we have used &gt;50% complete and &lt;10% contaminated MAGs (dropping out one mock community sample which was used as a quality control) with a final table of 20 samples with abundances of 148 MAGs. The R’s vegan package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{"citationID":"kuMUzcN3","properties":{"formattedCitation":"[25]","plainCitation":"[25]","noteIndex":0},"citationItems":[{"id":479,"uris":["http://zotero.org/users/17697971/items/MHHS6TT3"],"itemData":{"id":479,"type":"article-journal","container-title":"Journal of vegetation science","ISSN":"1100-9233","issue":"6","note":"publisher: Wiley Online Library","page":"927-930","title":"VEGAN, a package of R functions for community ecology","volume":"14","author":[{"family":"Dixon","given":"Philip"}],"issued":{"date-parts":[["2003"]]}}}],"schema":"https://github.com/citation-style-language/schema/raw/master/csl-citation.json"}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[25]</w:t>
      </w:r>
      <w:r w:rsidRPr="00FA3209">
        <w:rPr>
          <w:rFonts w:ascii="Helvetica" w:eastAsia="Aptos" w:hAnsi="Helvetica" w:cs="Helvetica"/>
          <w:bCs/>
        </w:rPr>
        <w:fldChar w:fldCharType="end"/>
      </w:r>
      <w:r w:rsidRPr="00FA3209">
        <w:rPr>
          <w:rFonts w:ascii="Helvetica" w:eastAsia="Aptos" w:hAnsi="Helvetica" w:cs="Helvetica"/>
          <w:bCs/>
        </w:rPr>
        <w:t xml:space="preserve"> was used for alpha and beta diversity analyses. For alpha diversity, </w:t>
      </w:r>
      <w:r w:rsidRPr="00FA3209">
        <w:rPr>
          <w:rFonts w:ascii="Helvetica" w:eastAsia="Aptos" w:hAnsi="Helvetica" w:cs="Helvetica"/>
          <w:bCs/>
          <w:i/>
          <w:iCs/>
        </w:rPr>
        <w:t xml:space="preserve">Chao1 </w:t>
      </w:r>
      <w:r w:rsidRPr="00FA3209">
        <w:rPr>
          <w:rFonts w:ascii="Helvetica" w:eastAsia="Aptos" w:hAnsi="Helvetica" w:cs="Helvetica"/>
          <w:bCs/>
          <w:i/>
          <w:iCs/>
        </w:rPr>
        <w:lastRenderedPageBreak/>
        <w:t>richness</w:t>
      </w:r>
      <w:r w:rsidRPr="00FA3209">
        <w:rPr>
          <w:rFonts w:ascii="Helvetica" w:eastAsia="Aptos" w:hAnsi="Helvetica" w:cs="Helvetica"/>
          <w:bCs/>
        </w:rPr>
        <w:t xml:space="preserve"> (the estimated number of species/features in an abundance table) was used all the tables: OTU and MetaCyc (recovered using PICRUSt2 software) tables for 16S rRNA dataset; and on coverage table and Modules table (recovered using the METABOLIC software). </w:t>
      </w:r>
    </w:p>
    <w:p w14:paraId="7DDCA1E5" w14:textId="19AA5888" w:rsidR="00FA3209" w:rsidRPr="00FA3209" w:rsidRDefault="00FA3209" w:rsidP="00FA3209">
      <w:pPr>
        <w:spacing w:line="480" w:lineRule="auto"/>
        <w:jc w:val="both"/>
        <w:rPr>
          <w:rFonts w:ascii="Helvetica" w:eastAsia="Aptos" w:hAnsi="Helvetica" w:cs="Helvetica"/>
          <w:bCs/>
        </w:rPr>
      </w:pPr>
      <w:r w:rsidRPr="00FA3209">
        <w:rPr>
          <w:rFonts w:ascii="Helvetica" w:eastAsia="Aptos" w:hAnsi="Helvetica" w:cs="Helvetica"/>
          <w:bCs/>
        </w:rPr>
        <w:t xml:space="preserve">To visualise the samples from 16S rRNA dataset, we have used Principal Coordinate Analysis (PCoA) with different distance measures. Specifically, we have used three different measures in PCoA: (i) </w:t>
      </w:r>
      <w:r w:rsidRPr="00FA3209">
        <w:rPr>
          <w:rFonts w:ascii="Helvetica" w:eastAsia="Aptos" w:hAnsi="Helvetica" w:cs="Helvetica"/>
          <w:bCs/>
          <w:i/>
          <w:iCs/>
        </w:rPr>
        <w:t>Bray-Curtis distance</w:t>
      </w:r>
      <w:r w:rsidRPr="00FA3209">
        <w:rPr>
          <w:rFonts w:ascii="Helvetica" w:eastAsia="Aptos" w:hAnsi="Helvetica" w:cs="Helvetica"/>
          <w:bCs/>
        </w:rPr>
        <w:t xml:space="preserve"> on the OTU abundance table to visualise the compositional changes; (ii) </w:t>
      </w:r>
      <w:r w:rsidRPr="00FA3209">
        <w:rPr>
          <w:rFonts w:ascii="Helvetica" w:eastAsia="Aptos" w:hAnsi="Helvetica" w:cs="Helvetica"/>
          <w:bCs/>
          <w:i/>
          <w:iCs/>
        </w:rPr>
        <w:t>Unweighted UniFrac distance</w:t>
      </w:r>
      <w:r w:rsidRPr="00FA3209">
        <w:rPr>
          <w:rFonts w:ascii="Helvetica" w:eastAsia="Aptos" w:hAnsi="Helvetica" w:cs="Helvetica"/>
          <w:bCs/>
        </w:rPr>
        <w:t xml:space="preserve"> estimated using R’s Phyloseq package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{"citationID":"tGB4F2my","properties":{"formattedCitation":"[26]","plainCitation":"[26]","noteIndex":0},"citationItems":[{"id":480,"uris":["http://zotero.org/users/17697971/items/28ZTK22K"],"itemData":{"id":480,"type":"article-journal","container-title":"PloS one","ISSN":"1932-6203","issue":"4","note":"publisher: Public Library of Science San Francisco, USA","page":"e61217","title":"phyloseq: an R package for reproducible interactive analysis and graphics of microbiome census data","volume":"8","author":[{"family":"McMurdie","given":"Paul J"},{"family":"Holmes","given":"Susan"}],"issued":{"date-parts":[["2013"]]}}}],"schema":"https://github.com/citation-style-language/schema/raw/master/csl-citation.json"}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[26]</w:t>
      </w:r>
      <w:r w:rsidRPr="00FA3209">
        <w:rPr>
          <w:rFonts w:ascii="Helvetica" w:eastAsia="Aptos" w:hAnsi="Helvetica" w:cs="Helvetica"/>
          <w:bCs/>
        </w:rPr>
        <w:fldChar w:fldCharType="end"/>
      </w:r>
      <w:r w:rsidRPr="00FA3209">
        <w:rPr>
          <w:rFonts w:ascii="Helvetica" w:eastAsia="Aptos" w:hAnsi="Helvetica" w:cs="Helvetica"/>
          <w:bCs/>
        </w:rPr>
        <w:t xml:space="preserve"> </w:t>
      </w:r>
      <w:r w:rsidRPr="00FA3209">
        <w:rPr>
          <w:rFonts w:ascii="Helvetica" w:eastAsia="Times New Roman" w:hAnsi="Helvetica" w:cs="Helvetica"/>
          <w:color w:val="000000"/>
        </w:rPr>
        <w:t xml:space="preserve">to </w:t>
      </w:r>
      <w:r w:rsidRPr="00FA3209">
        <w:rPr>
          <w:rFonts w:ascii="Helvetica" w:eastAsia="Aptos" w:hAnsi="Helvetica" w:cs="Helvetica"/>
          <w:bCs/>
        </w:rPr>
        <w:t xml:space="preserve">see changes between samples in terms of phylogeny; and (iii) </w:t>
      </w:r>
      <w:r w:rsidRPr="00FA3209">
        <w:rPr>
          <w:rFonts w:ascii="Helvetica" w:eastAsia="Aptos" w:hAnsi="Helvetica" w:cs="Helvetica"/>
          <w:bCs/>
          <w:i/>
          <w:iCs/>
        </w:rPr>
        <w:t>Hierarchical Meta-Storms</w:t>
      </w:r>
      <w:r w:rsidRPr="00FA3209">
        <w:rPr>
          <w:rFonts w:ascii="Helvetica" w:eastAsia="Aptos" w:hAnsi="Helvetica" w:cs="Helvetica"/>
          <w:bCs/>
        </w:rPr>
        <w:t xml:space="preserve"> (HMS)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{"citationID":"8t17bW8i","properties":{"formattedCitation":"[27]","plainCitation":"[27]","noteIndex":0},"citationItems":[{"id":481,"uris":["http://zotero.org/users/17697971/items/9YEL35NQ"],"itemData":{"id":481,"type":"article-journal","container-title":"Bioinformatics Advances","ISSN":"2635-0041","issue":"1","note":"publisher: Oxford University Press","page":"vbab003","title":"Hierarchical Meta-Storms enables comprehensive and rapid comparison of microbiome functional profiles on a large scale using hierarchical dissimilarity metrics and parallel computing","volume":"1","author":[{"family":"Zhang","given":"Yufeng"},{"family":"Jing","given":"Gongchao"},{"family":"Chen","given":"Yuzhu"},{"family":"Li","given":"Jinhua"},{"family":"Su","given":"Xiaoquan"}],"issued":{"date-parts":[["2021"]]}}}],"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[27]</w:t>
      </w:r>
      <w:r w:rsidRPr="00FA3209">
        <w:rPr>
          <w:rFonts w:ascii="Helvetica" w:eastAsia="Aptos" w:hAnsi="Helvetica" w:cs="Helvetica"/>
          <w:bCs/>
        </w:rPr>
        <w:fldChar w:fldCharType="end"/>
      </w:r>
      <w:r w:rsidRPr="00FA3209">
        <w:rPr>
          <w:rFonts w:ascii="Helvetica" w:eastAsia="Aptos" w:hAnsi="Helvetica" w:cs="Helvetica"/>
          <w:bCs/>
        </w:rPr>
        <w:t>, a recently proposed functional beta diversity distance which takes the observed KEGG Orthologs (KOs) recovered using PICRUSt2 software. In HMS, the functional beta diversity is calculated in a hierarchical fashion (with knowledge of which KEGG pathways these KOs coded from the KEGG BRITE Database). Additionally, Vegan package was also used to perform PERMANOVA analyses (using adonis2() function from R’s vegan package) to see if the microbial or functional community structures can be explained by different sources of variability. The R</w:t>
      </w:r>
      <w:r w:rsidRPr="00FA3209">
        <w:rPr>
          <w:rFonts w:ascii="Helvetica" w:eastAsia="Aptos" w:hAnsi="Helvetica" w:cs="Helvetica"/>
          <w:bCs/>
          <w:vertAlign w:val="superscript"/>
        </w:rPr>
        <w:t>2</w:t>
      </w:r>
      <w:r w:rsidRPr="00FA3209">
        <w:rPr>
          <w:rFonts w:ascii="Helvetica" w:eastAsia="Aptos" w:hAnsi="Helvetica" w:cs="Helvetica"/>
          <w:bCs/>
        </w:rPr>
        <w:t xml:space="preserve"> values from PERMANOVA explaining percentage variability between different groups are then provided under the PCoA figures. </w:t>
      </w:r>
    </w:p>
    <w:p w14:paraId="143BCB79" w14:textId="2C969763" w:rsidR="00FA3209" w:rsidRPr="00FA3209" w:rsidRDefault="00FA3209" w:rsidP="00FA3209">
      <w:pPr>
        <w:spacing w:line="480" w:lineRule="auto"/>
        <w:jc w:val="both"/>
        <w:rPr>
          <w:rFonts w:ascii="Helvetica" w:eastAsia="Aptos" w:hAnsi="Helvetica" w:cs="Helvetica"/>
          <w:bCs/>
        </w:rPr>
      </w:pPr>
      <w:r w:rsidRPr="00FA3209">
        <w:rPr>
          <w:rFonts w:ascii="Helvetica" w:eastAsia="Aptos" w:hAnsi="Helvetica" w:cs="Helvetica"/>
          <w:bCs/>
          <w:lang w:val="en-US"/>
        </w:rPr>
        <w:t xml:space="preserve">To select the environmental parameters most strongly associated with the variance of the observed communities, we have also applied redundancy analysis (RDA) on different beta diversity distances using Vegan’s capscale() and ordistep() functions in the following set of commands: </w:t>
      </w:r>
      <w:r w:rsidRPr="00FA3209">
        <w:rPr>
          <w:rFonts w:ascii="Helvetica" w:eastAsia="Aptos" w:hAnsi="Helvetica" w:cs="Helvetica"/>
          <w:bCs/>
        </w:rPr>
        <w:t>cap.env = capscale( abund_table.dist~., meta_table);</w:t>
      </w:r>
      <w:r w:rsidRPr="00FA3209">
        <w:rPr>
          <w:rFonts w:ascii="Helvetica" w:eastAsia="Aptos" w:hAnsi="Helvetica" w:cs="Helvetica"/>
          <w:bCs/>
          <w:lang w:val="en-US"/>
        </w:rPr>
        <w:t xml:space="preserve"> </w:t>
      </w:r>
      <w:r w:rsidRPr="00FA3209">
        <w:rPr>
          <w:rFonts w:ascii="Helvetica" w:eastAsia="Aptos" w:hAnsi="Helvetica" w:cs="Helvetica"/>
          <w:bCs/>
        </w:rPr>
        <w:t xml:space="preserve">mod0.env = capscale( abund_table.dist~1, meta_table); step.env=ordistep(mod0.env, </w:t>
      </w:r>
      <w:r w:rsidRPr="00FA3209">
        <w:rPr>
          <w:rFonts w:ascii="Helvetica" w:eastAsia="Aptos" w:hAnsi="Helvetica" w:cs="Helvetica"/>
          <w:bCs/>
        </w:rPr>
        <w:lastRenderedPageBreak/>
        <w:t xml:space="preserve">scope=formula(cap.env), direction=”both”, Pin=0.1, perm.max=9999, R2scope=TRUE). step.env$anova with p&lt;0.05 was then able to identify the subset of parameter which were later used in and additional PERMANOVA analysis. This approach has previously been used in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{"citationID":"v019cwaa","properties":{"formattedCitation":"[28]","plainCitation":"[28]","noteIndex":0},"citationItems":[{"id":482,"uris":["http://zotero.org/users/17697971/items/TNF9P6VZ"],"itemData":{"id":482,"type":"article-journal","container-title":"Scientific Reports","ISSN":"2045-2322","issue":"1","note":"publisher: Nature Publishing Group UK London","page":"2455","title":"Using null models to compare bacterial and microeukaryotic metacommunity assembly under shifting environmental conditions","volume":"10","author":[{"family":"Vass","given":"Máté"},{"family":"Székely","given":"Anna J"},{"family":"Lindström","given":"Eva S"},{"family":"Langenheder","given":"Silke"}],"issued":{"date-parts":[["2020"]]}}}],"schema":"https://github.com/citation-style-language/schema/raw/master/csl-citation.json"}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[28]</w:t>
      </w:r>
      <w:r w:rsidRPr="00FA3209">
        <w:rPr>
          <w:rFonts w:ascii="Helvetica" w:eastAsia="Aptos" w:hAnsi="Helvetica" w:cs="Helvetica"/>
          <w:bCs/>
        </w:rPr>
        <w:fldChar w:fldCharType="end"/>
      </w:r>
      <w:r w:rsidRPr="00FA3209">
        <w:rPr>
          <w:rFonts w:ascii="Helvetica" w:eastAsia="Aptos" w:hAnsi="Helvetica" w:cs="Helvetica"/>
          <w:bCs/>
        </w:rPr>
        <w:t xml:space="preserve">. For key parameters, we then fitted smooth surfaces of the covariates on ordination plot (PCoA in this case) using penalised splines through the function ordisurf() in R’s Vegan package. The method uses generalised additive model by regressing the covariates as C ~ S (Dim1, Dim2), where Dim1 and Dim2 are the ordination scores extracted from PCoA and S() is a spline function. We have only shown those covariates where the model fits i.e., p &lt; 0.05. The results are shown in the supplementary material. </w:t>
      </w:r>
    </w:p>
    <w:p w14:paraId="54F9AF68" w14:textId="1E7D4E23" w:rsidR="00FA3209" w:rsidRPr="00FA3209" w:rsidRDefault="00FA3209" w:rsidP="00FA3209">
      <w:pPr>
        <w:spacing w:line="480" w:lineRule="auto"/>
        <w:jc w:val="both"/>
        <w:rPr>
          <w:rFonts w:ascii="Helvetica" w:eastAsia="Aptos" w:hAnsi="Helvetica" w:cs="Helvetica"/>
          <w:bCs/>
          <w:szCs w:val="20"/>
        </w:rPr>
      </w:pPr>
      <w:r w:rsidRPr="00FA3209">
        <w:rPr>
          <w:rFonts w:ascii="Helvetica" w:eastAsia="Aptos" w:hAnsi="Helvetica" w:cs="Helvetica"/>
          <w:bCs/>
        </w:rPr>
        <w:t xml:space="preserve">For 16S rRNA dataset, to identify core microbiome of each phase of the system (Water DS, Water Tank, Sediment, Biofilm Cement, and Biofilm Polyethylene), we have used the approach discussed in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{"citationID":"5YHoOtdr","properties":{"formattedCitation":"[29]","plainCitation":"[29]","noteIndex":0},"citationItems":[{"id":483,"uris":["http://zotero.org/users/17697971/items/IV4868SL"],"itemData":{"id":483,"type":"article-journal","container-title":"Current opinion in microbiology","ISSN":"1369-5274","note":"publisher: Elsevier","page":"50-58","title":"Abundance-occupancy distributions to prioritize plant core microbiome membership","volume":"49","author":[{"family":"Shade","given":"Ashley"},{"family":"Stopnisek","given":"Nejc"}],"issued":{"date-parts":[["2019"]]}}}],"schema":"https://github.com/citation-style-language/schema/raw/master/csl-citation.json"}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[29]</w:t>
      </w:r>
      <w:r w:rsidRPr="00FA3209">
        <w:rPr>
          <w:rFonts w:ascii="Helvetica" w:eastAsia="Aptos" w:hAnsi="Helvetica" w:cs="Helvetica"/>
          <w:bCs/>
        </w:rPr>
        <w:fldChar w:fldCharType="end"/>
      </w:r>
      <w:r w:rsidRPr="00FA3209">
        <w:rPr>
          <w:rFonts w:ascii="Helvetica" w:eastAsia="Aptos" w:hAnsi="Helvetica" w:cs="Helvetica"/>
          <w:bCs/>
        </w:rPr>
        <w:t xml:space="preserve">. The approach i first ranks the OTUs using two metrics: time-specific occupancy (whether samples are grouped by different treatment groups, namely, </w:t>
      </w:r>
      <w:r w:rsidRPr="00FA3209">
        <w:rPr>
          <w:rFonts w:ascii="Helvetica" w:eastAsia="Aptos" w:hAnsi="Helvetica" w:cs="Helvetica"/>
          <w:bCs/>
          <w:i/>
          <w:iCs/>
        </w:rPr>
        <w:t>Pre,</w:t>
      </w:r>
      <w:r w:rsidRPr="00FA3209">
        <w:rPr>
          <w:rFonts w:ascii="Helvetica" w:eastAsia="Aptos" w:hAnsi="Helvetica" w:cs="Helvetica"/>
          <w:bCs/>
        </w:rPr>
        <w:t xml:space="preserve"> </w:t>
      </w:r>
      <w:r w:rsidRPr="00FA3209">
        <w:rPr>
          <w:rFonts w:ascii="Helvetica" w:eastAsia="Aptos" w:hAnsi="Helvetica" w:cs="Helvetica"/>
          <w:bCs/>
          <w:i/>
          <w:iCs/>
        </w:rPr>
        <w:t>3 months</w:t>
      </w:r>
      <w:r w:rsidRPr="00FA3209">
        <w:rPr>
          <w:rFonts w:ascii="Helvetica" w:eastAsia="Aptos" w:hAnsi="Helvetica" w:cs="Helvetica"/>
          <w:bCs/>
        </w:rPr>
        <w:t xml:space="preserve">, </w:t>
      </w:r>
      <w:r w:rsidRPr="00FA3209">
        <w:rPr>
          <w:rFonts w:ascii="Helvetica" w:eastAsia="Aptos" w:hAnsi="Helvetica" w:cs="Helvetica"/>
          <w:bCs/>
          <w:i/>
          <w:iCs/>
        </w:rPr>
        <w:t>6 months</w:t>
      </w:r>
      <w:r w:rsidRPr="00FA3209">
        <w:rPr>
          <w:rFonts w:ascii="Helvetica" w:eastAsia="Aptos" w:hAnsi="Helvetica" w:cs="Helvetica"/>
          <w:bCs/>
        </w:rPr>
        <w:t xml:space="preserve">, </w:t>
      </w:r>
      <w:r w:rsidRPr="00FA3209">
        <w:rPr>
          <w:rFonts w:ascii="Helvetica" w:eastAsia="Aptos" w:hAnsi="Helvetica" w:cs="Helvetica"/>
          <w:bCs/>
          <w:i/>
          <w:iCs/>
        </w:rPr>
        <w:t>9 months</w:t>
      </w:r>
      <w:r w:rsidRPr="00FA3209">
        <w:rPr>
          <w:rFonts w:ascii="Helvetica" w:eastAsia="Aptos" w:hAnsi="Helvetica" w:cs="Helvetica"/>
          <w:bCs/>
        </w:rPr>
        <w:t xml:space="preserve">, and </w:t>
      </w:r>
      <w:r w:rsidRPr="00FA3209">
        <w:rPr>
          <w:rFonts w:ascii="Helvetica" w:eastAsia="Aptos" w:hAnsi="Helvetica" w:cs="Helvetica"/>
          <w:bCs/>
          <w:i/>
          <w:iCs/>
        </w:rPr>
        <w:t>12 months</w:t>
      </w:r>
      <w:r w:rsidRPr="00FA3209">
        <w:rPr>
          <w:rFonts w:ascii="Helvetica" w:eastAsia="Aptos" w:hAnsi="Helvetica" w:cs="Helvetica"/>
          <w:bCs/>
        </w:rPr>
        <w:t xml:space="preserve">); and replicate consistency (whether the OTUs are consistent across replicates in each temporal group). After ranking the OTUs, the subset of core taxa is constructed incrementally by adding highly prevalent to lowly prevalent OTUs, and then quantifying the contribution of the core subsets to beta diversity using the Bray-Curtis distance in the equation, </w:t>
      </w:r>
      <m:oMath>
        <m:r>
          <w:rPr>
            <w:rFonts w:ascii="Cambria Math" w:eastAsia="Aptos" w:hAnsi="Cambria Math" w:cs="Helvetica"/>
          </w:rPr>
          <m:t>C=1-</m:t>
        </m:r>
        <m:f>
          <m:fPr>
            <m:ctrlPr>
              <w:rPr>
                <w:rFonts w:ascii="Cambria Math" w:eastAsia="Aptos" w:hAnsi="Cambria Math" w:cs="Helvetica"/>
                <w:bCs/>
                <w:i/>
              </w:rPr>
            </m:ctrlPr>
          </m:fPr>
          <m:num>
            <m:r>
              <w:rPr>
                <w:rFonts w:ascii="Cambria Math" w:eastAsia="Aptos" w:hAnsi="Cambria Math" w:cs="Helvetica"/>
              </w:rPr>
              <m:t>B</m:t>
            </m:r>
            <m:sSub>
              <m:sSubPr>
                <m:ctrlPr>
                  <w:rPr>
                    <w:rFonts w:ascii="Cambria Math" w:eastAsia="Aptos" w:hAnsi="Cambria Math" w:cs="Helvetica"/>
                    <w:bCs/>
                    <w:i/>
                  </w:rPr>
                </m:ctrlPr>
              </m:sSubPr>
              <m:e>
                <m:r>
                  <w:rPr>
                    <w:rFonts w:ascii="Cambria Math" w:eastAsia="Aptos" w:hAnsi="Cambria Math" w:cs="Helvetica"/>
                  </w:rPr>
                  <m:t>C</m:t>
                </m:r>
              </m:e>
              <m:sub>
                <m:r>
                  <w:rPr>
                    <w:rFonts w:ascii="Cambria Math" w:eastAsia="Aptos" w:hAnsi="Cambria Math" w:cs="Helvetica"/>
                  </w:rPr>
                  <m:t>core</m:t>
                </m:r>
              </m:sub>
            </m:sSub>
          </m:num>
          <m:den>
            <m:r>
              <w:rPr>
                <w:rFonts w:ascii="Cambria Math" w:eastAsia="Aptos" w:hAnsi="Cambria Math" w:cs="Helvetica"/>
              </w:rPr>
              <m:t>B</m:t>
            </m:r>
            <m:sSub>
              <m:sSubPr>
                <m:ctrlPr>
                  <w:rPr>
                    <w:rFonts w:ascii="Cambria Math" w:eastAsia="Aptos" w:hAnsi="Cambria Math" w:cs="Helvetica"/>
                    <w:bCs/>
                    <w:i/>
                  </w:rPr>
                </m:ctrlPr>
              </m:sSubPr>
              <m:e>
                <m:r>
                  <w:rPr>
                    <w:rFonts w:ascii="Cambria Math" w:eastAsia="Aptos" w:hAnsi="Cambria Math" w:cs="Helvetica"/>
                  </w:rPr>
                  <m:t>C</m:t>
                </m:r>
              </m:e>
              <m:sub>
                <m:r>
                  <w:rPr>
                    <w:rFonts w:ascii="Cambria Math" w:eastAsia="Aptos" w:hAnsi="Cambria Math" w:cs="Helvetica"/>
                  </w:rPr>
                  <m:t>all</m:t>
                </m:r>
              </m:sub>
            </m:sSub>
          </m:den>
        </m:f>
      </m:oMath>
      <w:r w:rsidRPr="00FA3209">
        <w:rPr>
          <w:rFonts w:ascii="Helvetica" w:eastAsia="Aptos" w:hAnsi="Helvetica" w:cs="Helvetica"/>
          <w:bCs/>
        </w:rPr>
        <w:t xml:space="preserve">.  The original authors have specified a threshold at which the core subset construction stops, i.e., where the addition of an OTU does not cause more than 2% increase in the explanatory value by Bray-Curtis distance. Independently, a neutral model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{"citationID":"lZUxeWTL","properties":{"formattedCitation":"[30]","plainCitation":"[30]","noteIndex":0},"citationItems":[{"id":484,"uris":["http://zotero.org/users/17697971/items/CMUVKJAE"],"itemData":{"id":484,"type":"article-journal","container-title":"The ISME journal","ISSN":"1751-7362","issue":"3","note":"publisher: Oxford University Press","page":"655-664","title":"Contribution of neutral processes to the assembly of gut microbial communities in the zebrafish over host development","volume":"10","author":[{"family":"Burns","given":"Adam R"},{"family":"Stephens","given":"W Zac"},{"family":"Stagaman","given":"Keaton"},{"family":"Wong","given":"Sandi"},{"family":"Rawls","given":"John F"},{"family":"Guillemin","given":"Karen"},{"family":"Bohannan","given":"Brendan J M"}],"issued":{"date-parts":[["2016"]]}}}],"schema":"https://github.com/citation-style-language/schema/raw/master/csl-citation.json"}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[30]</w:t>
      </w:r>
      <w:r w:rsidRPr="00FA3209">
        <w:rPr>
          <w:rFonts w:ascii="Helvetica" w:eastAsia="Aptos" w:hAnsi="Helvetica" w:cs="Helvetica"/>
          <w:bCs/>
        </w:rPr>
        <w:fldChar w:fldCharType="end"/>
      </w:r>
      <w:r w:rsidRPr="00FA3209">
        <w:rPr>
          <w:rFonts w:ascii="Helvetica" w:eastAsia="Aptos" w:hAnsi="Helvetica" w:cs="Helvetica"/>
          <w:bCs/>
        </w:rPr>
        <w:t xml:space="preserve"> is fitted to the “S” shaped abundance-occupancy distributions inform the OTUs that are likely selected by the environment. For the core </w:t>
      </w:r>
      <w:r w:rsidRPr="00FA3209">
        <w:rPr>
          <w:rFonts w:ascii="Helvetica" w:eastAsia="Aptos" w:hAnsi="Helvetica" w:cs="Helvetica"/>
          <w:bCs/>
        </w:rPr>
        <w:lastRenderedPageBreak/>
        <w:t xml:space="preserve">OTUs, this then divides them in three sets: those that fall outside the 95% confidence interval of the fitted model, and are inferred to be deterministically assembled, rather than neutrally selected (set 1), with those that are </w:t>
      </w:r>
      <w:r w:rsidRPr="00FA3209">
        <w:rPr>
          <w:rFonts w:ascii="Helvetica" w:eastAsia="Aptos" w:hAnsi="Helvetica" w:cs="Helvetica"/>
          <w:b/>
          <w:bCs/>
        </w:rPr>
        <w:t xml:space="preserve">above the model selected by the host environment </w:t>
      </w:r>
      <w:r w:rsidRPr="00FA3209">
        <w:rPr>
          <w:rFonts w:ascii="Helvetica" w:eastAsia="Aptos" w:hAnsi="Helvetica" w:cs="Helvetica"/>
          <w:bCs/>
        </w:rPr>
        <w:t xml:space="preserve">(represented by red colour; set 2), and those points below the model </w:t>
      </w:r>
      <w:r w:rsidRPr="00FA3209">
        <w:rPr>
          <w:rFonts w:ascii="Helvetica" w:eastAsia="Aptos" w:hAnsi="Helvetica" w:cs="Helvetica"/>
          <w:b/>
          <w:bCs/>
        </w:rPr>
        <w:t>are dispersal limited</w:t>
      </w:r>
      <w:r w:rsidRPr="00FA3209">
        <w:rPr>
          <w:rFonts w:ascii="Helvetica" w:eastAsia="Aptos" w:hAnsi="Helvetica" w:cs="Helvetica"/>
          <w:bCs/>
        </w:rPr>
        <w:t xml:space="preserve"> (represented by blue colour; set 3). The taxonomy tree of the core microbiome across different time </w:t>
      </w:r>
      <w:r w:rsidRPr="00FA3209">
        <w:rPr>
          <w:rFonts w:ascii="Helvetica" w:eastAsia="Aptos" w:hAnsi="Helvetica" w:cs="Helvetica"/>
          <w:bCs/>
          <w:szCs w:val="20"/>
        </w:rPr>
        <w:t>points (</w:t>
      </w:r>
      <w:r w:rsidRPr="00FA3209">
        <w:rPr>
          <w:rFonts w:ascii="Helvetica" w:eastAsia="Aptos" w:hAnsi="Helvetica" w:cs="Helvetica"/>
          <w:bCs/>
          <w:i/>
          <w:iCs/>
          <w:szCs w:val="20"/>
        </w:rPr>
        <w:t>Pre,</w:t>
      </w:r>
      <w:r w:rsidRPr="00FA3209">
        <w:rPr>
          <w:rFonts w:ascii="Helvetica" w:eastAsia="Aptos" w:hAnsi="Helvetica" w:cs="Helvetica"/>
          <w:bCs/>
          <w:szCs w:val="20"/>
        </w:rPr>
        <w:t xml:space="preserve"> </w:t>
      </w:r>
      <w:r w:rsidRPr="00FA3209">
        <w:rPr>
          <w:rFonts w:ascii="Helvetica" w:eastAsia="Aptos" w:hAnsi="Helvetica" w:cs="Helvetica"/>
          <w:bCs/>
          <w:i/>
          <w:iCs/>
          <w:szCs w:val="20"/>
        </w:rPr>
        <w:t>3 months</w:t>
      </w:r>
      <w:r w:rsidRPr="00FA3209">
        <w:rPr>
          <w:rFonts w:ascii="Helvetica" w:eastAsia="Aptos" w:hAnsi="Helvetica" w:cs="Helvetica"/>
          <w:bCs/>
          <w:szCs w:val="20"/>
        </w:rPr>
        <w:t xml:space="preserve">, </w:t>
      </w:r>
      <w:r w:rsidRPr="00FA3209">
        <w:rPr>
          <w:rFonts w:ascii="Helvetica" w:eastAsia="Aptos" w:hAnsi="Helvetica" w:cs="Helvetica"/>
          <w:bCs/>
          <w:i/>
          <w:iCs/>
          <w:szCs w:val="20"/>
        </w:rPr>
        <w:t>6 months</w:t>
      </w:r>
      <w:r w:rsidRPr="00FA3209">
        <w:rPr>
          <w:rFonts w:ascii="Helvetica" w:eastAsia="Aptos" w:hAnsi="Helvetica" w:cs="Helvetica"/>
          <w:bCs/>
          <w:szCs w:val="20"/>
        </w:rPr>
        <w:t xml:space="preserve">, </w:t>
      </w:r>
      <w:r w:rsidRPr="00FA3209">
        <w:rPr>
          <w:rFonts w:ascii="Helvetica" w:eastAsia="Aptos" w:hAnsi="Helvetica" w:cs="Helvetica"/>
          <w:bCs/>
          <w:i/>
          <w:iCs/>
          <w:szCs w:val="20"/>
        </w:rPr>
        <w:t>9 months</w:t>
      </w:r>
      <w:r w:rsidRPr="00FA3209">
        <w:rPr>
          <w:rFonts w:ascii="Helvetica" w:eastAsia="Aptos" w:hAnsi="Helvetica" w:cs="Helvetica"/>
          <w:bCs/>
          <w:szCs w:val="20"/>
        </w:rPr>
        <w:t xml:space="preserve">, and </w:t>
      </w:r>
      <w:r w:rsidRPr="00FA3209">
        <w:rPr>
          <w:rFonts w:ascii="Helvetica" w:eastAsia="Aptos" w:hAnsi="Helvetica" w:cs="Helvetica"/>
          <w:bCs/>
          <w:i/>
          <w:iCs/>
          <w:szCs w:val="20"/>
        </w:rPr>
        <w:t>12 months</w:t>
      </w:r>
      <w:r w:rsidRPr="00FA3209">
        <w:rPr>
          <w:rFonts w:ascii="Helvetica" w:eastAsia="Aptos" w:hAnsi="Helvetica" w:cs="Helvetica"/>
          <w:bCs/>
          <w:szCs w:val="20"/>
        </w:rPr>
        <w:t xml:space="preserve">) were drawn using the R’s metacoder package </w:t>
      </w:r>
      <w:r w:rsidRPr="00FA3209">
        <w:rPr>
          <w:rFonts w:ascii="Helvetica" w:eastAsia="Aptos" w:hAnsi="Helvetica" w:cs="Helvetica"/>
          <w:bCs/>
          <w:szCs w:val="20"/>
        </w:rPr>
        <w:fldChar w:fldCharType="begin"/>
      </w:r>
      <w:r w:rsidR="007436F8">
        <w:rPr>
          <w:rFonts w:ascii="Helvetica" w:eastAsia="Aptos" w:hAnsi="Helvetica" w:cs="Helvetica"/>
          <w:bCs/>
          <w:szCs w:val="20"/>
        </w:rPr>
        <w:instrText xml:space="preserve"> ADDIN ZOTERO_ITEM CSL_CITATION {"citationID":"6gDeycnm","properties":{"formattedCitation":"[31]","plainCitation":"[31]","noteIndex":0},"citationItems":[{"id":485,"uris":["http://zotero.org/users/17697971/items/8SENJBTK"],"itemData":{"id":485,"type":"article-journal","container-title":"PLoS computational biology","ISSN":"1553-734X","issue":"2","note":"publisher: Public Library of Science San Francisco, CA USA","page":"e1005404","title":"Metacoder: An R package for visualization and manipulation of community taxonomic diversity data","volume":"13","author":[{"family":"Foster","given":"Zachary S L"},{"family":"Sharpton","given":"Thomas J"},{"family":"Grünwald","given":"Niklaus J"}],"issued":{"date-parts":[["2017"]]}}}],"schema":"https://github.com/citation-style-language/schema/raw/master/csl-citation.json"} </w:instrText>
      </w:r>
      <w:r w:rsidRPr="00FA3209">
        <w:rPr>
          <w:rFonts w:ascii="Helvetica" w:eastAsia="Aptos" w:hAnsi="Helvetica" w:cs="Helvetica"/>
          <w:bCs/>
          <w:szCs w:val="20"/>
        </w:rPr>
        <w:fldChar w:fldCharType="separate"/>
      </w:r>
      <w:r w:rsidR="007436F8" w:rsidRPr="007436F8">
        <w:rPr>
          <w:rFonts w:ascii="Helvetica" w:hAnsi="Helvetica" w:cs="Helvetica"/>
        </w:rPr>
        <w:t>[31]</w:t>
      </w:r>
      <w:r w:rsidRPr="00FA3209">
        <w:rPr>
          <w:rFonts w:ascii="Helvetica" w:eastAsia="Aptos" w:hAnsi="Helvetica" w:cs="Helvetica"/>
          <w:bCs/>
          <w:szCs w:val="20"/>
        </w:rPr>
        <w:fldChar w:fldCharType="end"/>
      </w:r>
      <w:r w:rsidRPr="00FA3209">
        <w:rPr>
          <w:rFonts w:ascii="Helvetica" w:eastAsia="Aptos" w:hAnsi="Helvetica" w:cs="Helvetica"/>
          <w:bCs/>
          <w:color w:val="000000"/>
          <w:szCs w:val="20"/>
        </w:rPr>
        <w:t>.</w:t>
      </w:r>
    </w:p>
    <w:p w14:paraId="09CB0971" w14:textId="539214B6" w:rsidR="00FA3209" w:rsidRPr="00FA3209" w:rsidRDefault="00FA3209" w:rsidP="00FA3209">
      <w:pPr>
        <w:spacing w:line="480" w:lineRule="auto"/>
        <w:jc w:val="both"/>
        <w:rPr>
          <w:rFonts w:ascii="Helvetica" w:eastAsia="Aptos" w:hAnsi="Helvetica" w:cs="Helvetica"/>
          <w:bCs/>
          <w:iCs/>
          <w:lang w:val="en-US"/>
        </w:rPr>
      </w:pPr>
      <w:r w:rsidRPr="00FA3209">
        <w:rPr>
          <w:rFonts w:ascii="Helvetica" w:eastAsia="Aptos" w:hAnsi="Helvetica" w:cs="Helvetica"/>
          <w:bCs/>
          <w:iCs/>
          <w:lang w:val="en-US"/>
        </w:rPr>
        <w:t xml:space="preserve">To find a minimal set of features (16S rRNA and shotgun metagenomics tables) that have changed with respect to continuous predictors considered in this study, we have used CODA-LASSO regression (coda_glmnet() function) employing R’s coda4microbiome package </w:t>
      </w:r>
      <w:r w:rsidRPr="00FA3209">
        <w:rPr>
          <w:rFonts w:ascii="Helvetica" w:eastAsia="Aptos" w:hAnsi="Helvetica" w:cs="Helvetica"/>
          <w:bCs/>
          <w:iCs/>
          <w:lang w:val="en-US"/>
        </w:rPr>
        <w:fldChar w:fldCharType="begin"/>
      </w:r>
      <w:r w:rsidR="007436F8">
        <w:rPr>
          <w:rFonts w:ascii="Helvetica" w:eastAsia="Aptos" w:hAnsi="Helvetica" w:cs="Helvetica"/>
          <w:bCs/>
          <w:iCs/>
          <w:lang w:val="en-US"/>
        </w:rPr>
        <w:instrText xml:space="preserve"> ADDIN ZOTERO_ITEM CSL_CITATION {"citationID":"nQfC0gtI","properties":{"formattedCitation":"[32]","plainCitation":"[32]","noteIndex":0},"citationItems":[{"id":486,"uris":["http://zotero.org/users/17697971/items/N9UNMTFR"],"itemData":{"id":486,"type":"article-journal","container-title":"BMC bioinformatics","ISSN":"1471-2105","issue":"1","note":"publisher: Springer","page":"82","title":"coda4microbiome: compositional data analysis for microbiome cross-sectional and longitudinal studies","volume":"24","author":[{"family":"Calle","given":"M Luz"},{"family":"Pujolassos","given":"Meritxell"},{"family":"Susin","given":"Antoni"}],"issued":{"date-parts":[["2023"]]}}}],"schema":"https://github.com/citation-style-language/schema/raw/master/csl-citation.json"} </w:instrText>
      </w:r>
      <w:r w:rsidRPr="00FA3209">
        <w:rPr>
          <w:rFonts w:ascii="Helvetica" w:eastAsia="Aptos" w:hAnsi="Helvetica" w:cs="Helvetica"/>
          <w:bCs/>
          <w:iCs/>
          <w:lang w:val="en-US"/>
        </w:rPr>
        <w:fldChar w:fldCharType="separate"/>
      </w:r>
      <w:r w:rsidR="007436F8" w:rsidRPr="007436F8">
        <w:rPr>
          <w:rFonts w:ascii="Helvetica" w:hAnsi="Helvetica" w:cs="Helvetica"/>
        </w:rPr>
        <w:t>[32]</w:t>
      </w:r>
      <w:r w:rsidRPr="00FA3209">
        <w:rPr>
          <w:rFonts w:ascii="Helvetica" w:eastAsia="Aptos" w:hAnsi="Helvetica" w:cs="Helvetica"/>
          <w:bCs/>
          <w:iCs/>
          <w:lang w:val="en-US"/>
        </w:rPr>
        <w:fldChar w:fldCharType="end"/>
      </w:r>
      <w:r w:rsidRPr="00FA3209">
        <w:rPr>
          <w:rFonts w:ascii="Helvetica" w:eastAsia="Aptos" w:hAnsi="Helvetica" w:cs="Helvetica"/>
          <w:bCs/>
          <w:iCs/>
          <w:lang w:val="en-US"/>
        </w:rPr>
        <w:t xml:space="preserve">. The fitted regression is of the form </w:t>
      </w:r>
      <m:oMath>
        <m:sSub>
          <m:sSubPr>
            <m:ctrlPr>
              <w:rPr>
                <w:rFonts w:ascii="Cambria Math" w:eastAsia="Aptos" w:hAnsi="Cambria Math" w:cs="Helvetica"/>
                <w:bCs/>
                <w:i/>
                <w:iCs/>
                <w:lang w:val="en-US"/>
              </w:rPr>
            </m:ctrlPr>
          </m:sSubPr>
          <m:e>
            <m:r>
              <w:rPr>
                <w:rFonts w:ascii="Cambria Math" w:eastAsia="Aptos" w:hAnsi="Cambria Math" w:cs="Helvetica"/>
                <w:lang w:val="en-US"/>
              </w:rPr>
              <m:t>y</m:t>
            </m:r>
          </m:e>
          <m:sub>
            <m:r>
              <w:rPr>
                <w:rFonts w:ascii="Cambria Math" w:eastAsia="Aptos" w:hAnsi="Cambria Math" w:cs="Helvetica"/>
                <w:lang w:val="en-US"/>
              </w:rPr>
              <m:t>i</m:t>
            </m:r>
          </m:sub>
        </m:sSub>
        <m:r>
          <w:rPr>
            <w:rFonts w:ascii="Cambria Math" w:eastAsia="Aptos" w:hAnsi="Cambria Math" w:cs="Helvetica"/>
            <w:lang w:val="en-US"/>
          </w:rPr>
          <m:t>=</m:t>
        </m:r>
        <m:sSub>
          <m:sSubPr>
            <m:ctrlPr>
              <w:rPr>
                <w:rFonts w:ascii="Cambria Math" w:eastAsia="Aptos" w:hAnsi="Cambria Math" w:cs="Helvetica"/>
                <w:bCs/>
                <w:i/>
                <w:iCs/>
                <w:lang w:val="en-US"/>
              </w:rPr>
            </m:ctrlPr>
          </m:sSubPr>
          <m:e>
            <m:r>
              <w:rPr>
                <w:rFonts w:ascii="Cambria Math" w:eastAsia="Aptos" w:hAnsi="Cambria Math" w:cs="Helvetica"/>
                <w:lang w:val="en-US"/>
              </w:rPr>
              <m:t>β</m:t>
            </m:r>
          </m:e>
          <m:sub>
            <m:r>
              <w:rPr>
                <w:rFonts w:ascii="Cambria Math" w:eastAsia="Aptos" w:hAnsi="Cambria Math" w:cs="Helvetica"/>
                <w:lang w:val="en-US"/>
              </w:rPr>
              <m:t>0</m:t>
            </m:r>
          </m:sub>
        </m:sSub>
        <m:r>
          <w:rPr>
            <w:rFonts w:ascii="Cambria Math" w:eastAsia="Aptos" w:hAnsi="Cambria Math" w:cs="Helvetica"/>
            <w:lang w:val="en-US"/>
          </w:rPr>
          <m:t>+</m:t>
        </m:r>
        <m:sSub>
          <m:sSubPr>
            <m:ctrlPr>
              <w:rPr>
                <w:rFonts w:ascii="Cambria Math" w:eastAsia="Aptos" w:hAnsi="Cambria Math" w:cs="Helvetica"/>
                <w:bCs/>
                <w:i/>
                <w:iCs/>
                <w:lang w:val="en-US"/>
              </w:rPr>
            </m:ctrlPr>
          </m:sSubPr>
          <m:e>
            <m:r>
              <w:rPr>
                <w:rFonts w:ascii="Cambria Math" w:eastAsia="Aptos" w:hAnsi="Cambria Math" w:cs="Helvetica"/>
                <w:lang w:val="en-US"/>
              </w:rPr>
              <m:t>β</m:t>
            </m:r>
          </m:e>
          <m:sub>
            <m:r>
              <w:rPr>
                <w:rFonts w:ascii="Cambria Math" w:eastAsia="Aptos" w:hAnsi="Cambria Math" w:cs="Helvetica"/>
                <w:lang w:val="en-US"/>
              </w:rPr>
              <m:t>1</m:t>
            </m:r>
          </m:sub>
        </m:sSub>
        <m:func>
          <m:funcPr>
            <m:ctrlPr>
              <w:rPr>
                <w:rFonts w:ascii="Cambria Math" w:eastAsia="Aptos" w:hAnsi="Cambria Math" w:cs="Helvetica"/>
                <w:bCs/>
                <w:iCs/>
                <w:lang w:val="en-US"/>
              </w:rPr>
            </m:ctrlPr>
          </m:funcPr>
          <m:fName>
            <m:r>
              <m:rPr>
                <m:sty m:val="p"/>
              </m:rPr>
              <w:rPr>
                <w:rFonts w:ascii="Cambria Math" w:eastAsia="Aptos" w:hAnsi="Cambria Math" w:cs="Helvetica"/>
                <w:lang w:val="en-US"/>
              </w:rPr>
              <m:t>log</m:t>
            </m:r>
          </m:fName>
          <m:e>
            <m:d>
              <m:dPr>
                <m:ctrlPr>
                  <w:rPr>
                    <w:rFonts w:ascii="Cambria Math" w:eastAsia="Aptos" w:hAnsi="Cambria Math" w:cs="Helvetica"/>
                    <w:bCs/>
                    <w:i/>
                    <w:iCs/>
                    <w:lang w:val="en-US"/>
                  </w:rPr>
                </m:ctrlPr>
              </m:dPr>
              <m:e>
                <m:sSub>
                  <m:sSubPr>
                    <m:ctrlPr>
                      <w:rPr>
                        <w:rFonts w:ascii="Cambria Math" w:eastAsia="Aptos" w:hAnsi="Cambria Math" w:cs="Helvetica"/>
                        <w:bCs/>
                        <w:i/>
                        <w:iCs/>
                        <w:lang w:val="en-US"/>
                      </w:rPr>
                    </m:ctrlPr>
                  </m:sSubPr>
                  <m:e>
                    <m:r>
                      <w:rPr>
                        <w:rFonts w:ascii="Cambria Math" w:eastAsia="Aptos" w:hAnsi="Cambria Math" w:cs="Helvetica"/>
                        <w:lang w:val="en-US"/>
                      </w:rPr>
                      <m:t>x</m:t>
                    </m:r>
                  </m:e>
                  <m:sub>
                    <m:r>
                      <w:rPr>
                        <w:rFonts w:ascii="Cambria Math" w:eastAsia="Aptos" w:hAnsi="Cambria Math" w:cs="Helvetica"/>
                        <w:lang w:val="en-US"/>
                      </w:rPr>
                      <m:t>1i</m:t>
                    </m:r>
                  </m:sub>
                </m:sSub>
              </m:e>
            </m:d>
          </m:e>
        </m:func>
        <m:r>
          <w:rPr>
            <w:rFonts w:ascii="Cambria Math" w:eastAsia="Aptos" w:hAnsi="Cambria Math" w:cs="Helvetica"/>
            <w:lang w:val="en-US"/>
          </w:rPr>
          <m:t>+…+</m:t>
        </m:r>
        <m:sSub>
          <m:sSubPr>
            <m:ctrlPr>
              <w:rPr>
                <w:rFonts w:ascii="Cambria Math" w:eastAsia="Aptos" w:hAnsi="Cambria Math" w:cs="Helvetica"/>
                <w:bCs/>
                <w:i/>
                <w:iCs/>
                <w:lang w:val="en-US"/>
              </w:rPr>
            </m:ctrlPr>
          </m:sSubPr>
          <m:e>
            <m:r>
              <w:rPr>
                <w:rFonts w:ascii="Cambria Math" w:eastAsia="Aptos" w:hAnsi="Cambria Math" w:cs="Helvetica"/>
                <w:lang w:val="en-US"/>
              </w:rPr>
              <m:t>β</m:t>
            </m:r>
          </m:e>
          <m:sub>
            <m:r>
              <w:rPr>
                <w:rFonts w:ascii="Cambria Math" w:eastAsia="Aptos" w:hAnsi="Cambria Math" w:cs="Helvetica"/>
                <w:lang w:val="en-US"/>
              </w:rPr>
              <m:t>j</m:t>
            </m:r>
          </m:sub>
        </m:sSub>
        <m:func>
          <m:funcPr>
            <m:ctrlPr>
              <w:rPr>
                <w:rFonts w:ascii="Cambria Math" w:eastAsia="Aptos" w:hAnsi="Cambria Math" w:cs="Helvetica"/>
                <w:bCs/>
                <w:iCs/>
                <w:lang w:val="en-US"/>
              </w:rPr>
            </m:ctrlPr>
          </m:funcPr>
          <m:fName>
            <m:r>
              <m:rPr>
                <m:sty m:val="p"/>
              </m:rPr>
              <w:rPr>
                <w:rFonts w:ascii="Cambria Math" w:eastAsia="Aptos" w:hAnsi="Cambria Math" w:cs="Helvetica"/>
                <w:lang w:val="en-US"/>
              </w:rPr>
              <m:t>log</m:t>
            </m:r>
          </m:fName>
          <m:e>
            <m:d>
              <m:dPr>
                <m:ctrlPr>
                  <w:rPr>
                    <w:rFonts w:ascii="Cambria Math" w:eastAsia="Aptos" w:hAnsi="Cambria Math" w:cs="Helvetica"/>
                    <w:bCs/>
                    <w:i/>
                    <w:iCs/>
                    <w:lang w:val="en-US"/>
                  </w:rPr>
                </m:ctrlPr>
              </m:dPr>
              <m:e>
                <m:sSub>
                  <m:sSubPr>
                    <m:ctrlPr>
                      <w:rPr>
                        <w:rFonts w:ascii="Cambria Math" w:eastAsia="Aptos" w:hAnsi="Cambria Math" w:cs="Helvetica"/>
                        <w:bCs/>
                        <w:i/>
                        <w:iCs/>
                        <w:lang w:val="en-US"/>
                      </w:rPr>
                    </m:ctrlPr>
                  </m:sSubPr>
                  <m:e>
                    <m:r>
                      <w:rPr>
                        <w:rFonts w:ascii="Cambria Math" w:eastAsia="Aptos" w:hAnsi="Cambria Math" w:cs="Helvetica"/>
                        <w:lang w:val="en-US"/>
                      </w:rPr>
                      <m:t>x</m:t>
                    </m:r>
                  </m:e>
                  <m:sub>
                    <m:r>
                      <w:rPr>
                        <w:rFonts w:ascii="Cambria Math" w:eastAsia="Aptos" w:hAnsi="Cambria Math" w:cs="Helvetica"/>
                        <w:lang w:val="en-US"/>
                      </w:rPr>
                      <m:t>ji</m:t>
                    </m:r>
                  </m:sub>
                </m:sSub>
              </m:e>
            </m:d>
          </m:e>
        </m:func>
        <m:r>
          <w:rPr>
            <w:rFonts w:ascii="Cambria Math" w:eastAsia="Aptos" w:hAnsi="Cambria Math" w:cs="Helvetica"/>
            <w:lang w:val="en-US"/>
          </w:rPr>
          <m:t>+</m:t>
        </m:r>
        <m:sSub>
          <m:sSubPr>
            <m:ctrlPr>
              <w:rPr>
                <w:rFonts w:ascii="Cambria Math" w:eastAsia="Aptos" w:hAnsi="Cambria Math" w:cs="Helvetica"/>
                <w:bCs/>
                <w:i/>
                <w:iCs/>
                <w:lang w:val="en-US"/>
              </w:rPr>
            </m:ctrlPr>
          </m:sSubPr>
          <m:e>
            <m:r>
              <w:rPr>
                <w:rFonts w:ascii="Cambria Math" w:eastAsia="Aptos" w:hAnsi="Cambria Math" w:cs="Helvetica"/>
                <w:lang w:val="en-US"/>
              </w:rPr>
              <m:t>ϵ</m:t>
            </m:r>
          </m:e>
          <m:sub>
            <m:r>
              <w:rPr>
                <w:rFonts w:ascii="Cambria Math" w:eastAsia="Aptos" w:hAnsi="Cambria Math" w:cs="Helvetica"/>
                <w:lang w:val="en-US"/>
              </w:rPr>
              <m:t>i</m:t>
            </m:r>
          </m:sub>
        </m:sSub>
      </m:oMath>
      <w:r w:rsidRPr="00FA3209">
        <w:rPr>
          <w:rFonts w:ascii="Helvetica" w:eastAsia="Aptos" w:hAnsi="Helvetica" w:cs="Helvetica"/>
          <w:bCs/>
          <w:iCs/>
          <w:lang w:val="en-US"/>
        </w:rPr>
        <w:t xml:space="preserve"> (for </w:t>
      </w:r>
      <m:oMath>
        <m:r>
          <w:rPr>
            <w:rFonts w:ascii="Cambria Math" w:eastAsia="Aptos" w:hAnsi="Cambria Math" w:cs="Helvetica"/>
            <w:lang w:val="en-US"/>
          </w:rPr>
          <m:t>i</m:t>
        </m:r>
      </m:oMath>
      <w:r w:rsidRPr="00FA3209">
        <w:rPr>
          <w:rFonts w:ascii="Helvetica" w:eastAsia="Aptos" w:hAnsi="Helvetica" w:cs="Helvetica"/>
          <w:bCs/>
          <w:iCs/>
          <w:lang w:val="en-US"/>
        </w:rPr>
        <w:t xml:space="preserve">-th sample and </w:t>
      </w:r>
      <m:oMath>
        <m:r>
          <w:rPr>
            <w:rFonts w:ascii="Cambria Math" w:eastAsia="Aptos" w:hAnsi="Cambria Math" w:cs="Helvetica"/>
            <w:lang w:val="en-US"/>
          </w:rPr>
          <m:t>j</m:t>
        </m:r>
      </m:oMath>
      <w:r w:rsidRPr="00FA3209">
        <w:rPr>
          <w:rFonts w:ascii="Helvetica" w:eastAsia="Aptos" w:hAnsi="Helvetica" w:cs="Helvetica"/>
          <w:bCs/>
          <w:iCs/>
          <w:lang w:val="en-US"/>
        </w:rPr>
        <w:t xml:space="preserve">-th feature, with </w:t>
      </w:r>
      <m:oMath>
        <m:sSub>
          <m:sSubPr>
            <m:ctrlPr>
              <w:rPr>
                <w:rFonts w:ascii="Cambria Math" w:eastAsia="Aptos" w:hAnsi="Cambria Math" w:cs="Helvetica"/>
                <w:bCs/>
                <w:i/>
                <w:iCs/>
                <w:lang w:val="en-US"/>
              </w:rPr>
            </m:ctrlPr>
          </m:sSubPr>
          <m:e>
            <m:r>
              <w:rPr>
                <w:rFonts w:ascii="Cambria Math" w:eastAsia="Aptos" w:hAnsi="Cambria Math" w:cs="Helvetica"/>
                <w:lang w:val="en-US"/>
              </w:rPr>
              <m:t>x</m:t>
            </m:r>
          </m:e>
          <m:sub>
            <m:r>
              <w:rPr>
                <w:rFonts w:ascii="Cambria Math" w:eastAsia="Aptos" w:hAnsi="Cambria Math" w:cs="Helvetica"/>
                <w:lang w:val="en-US"/>
              </w:rPr>
              <m:t>ji</m:t>
            </m:r>
          </m:sub>
        </m:sSub>
      </m:oMath>
      <w:r w:rsidRPr="00FA3209">
        <w:rPr>
          <w:rFonts w:ascii="Helvetica" w:eastAsia="Aptos" w:hAnsi="Helvetica" w:cs="Helvetica"/>
          <w:bCs/>
          <w:iCs/>
          <w:lang w:val="en-US"/>
        </w:rPr>
        <w:t xml:space="preserve"> being the abundance of feature), and where the outcome </w:t>
      </w:r>
      <m:oMath>
        <m:sSub>
          <m:sSubPr>
            <m:ctrlPr>
              <w:rPr>
                <w:rFonts w:ascii="Cambria Math" w:eastAsia="Aptos" w:hAnsi="Cambria Math" w:cs="Helvetica"/>
                <w:bCs/>
                <w:i/>
                <w:iCs/>
                <w:lang w:val="en-US"/>
              </w:rPr>
            </m:ctrlPr>
          </m:sSubPr>
          <m:e>
            <m:r>
              <w:rPr>
                <w:rFonts w:ascii="Cambria Math" w:eastAsia="Aptos" w:hAnsi="Cambria Math" w:cs="Helvetica"/>
                <w:lang w:val="en-US"/>
              </w:rPr>
              <m:t>y</m:t>
            </m:r>
          </m:e>
          <m:sub>
            <m:r>
              <w:rPr>
                <w:rFonts w:ascii="Cambria Math" w:eastAsia="Aptos" w:hAnsi="Cambria Math" w:cs="Helvetica"/>
                <w:lang w:val="en-US"/>
              </w:rPr>
              <m:t>i</m:t>
            </m:r>
          </m:sub>
        </m:sSub>
      </m:oMath>
      <w:r w:rsidRPr="00FA3209">
        <w:rPr>
          <w:rFonts w:ascii="Helvetica" w:eastAsia="Aptos" w:hAnsi="Helvetica" w:cs="Helvetica"/>
          <w:bCs/>
          <w:iCs/>
          <w:lang w:val="en-US"/>
        </w:rPr>
        <w:t xml:space="preserve"> is a continuous outcome variable. The model uses two constraints: a) all </w:t>
      </w:r>
      <m:oMath>
        <m:r>
          <w:rPr>
            <w:rFonts w:ascii="Cambria Math" w:eastAsia="Aptos" w:hAnsi="Cambria Math" w:cs="Helvetica"/>
            <w:lang w:val="en-US"/>
          </w:rPr>
          <m:t>β</m:t>
        </m:r>
      </m:oMath>
      <w:r w:rsidRPr="00FA3209">
        <w:rPr>
          <w:rFonts w:ascii="Helvetica" w:eastAsia="Aptos" w:hAnsi="Helvetica" w:cs="Helvetica"/>
          <w:bCs/>
          <w:iCs/>
          <w:lang w:val="en-US"/>
        </w:rPr>
        <w:t>-coefficients sum up to zero, that gives two disjoint sets of features, those that are positively associated, and those that are negatively associated with the continuous outcome; and b) the optimization function incorporates a LASSO shrinkage that forces some of the beta coefficients to go to zero, particularly those that do not have a relationship, thus enabling variable selection.</w:t>
      </w:r>
    </w:p>
    <w:p w14:paraId="4D35F3AA" w14:textId="5078D09E" w:rsidR="00FA3209" w:rsidRPr="00FA3209" w:rsidRDefault="00FA3209" w:rsidP="00FA3209">
      <w:pPr>
        <w:spacing w:line="480" w:lineRule="auto"/>
        <w:jc w:val="both"/>
        <w:rPr>
          <w:rFonts w:ascii="Helvetica" w:eastAsia="Aptos" w:hAnsi="Helvetica" w:cs="Helvetica"/>
          <w:bCs/>
        </w:rPr>
      </w:pPr>
      <w:r w:rsidRPr="00FA3209">
        <w:rPr>
          <w:rFonts w:ascii="Helvetica" w:eastAsia="Aptos" w:hAnsi="Helvetica" w:cs="Helvetica"/>
          <w:bCs/>
        </w:rPr>
        <w:t xml:space="preserve">For 16S rRNA dataset, due to the availability of comprehensive meta data, to find the relationship between individual microbes and sources of variability, we have used Generalised Linear Latent Variable Model (GLLVM) </w:t>
      </w:r>
      <w:r w:rsidRPr="00FA3209">
        <w:rPr>
          <w:rFonts w:ascii="Helvetica" w:eastAsia="Aptos" w:hAnsi="Helvetica" w:cs="Helvetica"/>
          <w:bCs/>
        </w:rPr>
        <w:fldChar w:fldCharType="begin"/>
      </w:r>
      <w:r w:rsidR="007436F8">
        <w:rPr>
          <w:rFonts w:ascii="Helvetica" w:eastAsia="Aptos" w:hAnsi="Helvetica" w:cs="Helvetica"/>
          <w:bCs/>
        </w:rPr>
        <w:instrText xml:space="preserve"> ADDIN ZOTERO_ITEM CSL_CITATION {"citationID":"eOFHFb2E","properties":{"formattedCitation":"[33]","plainCitation":"[33]","noteIndex":0},"citationItems":[{"id":487,"uris":["http://zotero.org/users/17697971/items/JAKZHPZ6"],"itemData":{"id":487,"type":"article-journal","container-title":"Methods in Ecology and Evolution","ISSN":"2041-210X","issue":"12","note":"publisher: Wiley Online Library","page":"2173-2182","title":"gllvm: Fast analysis of multivariate abundance data with generalized linear latent variable models in r","volume":"10","author":[{"family":"Niku","given":"Jenni"},{"family":"Hui","given":"Francis K C"},{"family":"Taskinen","given":"Sara"},{"family":"Warton","given":"David I"}],"issued":{"date-parts":[["2019"]]}}}],"schema":"https://github.com/citation-style-language/schema/raw/master/csl-citation.json"} </w:instrText>
      </w:r>
      <w:r w:rsidRPr="00FA3209">
        <w:rPr>
          <w:rFonts w:ascii="Helvetica" w:eastAsia="Aptos" w:hAnsi="Helvetica" w:cs="Helvetica"/>
          <w:bCs/>
        </w:rPr>
        <w:fldChar w:fldCharType="separate"/>
      </w:r>
      <w:r w:rsidR="007436F8" w:rsidRPr="007436F8">
        <w:rPr>
          <w:rFonts w:ascii="Helvetica" w:hAnsi="Helvetica" w:cs="Helvetica"/>
        </w:rPr>
        <w:t>[33]</w:t>
      </w:r>
      <w:r w:rsidRPr="00FA3209">
        <w:rPr>
          <w:rFonts w:ascii="Helvetica" w:eastAsia="Aptos" w:hAnsi="Helvetica" w:cs="Helvetica"/>
          <w:bCs/>
        </w:rPr>
        <w:fldChar w:fldCharType="end"/>
      </w:r>
      <w:r w:rsidRPr="00FA3209">
        <w:rPr>
          <w:rFonts w:ascii="Helvetica" w:eastAsia="Aptos" w:hAnsi="Helvetica" w:cs="Helvetica"/>
          <w:bCs/>
        </w:rPr>
        <w:fldChar w:fldCharType="begin"/>
      </w:r>
      <w:r w:rsidRPr="00FA3209">
        <w:rPr>
          <w:rFonts w:ascii="Helvetica" w:eastAsia="Aptos" w:hAnsi="Helvetica" w:cs="Helvetica"/>
          <w:bCs/>
        </w:rPr>
        <w:fldChar w:fldCharType="separate"/>
      </w:r>
      <w:r w:rsidRPr="00FA3209">
        <w:rPr>
          <w:rFonts w:ascii="Helvetica" w:eastAsia="Aptos" w:hAnsi="Helvetica" w:cs="Helvetica"/>
          <w:bCs/>
        </w:rPr>
        <w:t>{Citation}</w:t>
      </w:r>
      <w:r w:rsidRPr="00FA3209">
        <w:rPr>
          <w:rFonts w:ascii="Helvetica" w:eastAsia="Aptos" w:hAnsi="Helvetica" w:cs="Helvetica"/>
          <w:bCs/>
        </w:rPr>
        <w:fldChar w:fldCharType="end"/>
      </w:r>
      <w:r w:rsidRPr="00FA3209">
        <w:rPr>
          <w:rFonts w:ascii="Helvetica" w:eastAsia="Aptos" w:hAnsi="Helvetica" w:cs="Helvetica"/>
          <w:bCs/>
        </w:rPr>
        <w:t xml:space="preserve">. GLVMM extends the basic generalized linear model that regresses the mean abundances </w:t>
      </w:r>
      <m:oMath>
        <m:sSub>
          <m:sSubPr>
            <m:ctrlPr>
              <w:rPr>
                <w:rFonts w:ascii="Cambria Math" w:eastAsia="Aptos" w:hAnsi="Cambria Math" w:cs="Helvetica"/>
                <w:bCs/>
                <w:i/>
              </w:rPr>
            </m:ctrlPr>
          </m:sSubPr>
          <m:e>
            <m:r>
              <w:rPr>
                <w:rFonts w:ascii="Cambria Math" w:eastAsia="Aptos" w:hAnsi="Cambria Math" w:cs="Helvetica"/>
              </w:rPr>
              <m:t>μ</m:t>
            </m:r>
          </m:e>
          <m:sub>
            <m:r>
              <w:rPr>
                <w:rFonts w:ascii="Cambria Math" w:eastAsia="Aptos" w:hAnsi="Cambria Math" w:cs="Helvetica"/>
              </w:rPr>
              <m:t>ij</m:t>
            </m:r>
          </m:sub>
        </m:sSub>
      </m:oMath>
      <w:r w:rsidRPr="00FA3209">
        <w:rPr>
          <w:rFonts w:ascii="Helvetica" w:eastAsia="Aptos" w:hAnsi="Helvetica" w:cs="Helvetica"/>
          <w:bCs/>
        </w:rPr>
        <w:t xml:space="preserve"> (for </w:t>
      </w:r>
      <m:oMath>
        <m:r>
          <w:rPr>
            <w:rFonts w:ascii="Cambria Math" w:eastAsia="Aptos" w:hAnsi="Cambria Math" w:cs="Helvetica"/>
          </w:rPr>
          <m:t>i</m:t>
        </m:r>
      </m:oMath>
      <w:r w:rsidRPr="00FA3209">
        <w:rPr>
          <w:rFonts w:ascii="Helvetica" w:eastAsia="Aptos" w:hAnsi="Helvetica" w:cs="Helvetica"/>
          <w:bCs/>
        </w:rPr>
        <w:t xml:space="preserve">-th sample and </w:t>
      </w:r>
      <m:oMath>
        <m:r>
          <w:rPr>
            <w:rFonts w:ascii="Cambria Math" w:eastAsia="Aptos" w:hAnsi="Cambria Math" w:cs="Helvetica"/>
          </w:rPr>
          <m:t>j</m:t>
        </m:r>
      </m:oMath>
      <w:r w:rsidRPr="00FA3209">
        <w:rPr>
          <w:rFonts w:ascii="Helvetica" w:eastAsia="Aptos" w:hAnsi="Helvetica" w:cs="Helvetica"/>
          <w:bCs/>
        </w:rPr>
        <w:t xml:space="preserve">-th microbe) of individual microbes against the covariates </w:t>
      </w:r>
      <m:oMath>
        <m:sSub>
          <m:sSubPr>
            <m:ctrlPr>
              <w:rPr>
                <w:rFonts w:ascii="Cambria Math" w:eastAsia="Aptos" w:hAnsi="Cambria Math" w:cs="Helvetica"/>
                <w:bCs/>
                <w:i/>
              </w:rPr>
            </m:ctrlPr>
          </m:sSubPr>
          <m:e>
            <m:r>
              <w:rPr>
                <w:rFonts w:ascii="Cambria Math" w:eastAsia="Aptos" w:hAnsi="Cambria Math" w:cs="Helvetica"/>
              </w:rPr>
              <m:t>x</m:t>
            </m:r>
          </m:e>
          <m:sub>
            <m:r>
              <w:rPr>
                <w:rFonts w:ascii="Cambria Math" w:eastAsia="Aptos" w:hAnsi="Cambria Math" w:cs="Helvetica"/>
              </w:rPr>
              <m:t>i</m:t>
            </m:r>
          </m:sub>
        </m:sSub>
      </m:oMath>
      <w:r w:rsidRPr="00FA3209">
        <w:rPr>
          <w:rFonts w:ascii="Helvetica" w:eastAsia="Aptos" w:hAnsi="Helvetica" w:cs="Helvetica"/>
          <w:bCs/>
        </w:rPr>
        <w:t xml:space="preserve"> by incorporating latent </w:t>
      </w:r>
      <w:r w:rsidRPr="00FA3209">
        <w:rPr>
          <w:rFonts w:ascii="Helvetica" w:eastAsia="Aptos" w:hAnsi="Helvetica" w:cs="Helvetica"/>
          <w:bCs/>
        </w:rPr>
        <w:lastRenderedPageBreak/>
        <w:t xml:space="preserve">variables </w:t>
      </w:r>
      <m:oMath>
        <m:sSub>
          <m:sSubPr>
            <m:ctrlPr>
              <w:rPr>
                <w:rFonts w:ascii="Cambria Math" w:eastAsia="Aptos" w:hAnsi="Cambria Math" w:cs="Helvetica"/>
                <w:bCs/>
                <w:i/>
              </w:rPr>
            </m:ctrlPr>
          </m:sSubPr>
          <m:e>
            <m:r>
              <w:rPr>
                <w:rFonts w:ascii="Cambria Math" w:eastAsia="Aptos" w:hAnsi="Cambria Math" w:cs="Helvetica"/>
              </w:rPr>
              <m:t>u</m:t>
            </m:r>
          </m:e>
          <m:sub>
            <m:r>
              <w:rPr>
                <w:rFonts w:ascii="Cambria Math" w:eastAsia="Aptos" w:hAnsi="Cambria Math" w:cs="Helvetica"/>
              </w:rPr>
              <m:t>i</m:t>
            </m:r>
          </m:sub>
        </m:sSub>
      </m:oMath>
      <w:r w:rsidRPr="00FA3209">
        <w:rPr>
          <w:rFonts w:ascii="Helvetica" w:eastAsia="Aptos" w:hAnsi="Helvetica" w:cs="Helvetica"/>
          <w:bCs/>
        </w:rPr>
        <w:t xml:space="preserve"> as </w:t>
      </w:r>
      <m:oMath>
        <m:r>
          <w:rPr>
            <w:rFonts w:ascii="Cambria Math" w:eastAsia="Aptos" w:hAnsi="Cambria Math" w:cs="Helvetica"/>
          </w:rPr>
          <m:t>g</m:t>
        </m:r>
        <m:d>
          <m:dPr>
            <m:ctrlPr>
              <w:rPr>
                <w:rFonts w:ascii="Cambria Math" w:eastAsia="Aptos" w:hAnsi="Cambria Math" w:cs="Helvetica"/>
                <w:bCs/>
                <w:i/>
              </w:rPr>
            </m:ctrlPr>
          </m:dPr>
          <m:e>
            <m:sSub>
              <m:sSubPr>
                <m:ctrlPr>
                  <w:rPr>
                    <w:rFonts w:ascii="Cambria Math" w:eastAsia="Aptos" w:hAnsi="Cambria Math" w:cs="Helvetica"/>
                    <w:bCs/>
                    <w:i/>
                  </w:rPr>
                </m:ctrlPr>
              </m:sSubPr>
              <m:e>
                <m:r>
                  <w:rPr>
                    <w:rFonts w:ascii="Cambria Math" w:eastAsia="Aptos" w:hAnsi="Cambria Math" w:cs="Helvetica"/>
                  </w:rPr>
                  <m:t>μ</m:t>
                </m:r>
              </m:e>
              <m:sub>
                <m:r>
                  <w:rPr>
                    <w:rFonts w:ascii="Cambria Math" w:eastAsia="Aptos" w:hAnsi="Cambria Math" w:cs="Helvetica"/>
                  </w:rPr>
                  <m:t>ij</m:t>
                </m:r>
              </m:sub>
            </m:sSub>
          </m:e>
        </m:d>
        <m:r>
          <w:rPr>
            <w:rFonts w:ascii="Cambria Math" w:eastAsia="Aptos" w:hAnsi="Cambria Math" w:cs="Helvetica"/>
          </w:rPr>
          <m:t>=</m:t>
        </m:r>
        <m:sSub>
          <m:sSubPr>
            <m:ctrlPr>
              <w:rPr>
                <w:rFonts w:ascii="Cambria Math" w:eastAsia="Aptos" w:hAnsi="Cambria Math" w:cs="Helvetica"/>
                <w:bCs/>
                <w:i/>
              </w:rPr>
            </m:ctrlPr>
          </m:sSubPr>
          <m:e>
            <m:r>
              <w:rPr>
                <w:rFonts w:ascii="Cambria Math" w:eastAsia="Aptos" w:hAnsi="Cambria Math" w:cs="Helvetica"/>
              </w:rPr>
              <m:t>η</m:t>
            </m:r>
          </m:e>
          <m:sub>
            <m:r>
              <w:rPr>
                <w:rFonts w:ascii="Cambria Math" w:eastAsia="Aptos" w:hAnsi="Cambria Math" w:cs="Helvetica"/>
              </w:rPr>
              <m:t>ij</m:t>
            </m:r>
          </m:sub>
        </m:sSub>
        <m:r>
          <w:rPr>
            <w:rFonts w:ascii="Cambria Math" w:eastAsia="Aptos" w:hAnsi="Cambria Math" w:cs="Helvetica"/>
          </w:rPr>
          <m:t>=</m:t>
        </m:r>
        <m:sSub>
          <m:sSubPr>
            <m:ctrlPr>
              <w:rPr>
                <w:rFonts w:ascii="Cambria Math" w:eastAsia="Aptos" w:hAnsi="Cambria Math" w:cs="Helvetica"/>
                <w:bCs/>
                <w:i/>
              </w:rPr>
            </m:ctrlPr>
          </m:sSubPr>
          <m:e>
            <m:r>
              <w:rPr>
                <w:rFonts w:ascii="Cambria Math" w:eastAsia="Aptos" w:hAnsi="Cambria Math" w:cs="Helvetica"/>
              </w:rPr>
              <m:t>α</m:t>
            </m:r>
          </m:e>
          <m:sub>
            <m:r>
              <w:rPr>
                <w:rFonts w:ascii="Cambria Math" w:eastAsia="Aptos" w:hAnsi="Cambria Math" w:cs="Helvetica"/>
              </w:rPr>
              <m:t>i</m:t>
            </m:r>
          </m:sub>
        </m:sSub>
        <m:r>
          <w:rPr>
            <w:rFonts w:ascii="Cambria Math" w:eastAsia="Aptos" w:hAnsi="Cambria Math" w:cs="Helvetica"/>
          </w:rPr>
          <m:t>+</m:t>
        </m:r>
        <m:sSub>
          <m:sSubPr>
            <m:ctrlPr>
              <w:rPr>
                <w:rFonts w:ascii="Cambria Math" w:eastAsia="Aptos" w:hAnsi="Cambria Math" w:cs="Helvetica"/>
                <w:bCs/>
                <w:i/>
              </w:rPr>
            </m:ctrlPr>
          </m:sSubPr>
          <m:e>
            <m:r>
              <w:rPr>
                <w:rFonts w:ascii="Cambria Math" w:eastAsia="Aptos" w:hAnsi="Cambria Math" w:cs="Helvetica"/>
              </w:rPr>
              <m:t>β</m:t>
            </m:r>
          </m:e>
          <m:sub>
            <m:r>
              <w:rPr>
                <w:rFonts w:ascii="Cambria Math" w:eastAsia="Aptos" w:hAnsi="Cambria Math" w:cs="Helvetica"/>
              </w:rPr>
              <m:t>0j</m:t>
            </m:r>
          </m:sub>
        </m:sSub>
        <m:r>
          <w:rPr>
            <w:rFonts w:ascii="Cambria Math" w:eastAsia="Aptos" w:hAnsi="Cambria Math" w:cs="Helvetica"/>
          </w:rPr>
          <m:t>+</m:t>
        </m:r>
        <m:sSubSup>
          <m:sSubSupPr>
            <m:ctrlPr>
              <w:rPr>
                <w:rFonts w:ascii="Cambria Math" w:eastAsia="Aptos" w:hAnsi="Cambria Math" w:cs="Helvetica"/>
                <w:bCs/>
                <w:i/>
              </w:rPr>
            </m:ctrlPr>
          </m:sSubSupPr>
          <m:e>
            <m:r>
              <m:rPr>
                <m:sty m:val="bi"/>
              </m:rPr>
              <w:rPr>
                <w:rFonts w:ascii="Cambria Math" w:eastAsia="Aptos" w:hAnsi="Cambria Math" w:cs="Helvetica"/>
              </w:rPr>
              <m:t>x</m:t>
            </m:r>
          </m:e>
          <m:sub>
            <m:r>
              <w:rPr>
                <w:rFonts w:ascii="Cambria Math" w:eastAsia="Aptos" w:hAnsi="Cambria Math" w:cs="Helvetica"/>
              </w:rPr>
              <m:t>i</m:t>
            </m:r>
          </m:sub>
          <m:sup>
            <m:r>
              <w:rPr>
                <w:rFonts w:ascii="Cambria Math" w:eastAsia="Aptos" w:hAnsi="Cambria Math" w:cs="Helvetica"/>
              </w:rPr>
              <m:t>T</m:t>
            </m:r>
          </m:sup>
        </m:sSubSup>
        <m:sSub>
          <m:sSubPr>
            <m:ctrlPr>
              <w:rPr>
                <w:rFonts w:ascii="Cambria Math" w:eastAsia="Aptos" w:hAnsi="Cambria Math" w:cs="Helvetica"/>
                <w:bCs/>
                <w:i/>
              </w:rPr>
            </m:ctrlPr>
          </m:sSubPr>
          <m:e>
            <m:r>
              <m:rPr>
                <m:sty m:val="bi"/>
              </m:rPr>
              <w:rPr>
                <w:rFonts w:ascii="Cambria Math" w:eastAsia="Aptos" w:hAnsi="Cambria Math" w:cs="Helvetica"/>
              </w:rPr>
              <m:t>β</m:t>
            </m:r>
          </m:e>
          <m:sub>
            <m:r>
              <w:rPr>
                <w:rFonts w:ascii="Cambria Math" w:eastAsia="Aptos" w:hAnsi="Cambria Math" w:cs="Helvetica"/>
              </w:rPr>
              <m:t>j</m:t>
            </m:r>
          </m:sub>
        </m:sSub>
        <m:r>
          <w:rPr>
            <w:rFonts w:ascii="Cambria Math" w:eastAsia="Aptos" w:hAnsi="Cambria Math" w:cs="Helvetica"/>
          </w:rPr>
          <m:t>+</m:t>
        </m:r>
        <m:sSubSup>
          <m:sSubSupPr>
            <m:ctrlPr>
              <w:rPr>
                <w:rFonts w:ascii="Cambria Math" w:eastAsia="Aptos" w:hAnsi="Cambria Math" w:cs="Helvetica"/>
                <w:bCs/>
                <w:i/>
              </w:rPr>
            </m:ctrlPr>
          </m:sSubSupPr>
          <m:e>
            <m:r>
              <m:rPr>
                <m:sty m:val="bi"/>
              </m:rPr>
              <w:rPr>
                <w:rFonts w:ascii="Cambria Math" w:eastAsia="Aptos" w:hAnsi="Cambria Math" w:cs="Helvetica"/>
              </w:rPr>
              <m:t>u</m:t>
            </m:r>
          </m:e>
          <m:sub>
            <m:r>
              <w:rPr>
                <w:rFonts w:ascii="Cambria Math" w:eastAsia="Aptos" w:hAnsi="Cambria Math" w:cs="Helvetica"/>
              </w:rPr>
              <m:t>i</m:t>
            </m:r>
          </m:sub>
          <m:sup>
            <m:r>
              <w:rPr>
                <w:rFonts w:ascii="Cambria Math" w:eastAsia="Aptos" w:hAnsi="Cambria Math" w:cs="Helvetica"/>
              </w:rPr>
              <m:t>T</m:t>
            </m:r>
          </m:sup>
        </m:sSubSup>
        <m:sSub>
          <m:sSubPr>
            <m:ctrlPr>
              <w:rPr>
                <w:rFonts w:ascii="Cambria Math" w:eastAsia="Aptos" w:hAnsi="Cambria Math" w:cs="Helvetica"/>
                <w:bCs/>
                <w:i/>
              </w:rPr>
            </m:ctrlPr>
          </m:sSubPr>
          <m:e>
            <m:r>
              <m:rPr>
                <m:sty m:val="bi"/>
              </m:rPr>
              <w:rPr>
                <w:rFonts w:ascii="Cambria Math" w:eastAsia="Aptos" w:hAnsi="Cambria Math" w:cs="Helvetica"/>
              </w:rPr>
              <m:t>θ</m:t>
            </m:r>
          </m:e>
          <m:sub>
            <m:r>
              <w:rPr>
                <w:rFonts w:ascii="Cambria Math" w:eastAsia="Aptos" w:hAnsi="Cambria Math" w:cs="Helvetica"/>
              </w:rPr>
              <m:t>j</m:t>
            </m:r>
          </m:sub>
        </m:sSub>
      </m:oMath>
      <w:r w:rsidRPr="00FA3209">
        <w:rPr>
          <w:rFonts w:ascii="Helvetica" w:eastAsia="Aptos" w:hAnsi="Helvetica" w:cs="Helvetica"/>
          <w:bCs/>
        </w:rPr>
        <w:t xml:space="preserve">, where </w:t>
      </w:r>
      <m:oMath>
        <m:sSub>
          <m:sSubPr>
            <m:ctrlPr>
              <w:rPr>
                <w:rFonts w:ascii="Cambria Math" w:eastAsia="Aptos" w:hAnsi="Cambria Math" w:cs="Helvetica"/>
                <w:bCs/>
                <w:i/>
              </w:rPr>
            </m:ctrlPr>
          </m:sSubPr>
          <m:e>
            <m:r>
              <m:rPr>
                <m:sty m:val="bi"/>
              </m:rPr>
              <w:rPr>
                <w:rFonts w:ascii="Cambria Math" w:eastAsia="Aptos" w:hAnsi="Cambria Math" w:cs="Helvetica"/>
              </w:rPr>
              <m:t>β</m:t>
            </m:r>
          </m:e>
          <m:sub>
            <m:r>
              <w:rPr>
                <w:rFonts w:ascii="Cambria Math" w:eastAsia="Aptos" w:hAnsi="Cambria Math" w:cs="Helvetica"/>
              </w:rPr>
              <m:t>j</m:t>
            </m:r>
          </m:sub>
        </m:sSub>
      </m:oMath>
      <w:r w:rsidRPr="00FA3209">
        <w:rPr>
          <w:rFonts w:ascii="Helvetica" w:eastAsia="Aptos" w:hAnsi="Helvetica" w:cs="Helvetica"/>
          <w:bCs/>
        </w:rPr>
        <w:t xml:space="preserve"> are the microbe specific coefficients associated with individual covariate (a 95% confidence interval of these whether positive or negative, and not crossing 0 boundary gives directionality with the interpretation that an increase or decrease in that particular covariate causes an increase or decrease in the abundance of the microbe), and </w:t>
      </w:r>
      <m:oMath>
        <m:sSub>
          <m:sSubPr>
            <m:ctrlPr>
              <w:rPr>
                <w:rFonts w:ascii="Cambria Math" w:eastAsia="Aptos" w:hAnsi="Cambria Math" w:cs="Helvetica"/>
                <w:bCs/>
                <w:i/>
              </w:rPr>
            </m:ctrlPr>
          </m:sSubPr>
          <m:e>
            <m:r>
              <m:rPr>
                <m:sty m:val="bi"/>
              </m:rPr>
              <w:rPr>
                <w:rFonts w:ascii="Cambria Math" w:eastAsia="Aptos" w:hAnsi="Cambria Math" w:cs="Helvetica"/>
              </w:rPr>
              <m:t>θ</m:t>
            </m:r>
          </m:e>
          <m:sub>
            <m:r>
              <w:rPr>
                <w:rFonts w:ascii="Cambria Math" w:eastAsia="Aptos" w:hAnsi="Cambria Math" w:cs="Helvetica"/>
              </w:rPr>
              <m:t>j</m:t>
            </m:r>
          </m:sub>
        </m:sSub>
      </m:oMath>
      <w:r w:rsidRPr="00FA3209">
        <w:rPr>
          <w:rFonts w:ascii="Helvetica" w:eastAsia="Aptos" w:hAnsi="Helvetica" w:cs="Helvetica"/>
          <w:bCs/>
        </w:rPr>
        <w:t xml:space="preserve"> are the corresponding coefficients associated with latent variable. </w:t>
      </w:r>
      <m:oMath>
        <m:sSub>
          <m:sSubPr>
            <m:ctrlPr>
              <w:rPr>
                <w:rFonts w:ascii="Cambria Math" w:eastAsia="Aptos" w:hAnsi="Cambria Math" w:cs="Helvetica"/>
                <w:bCs/>
                <w:i/>
              </w:rPr>
            </m:ctrlPr>
          </m:sSubPr>
          <m:e>
            <m:r>
              <w:rPr>
                <w:rFonts w:ascii="Cambria Math" w:eastAsia="Aptos" w:hAnsi="Cambria Math" w:cs="Helvetica"/>
              </w:rPr>
              <m:t>β</m:t>
            </m:r>
          </m:e>
          <m:sub>
            <m:r>
              <w:rPr>
                <w:rFonts w:ascii="Cambria Math" w:eastAsia="Aptos" w:hAnsi="Cambria Math" w:cs="Helvetica"/>
              </w:rPr>
              <m:t>0j</m:t>
            </m:r>
          </m:sub>
        </m:sSub>
      </m:oMath>
      <w:r w:rsidRPr="00FA3209">
        <w:rPr>
          <w:rFonts w:ascii="Helvetica" w:eastAsia="Aptos" w:hAnsi="Helvetica" w:cs="Helvetica"/>
          <w:bCs/>
        </w:rPr>
        <w:t xml:space="preserve"> are microbe-specific intercepts, whilst </w:t>
      </w:r>
      <m:oMath>
        <m:sSub>
          <m:sSubPr>
            <m:ctrlPr>
              <w:rPr>
                <w:rFonts w:ascii="Cambria Math" w:eastAsia="Aptos" w:hAnsi="Cambria Math" w:cs="Helvetica"/>
                <w:bCs/>
                <w:i/>
              </w:rPr>
            </m:ctrlPr>
          </m:sSubPr>
          <m:e>
            <m:r>
              <w:rPr>
                <w:rFonts w:ascii="Cambria Math" w:eastAsia="Aptos" w:hAnsi="Cambria Math" w:cs="Helvetica"/>
              </w:rPr>
              <m:t>α</m:t>
            </m:r>
          </m:e>
          <m:sub>
            <m:r>
              <w:rPr>
                <w:rFonts w:ascii="Cambria Math" w:eastAsia="Aptos" w:hAnsi="Cambria Math" w:cs="Helvetica"/>
              </w:rPr>
              <m:t>i</m:t>
            </m:r>
          </m:sub>
        </m:sSub>
      </m:oMath>
      <w:r w:rsidRPr="00FA3209">
        <w:rPr>
          <w:rFonts w:ascii="Helvetica" w:eastAsia="Aptos" w:hAnsi="Helvetica" w:cs="Helvetica"/>
          <w:bCs/>
        </w:rPr>
        <w:t xml:space="preserve"> are optional sample effects which can either be chosen as fixed effects or random effects. We have mainly used the binary variables in the model such as: </w:t>
      </w:r>
      <w:r w:rsidRPr="00FA3209">
        <w:rPr>
          <w:rFonts w:ascii="Helvetica" w:eastAsia="Aptos" w:hAnsi="Helvetica" w:cs="Helvetica"/>
          <w:bCs/>
          <w:i/>
          <w:iCs/>
        </w:rPr>
        <w:t>Water</w:t>
      </w:r>
      <w:r w:rsidRPr="00FA3209">
        <w:rPr>
          <w:rFonts w:ascii="Helvetica" w:eastAsia="Aptos" w:hAnsi="Helvetica" w:cs="Helvetica"/>
          <w:bCs/>
        </w:rPr>
        <w:t xml:space="preserve"> (whether the sample is coming from the tank or the distribution system); </w:t>
      </w:r>
      <w:r w:rsidRPr="00FA3209">
        <w:rPr>
          <w:rFonts w:ascii="Helvetica" w:eastAsia="Aptos" w:hAnsi="Helvetica" w:cs="Helvetica"/>
          <w:bCs/>
          <w:i/>
          <w:iCs/>
        </w:rPr>
        <w:t>Biofilm</w:t>
      </w:r>
      <w:r w:rsidRPr="00FA3209">
        <w:rPr>
          <w:rFonts w:ascii="Helvetica" w:eastAsia="Aptos" w:hAnsi="Helvetica" w:cs="Helvetica"/>
          <w:bCs/>
        </w:rPr>
        <w:t xml:space="preserve"> (whether the sample is coming from the tank wall, the cement coupon or the polyethylene coupon), </w:t>
      </w:r>
      <w:r w:rsidRPr="00FA3209">
        <w:rPr>
          <w:rFonts w:ascii="Helvetica" w:eastAsia="Aptos" w:hAnsi="Helvetica" w:cs="Helvetica"/>
          <w:bCs/>
          <w:i/>
          <w:iCs/>
        </w:rPr>
        <w:t>Sediment</w:t>
      </w:r>
      <w:r w:rsidRPr="00FA3209">
        <w:rPr>
          <w:rFonts w:ascii="Helvetica" w:eastAsia="Aptos" w:hAnsi="Helvetica" w:cs="Helvetica"/>
          <w:bCs/>
        </w:rPr>
        <w:t xml:space="preserve"> (the sample consist of loose deposits from the bottom pf the tank formed over a year of the tank use), </w:t>
      </w:r>
      <w:r w:rsidRPr="00FA3209">
        <w:rPr>
          <w:rFonts w:ascii="Helvetica" w:eastAsia="Aptos" w:hAnsi="Helvetica" w:cs="Helvetica"/>
          <w:bCs/>
          <w:i/>
          <w:iCs/>
        </w:rPr>
        <w:t xml:space="preserve">Main Distribution </w:t>
      </w:r>
      <w:r w:rsidRPr="00FA3209">
        <w:rPr>
          <w:rFonts w:ascii="Helvetica" w:eastAsia="Aptos" w:hAnsi="Helvetica" w:cs="Helvetica"/>
          <w:bCs/>
        </w:rPr>
        <w:t xml:space="preserve">(the sample is water from the main distribution system before it enters to the tank), </w:t>
      </w:r>
      <w:r w:rsidRPr="00FA3209">
        <w:rPr>
          <w:rFonts w:ascii="Helvetica" w:eastAsia="Aptos" w:hAnsi="Helvetica" w:cs="Helvetica"/>
          <w:bCs/>
          <w:i/>
          <w:iCs/>
        </w:rPr>
        <w:t>Tank</w:t>
      </w:r>
      <w:r w:rsidRPr="00FA3209">
        <w:rPr>
          <w:rFonts w:ascii="Helvetica" w:eastAsia="Aptos" w:hAnsi="Helvetica" w:cs="Helvetica"/>
          <w:bCs/>
        </w:rPr>
        <w:t xml:space="preserve"> (any sample taken from the tank as water, biofilm or sediment), </w:t>
      </w:r>
      <w:r w:rsidRPr="00FA3209">
        <w:rPr>
          <w:rFonts w:ascii="Helvetica" w:eastAsia="Aptos" w:hAnsi="Helvetica" w:cs="Helvetica"/>
          <w:bCs/>
          <w:i/>
          <w:iCs/>
        </w:rPr>
        <w:t>Concrete Wall</w:t>
      </w:r>
      <w:r w:rsidRPr="00FA3209">
        <w:rPr>
          <w:rFonts w:ascii="Helvetica" w:eastAsia="Aptos" w:hAnsi="Helvetica" w:cs="Helvetica"/>
          <w:bCs/>
        </w:rPr>
        <w:t xml:space="preserve"> (cement biofilm samples taken from the wall of the tank), </w:t>
      </w:r>
      <w:r w:rsidRPr="00FA3209">
        <w:rPr>
          <w:rFonts w:ascii="Helvetica" w:eastAsia="Aptos" w:hAnsi="Helvetica" w:cs="Helvetica"/>
          <w:bCs/>
          <w:i/>
          <w:iCs/>
        </w:rPr>
        <w:t>Concrete Coupon</w:t>
      </w:r>
      <w:r w:rsidRPr="00FA3209">
        <w:rPr>
          <w:rFonts w:ascii="Helvetica" w:eastAsia="Aptos" w:hAnsi="Helvetica" w:cs="Helvetica"/>
          <w:bCs/>
        </w:rPr>
        <w:t xml:space="preserve"> (biofilm samples coming from the concrete coupons), </w:t>
      </w:r>
      <w:r w:rsidRPr="00FA3209">
        <w:rPr>
          <w:rFonts w:ascii="Helvetica" w:eastAsia="Aptos" w:hAnsi="Helvetica" w:cs="Helvetica"/>
          <w:bCs/>
          <w:i/>
          <w:iCs/>
        </w:rPr>
        <w:t>Polyethylene</w:t>
      </w:r>
      <w:r w:rsidRPr="00FA3209">
        <w:rPr>
          <w:rFonts w:ascii="Helvetica" w:eastAsia="Aptos" w:hAnsi="Helvetica" w:cs="Helvetica"/>
          <w:bCs/>
        </w:rPr>
        <w:t xml:space="preserve"> (biofilm samples coming from the polyethylene coupons), </w:t>
      </w:r>
      <w:r w:rsidRPr="00FA3209">
        <w:rPr>
          <w:rFonts w:ascii="Helvetica" w:eastAsia="Aptos" w:hAnsi="Helvetica" w:cs="Helvetica"/>
          <w:bCs/>
          <w:i/>
          <w:iCs/>
        </w:rPr>
        <w:t>Pre</w:t>
      </w:r>
      <w:r w:rsidRPr="00FA3209">
        <w:rPr>
          <w:rFonts w:ascii="Helvetica" w:eastAsia="Aptos" w:hAnsi="Helvetica" w:cs="Helvetica"/>
          <w:bCs/>
        </w:rPr>
        <w:t xml:space="preserve"> (water, biofilm or sediment samples taken after a year of the tank use, immediately before cleaning for the start of the longitudinal experiment), </w:t>
      </w:r>
      <w:r w:rsidRPr="00FA3209">
        <w:rPr>
          <w:rFonts w:ascii="Helvetica" w:eastAsia="Aptos" w:hAnsi="Helvetica" w:cs="Helvetica"/>
          <w:bCs/>
          <w:i/>
          <w:iCs/>
        </w:rPr>
        <w:t>Three Months</w:t>
      </w:r>
      <w:r w:rsidRPr="00FA3209">
        <w:rPr>
          <w:rFonts w:ascii="Helvetica" w:eastAsia="Aptos" w:hAnsi="Helvetica" w:cs="Helvetica"/>
          <w:bCs/>
        </w:rPr>
        <w:t xml:space="preserve"> (every water sample collected from the tank or the main distribution system after three months from the start of the experiment, and every biofilm sample formed over a three-month period on either cement or polyethylene coupons), </w:t>
      </w:r>
      <w:r w:rsidRPr="00FA3209">
        <w:rPr>
          <w:rFonts w:ascii="Helvetica" w:eastAsia="Aptos" w:hAnsi="Helvetica" w:cs="Helvetica"/>
          <w:bCs/>
          <w:i/>
          <w:iCs/>
        </w:rPr>
        <w:t>Six Months</w:t>
      </w:r>
      <w:r w:rsidRPr="00FA3209">
        <w:rPr>
          <w:rFonts w:ascii="Helvetica" w:eastAsia="Aptos" w:hAnsi="Helvetica" w:cs="Helvetica"/>
          <w:bCs/>
        </w:rPr>
        <w:t xml:space="preserve"> (every water sample collected from the tank or the main distribution system after six months from the start of the experiment, and every biofilm sample formed over a six-month period on either cement or polyethylene coupons), </w:t>
      </w:r>
      <w:r w:rsidRPr="00FA3209">
        <w:rPr>
          <w:rFonts w:ascii="Helvetica" w:eastAsia="Aptos" w:hAnsi="Helvetica" w:cs="Helvetica"/>
          <w:bCs/>
          <w:i/>
          <w:iCs/>
        </w:rPr>
        <w:t>Nine Months</w:t>
      </w:r>
      <w:r w:rsidRPr="00FA3209">
        <w:rPr>
          <w:rFonts w:ascii="Helvetica" w:eastAsia="Aptos" w:hAnsi="Helvetica" w:cs="Helvetica"/>
          <w:bCs/>
        </w:rPr>
        <w:t xml:space="preserve"> (every water sample </w:t>
      </w:r>
      <w:r w:rsidRPr="00FA3209">
        <w:rPr>
          <w:rFonts w:ascii="Helvetica" w:eastAsia="Aptos" w:hAnsi="Helvetica" w:cs="Helvetica"/>
          <w:bCs/>
        </w:rPr>
        <w:lastRenderedPageBreak/>
        <w:t xml:space="preserve">collected from the tank or the main distribution system after nine months from the start of the experiment, and every biofilm sample formed over a nine-month period on either cement or polyethylene coupons), </w:t>
      </w:r>
      <w:r w:rsidRPr="00FA3209">
        <w:rPr>
          <w:rFonts w:ascii="Helvetica" w:eastAsia="Aptos" w:hAnsi="Helvetica" w:cs="Helvetica"/>
          <w:bCs/>
          <w:i/>
          <w:iCs/>
        </w:rPr>
        <w:t>Twelve Months</w:t>
      </w:r>
      <w:r w:rsidRPr="00FA3209">
        <w:rPr>
          <w:rFonts w:ascii="Helvetica" w:eastAsia="Aptos" w:hAnsi="Helvetica" w:cs="Helvetica"/>
          <w:bCs/>
        </w:rPr>
        <w:t xml:space="preserve"> (every water sample collected from the main distribution system, along with every water and sediment sample collected from the tank after twelve months from the start of the experiment, and every biofilm sample formed over a twelve-month period on either cement, polyethylene coupons, or the tank wall), </w:t>
      </w:r>
      <w:r w:rsidRPr="00FA3209">
        <w:rPr>
          <w:rFonts w:ascii="Helvetica" w:eastAsia="Aptos" w:hAnsi="Helvetica" w:cs="Helvetica"/>
          <w:bCs/>
          <w:i/>
          <w:iCs/>
        </w:rPr>
        <w:t>Summer</w:t>
      </w:r>
      <w:r w:rsidRPr="00FA3209">
        <w:rPr>
          <w:rFonts w:ascii="Helvetica" w:eastAsia="Aptos" w:hAnsi="Helvetica" w:cs="Helvetica"/>
          <w:bCs/>
        </w:rPr>
        <w:t xml:space="preserve"> (water, biofilm or sediment samples from the tank or water samples from the distribution system taken on summer season), </w:t>
      </w:r>
      <w:r w:rsidRPr="00FA3209">
        <w:rPr>
          <w:rFonts w:ascii="Helvetica" w:eastAsia="Aptos" w:hAnsi="Helvetica" w:cs="Helvetica"/>
          <w:bCs/>
          <w:i/>
          <w:iCs/>
        </w:rPr>
        <w:t xml:space="preserve">Autumn </w:t>
      </w:r>
      <w:r w:rsidRPr="00FA3209">
        <w:rPr>
          <w:rFonts w:ascii="Helvetica" w:eastAsia="Aptos" w:hAnsi="Helvetica" w:cs="Helvetica"/>
          <w:bCs/>
        </w:rPr>
        <w:t xml:space="preserve">(water, biofilm or sediment samples from the tank or water samples from the distribution system taken on autumn season), </w:t>
      </w:r>
      <w:r w:rsidRPr="00FA3209">
        <w:rPr>
          <w:rFonts w:ascii="Helvetica" w:eastAsia="Aptos" w:hAnsi="Helvetica" w:cs="Helvetica"/>
          <w:bCs/>
          <w:i/>
          <w:iCs/>
        </w:rPr>
        <w:t>Spring</w:t>
      </w:r>
      <w:r w:rsidRPr="00FA3209">
        <w:rPr>
          <w:rFonts w:ascii="Helvetica" w:eastAsia="Aptos" w:hAnsi="Helvetica" w:cs="Helvetica"/>
          <w:bCs/>
        </w:rPr>
        <w:t xml:space="preserve"> (water, biofilm or sediment samples from the tank or water samples from the distribution system taken on spring season), </w:t>
      </w:r>
      <w:r w:rsidRPr="00FA3209">
        <w:rPr>
          <w:rFonts w:ascii="Helvetica" w:eastAsia="Aptos" w:hAnsi="Helvetica" w:cs="Helvetica"/>
          <w:bCs/>
          <w:i/>
          <w:iCs/>
        </w:rPr>
        <w:t>Winter</w:t>
      </w:r>
      <w:r w:rsidRPr="00FA3209">
        <w:rPr>
          <w:rFonts w:ascii="Helvetica" w:eastAsia="Aptos" w:hAnsi="Helvetica" w:cs="Helvetica"/>
          <w:bCs/>
        </w:rPr>
        <w:t xml:space="preserve"> (water, biofilm or sediment samples from the tank or water samples from the distribution system taken on winter season), </w:t>
      </w:r>
      <w:r w:rsidRPr="00FA3209">
        <w:rPr>
          <w:rFonts w:ascii="Helvetica" w:eastAsia="Aptos" w:hAnsi="Helvetica" w:cs="Helvetica"/>
          <w:bCs/>
          <w:i/>
          <w:iCs/>
        </w:rPr>
        <w:t>Year 2023</w:t>
      </w:r>
      <w:r w:rsidRPr="00FA3209">
        <w:rPr>
          <w:rFonts w:ascii="Helvetica" w:eastAsia="Aptos" w:hAnsi="Helvetica" w:cs="Helvetica"/>
          <w:bCs/>
        </w:rPr>
        <w:t xml:space="preserve"> (water, biofilm or sediment samples from the tank or water samples from the distribution system taken over the year 2023).</w:t>
      </w:r>
    </w:p>
    <w:p w14:paraId="6A5E0328" w14:textId="42272341" w:rsidR="00FA3209" w:rsidRPr="00FA3209" w:rsidRDefault="00FA3209" w:rsidP="00FA3209">
      <w:pPr>
        <w:spacing w:line="480" w:lineRule="auto"/>
        <w:jc w:val="both"/>
        <w:rPr>
          <w:rFonts w:ascii="Helvetica" w:eastAsia="Aptos" w:hAnsi="Helvetica" w:cs="Helvetica"/>
          <w:bCs/>
        </w:rPr>
      </w:pPr>
      <w:r w:rsidRPr="00FA3209">
        <w:rPr>
          <w:rFonts w:ascii="Helvetica" w:eastAsia="Aptos" w:hAnsi="Helvetica" w:cs="Helvetica"/>
          <w:bCs/>
        </w:rPr>
        <w:t>To model the distribution of individual microbes, we have used Negative Binomial distribution. Additionally, the approximation to the log-likelihood is done through Variational Approximation (VA) with final sets of parameters in glvmm() function being family = 'negative.binomial', method="VA", and  control.start=list(n.init = 7, jitter.var = 0.1) seemed to fit well.</w:t>
      </w:r>
    </w:p>
    <w:p w14:paraId="7B847CA9" w14:textId="675D3218" w:rsidR="00904A17" w:rsidRPr="00904A17" w:rsidRDefault="00904A17" w:rsidP="00FA3209">
      <w:pPr>
        <w:spacing w:line="480" w:lineRule="auto"/>
        <w:jc w:val="both"/>
        <w:rPr>
          <w:rFonts w:ascii="Helvetica" w:hAnsi="Helvetica" w:cs="Helvetica"/>
          <w:bCs/>
        </w:rPr>
      </w:pPr>
    </w:p>
    <w:p w14:paraId="4A4EC03B" w14:textId="77777777" w:rsidR="00D87861" w:rsidRDefault="00D87861">
      <w:pPr>
        <w:rPr>
          <w:bCs/>
        </w:rPr>
      </w:pPr>
      <w:r>
        <w:rPr>
          <w:bCs/>
        </w:rPr>
        <w:br w:type="page"/>
      </w:r>
    </w:p>
    <w:p w14:paraId="77074DBE" w14:textId="474621E9" w:rsidR="00D87861" w:rsidRDefault="00E37720" w:rsidP="00D87861">
      <w:pPr>
        <w:jc w:val="center"/>
        <w:rPr>
          <w:bCs/>
        </w:rPr>
      </w:pPr>
      <w:r>
        <w:rPr>
          <w:bCs/>
          <w:noProof/>
        </w:rPr>
        <w:lastRenderedPageBreak/>
        <w:drawing>
          <wp:inline distT="0" distB="0" distL="0" distR="0" wp14:anchorId="004ED6E0" wp14:editId="1B7FCD89">
            <wp:extent cx="5694045" cy="3260729"/>
            <wp:effectExtent l="0" t="0" r="1905" b="0"/>
            <wp:docPr id="4305588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11659" cy="3270816"/>
                    </a:xfrm>
                    <a:prstGeom prst="rect">
                      <a:avLst/>
                    </a:prstGeom>
                    <a:noFill/>
                  </pic:spPr>
                </pic:pic>
              </a:graphicData>
            </a:graphic>
          </wp:inline>
        </w:drawing>
      </w:r>
    </w:p>
    <w:p w14:paraId="43919B2C" w14:textId="77777777" w:rsidR="00D87861" w:rsidRDefault="00D87861" w:rsidP="00D87861">
      <w:pPr>
        <w:rPr>
          <w:rFonts w:ascii="Helvetica" w:hAnsi="Helvetica" w:cs="Helvetica"/>
          <w:sz w:val="20"/>
          <w:szCs w:val="20"/>
        </w:rPr>
      </w:pPr>
    </w:p>
    <w:p w14:paraId="4463140F" w14:textId="6F2EADEF" w:rsidR="00904A17" w:rsidRPr="00653700" w:rsidRDefault="00D87861" w:rsidP="00D87861">
      <w:pPr>
        <w:jc w:val="both"/>
        <w:rPr>
          <w:bCs/>
        </w:rPr>
      </w:pPr>
      <w:r w:rsidRPr="00904A17">
        <w:rPr>
          <w:rFonts w:ascii="Helvetica" w:hAnsi="Helvetica" w:cs="Helvetica"/>
          <w:b/>
          <w:bCs/>
          <w:sz w:val="20"/>
          <w:szCs w:val="20"/>
        </w:rPr>
        <w:t>Supplementary Figure S1</w:t>
      </w:r>
      <w:r w:rsidRPr="00904A17">
        <w:rPr>
          <w:rFonts w:ascii="Helvetica" w:hAnsi="Helvetica" w:cs="Helvetica"/>
          <w:sz w:val="20"/>
          <w:szCs w:val="20"/>
        </w:rPr>
        <w:t xml:space="preserve">. </w:t>
      </w:r>
      <w:r w:rsidR="00E37720">
        <w:rPr>
          <w:rFonts w:ascii="Helvetica" w:hAnsi="Helvetica" w:cs="Helvetica"/>
          <w:sz w:val="20"/>
          <w:szCs w:val="20"/>
        </w:rPr>
        <w:t>(</w:t>
      </w:r>
      <w:r w:rsidR="00E37720" w:rsidRPr="00E37720">
        <w:rPr>
          <w:rFonts w:ascii="Helvetica" w:hAnsi="Helvetica" w:cs="Helvetica"/>
          <w:b/>
          <w:bCs/>
          <w:sz w:val="20"/>
          <w:szCs w:val="20"/>
        </w:rPr>
        <w:t>A</w:t>
      </w:r>
      <w:r w:rsidR="00E37720">
        <w:rPr>
          <w:rFonts w:ascii="Helvetica" w:hAnsi="Helvetica" w:cs="Helvetica"/>
          <w:sz w:val="20"/>
          <w:szCs w:val="20"/>
        </w:rPr>
        <w:t xml:space="preserve">) </w:t>
      </w:r>
      <w:r>
        <w:rPr>
          <w:rFonts w:ascii="Helvetica" w:hAnsi="Helvetica" w:cs="Helvetica"/>
          <w:sz w:val="20"/>
          <w:szCs w:val="20"/>
        </w:rPr>
        <w:t>Shannon</w:t>
      </w:r>
      <w:r w:rsidRPr="00D87861">
        <w:rPr>
          <w:rFonts w:ascii="Helvetica" w:hAnsi="Helvetica" w:cs="Helvetica"/>
          <w:sz w:val="20"/>
          <w:szCs w:val="20"/>
        </w:rPr>
        <w:t xml:space="preserve"> </w:t>
      </w:r>
      <w:r w:rsidR="00AB4F96">
        <w:rPr>
          <w:rFonts w:ascii="Helvetica" w:hAnsi="Helvetica" w:cs="Helvetica"/>
          <w:sz w:val="20"/>
          <w:szCs w:val="20"/>
        </w:rPr>
        <w:t xml:space="preserve">entropy </w:t>
      </w:r>
      <w:r w:rsidRPr="00D87861">
        <w:rPr>
          <w:rFonts w:ascii="Helvetica" w:hAnsi="Helvetica" w:cs="Helvetica"/>
          <w:sz w:val="20"/>
          <w:szCs w:val="20"/>
        </w:rPr>
        <w:t xml:space="preserve">comparison of 16S rRNA based OTUs, and MAGs returned from WGS. </w:t>
      </w:r>
      <w:r w:rsidR="00E37720">
        <w:rPr>
          <w:rFonts w:ascii="Helvetica" w:hAnsi="Helvetica" w:cs="Helvetica"/>
          <w:sz w:val="20"/>
          <w:szCs w:val="20"/>
        </w:rPr>
        <w:t>(</w:t>
      </w:r>
      <w:r w:rsidR="00E37720" w:rsidRPr="00E37720">
        <w:rPr>
          <w:rFonts w:ascii="Helvetica" w:hAnsi="Helvetica" w:cs="Helvetica"/>
          <w:b/>
          <w:bCs/>
          <w:sz w:val="20"/>
          <w:szCs w:val="20"/>
        </w:rPr>
        <w:t>B</w:t>
      </w:r>
      <w:r w:rsidR="00E37720">
        <w:rPr>
          <w:rFonts w:ascii="Helvetica" w:hAnsi="Helvetica" w:cs="Helvetica"/>
          <w:sz w:val="20"/>
          <w:szCs w:val="20"/>
        </w:rPr>
        <w:t xml:space="preserve">) </w:t>
      </w:r>
      <w:r w:rsidRPr="00D87861">
        <w:rPr>
          <w:rFonts w:ascii="Helvetica" w:hAnsi="Helvetica" w:cs="Helvetica"/>
          <w:sz w:val="20"/>
          <w:szCs w:val="20"/>
        </w:rPr>
        <w:t>The comparison of functions (MetaCyc pathway abundances returned by PICRUSt2 software on OTUs, and KEGG Sub module abundances returned by METABOLIC software for MAGs)</w:t>
      </w:r>
      <w:r w:rsidR="00E37720">
        <w:rPr>
          <w:rFonts w:ascii="Helvetica" w:hAnsi="Helvetica" w:cs="Helvetica"/>
          <w:sz w:val="20"/>
          <w:szCs w:val="20"/>
        </w:rPr>
        <w:t xml:space="preserve">. </w:t>
      </w:r>
      <w:r w:rsidRPr="00D87861">
        <w:rPr>
          <w:rFonts w:ascii="Helvetica" w:hAnsi="Helvetica" w:cs="Helvetica"/>
          <w:sz w:val="20"/>
          <w:szCs w:val="20"/>
        </w:rPr>
        <w:t>The lines in each panel connect categories where the values are significantly different according to ANOVA with significance values as: * p &lt; 0.05, ** p &lt; 0.01, or *** p &lt; 0.001</w:t>
      </w:r>
      <w:r w:rsidR="00E37720">
        <w:rPr>
          <w:rFonts w:ascii="Helvetica" w:hAnsi="Helvetica" w:cs="Helvetica"/>
          <w:sz w:val="20"/>
          <w:szCs w:val="20"/>
        </w:rPr>
        <w:t>.</w:t>
      </w:r>
    </w:p>
    <w:p w14:paraId="76A20799" w14:textId="77777777" w:rsidR="006324CE" w:rsidRPr="00F160D9" w:rsidRDefault="00F160D9">
      <w:pPr>
        <w:rPr>
          <w:rFonts w:ascii="Arial" w:hAnsi="Arial" w:cs="Arial"/>
          <w:sz w:val="20"/>
          <w:szCs w:val="20"/>
        </w:rPr>
      </w:pPr>
      <w:r w:rsidRPr="00F160D9">
        <w:rPr>
          <w:rFonts w:ascii="Arial" w:hAnsi="Arial" w:cs="Arial"/>
          <w:noProof/>
          <w:sz w:val="20"/>
          <w:szCs w:val="20"/>
        </w:rPr>
        <w:lastRenderedPageBreak/>
        <w:drawing>
          <wp:inline distT="0" distB="0" distL="0" distR="0" wp14:anchorId="3170C6E1" wp14:editId="4E8A772F">
            <wp:extent cx="5731510" cy="5824642"/>
            <wp:effectExtent l="0" t="0" r="0" b="5080"/>
            <wp:docPr id="94204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7577"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5824642"/>
                    </a:xfrm>
                    <a:prstGeom prst="rect">
                      <a:avLst/>
                    </a:prstGeom>
                  </pic:spPr>
                </pic:pic>
              </a:graphicData>
            </a:graphic>
          </wp:inline>
        </w:drawing>
      </w:r>
    </w:p>
    <w:p w14:paraId="410A7D21" w14:textId="4F612C86" w:rsidR="00F160D9" w:rsidRPr="00904A17" w:rsidRDefault="00F160D9" w:rsidP="00F160D9">
      <w:pPr>
        <w:jc w:val="both"/>
        <w:rPr>
          <w:rFonts w:ascii="Helvetica" w:hAnsi="Helvetica" w:cs="Helvetica"/>
          <w:sz w:val="20"/>
          <w:szCs w:val="20"/>
          <w:lang w:val="en-US"/>
        </w:rPr>
      </w:pPr>
      <w:r w:rsidRPr="00904A17">
        <w:rPr>
          <w:rFonts w:ascii="Helvetica" w:hAnsi="Helvetica" w:cs="Helvetica"/>
          <w:b/>
          <w:bCs/>
          <w:sz w:val="20"/>
          <w:szCs w:val="20"/>
        </w:rPr>
        <w:t>Supplementary Figure S</w:t>
      </w:r>
      <w:r w:rsidR="00616A7F">
        <w:rPr>
          <w:rFonts w:ascii="Helvetica" w:hAnsi="Helvetica" w:cs="Helvetica"/>
          <w:b/>
          <w:bCs/>
          <w:sz w:val="20"/>
          <w:szCs w:val="20"/>
        </w:rPr>
        <w:t>2</w:t>
      </w:r>
      <w:r w:rsidRPr="00904A17">
        <w:rPr>
          <w:rFonts w:ascii="Helvetica" w:hAnsi="Helvetica" w:cs="Helvetica"/>
          <w:sz w:val="20"/>
          <w:szCs w:val="20"/>
        </w:rPr>
        <w:t xml:space="preserve">. Dynamic core microbiome inference </w:t>
      </w:r>
      <w:r w:rsidR="00A01930" w:rsidRPr="00904A17">
        <w:rPr>
          <w:rFonts w:ascii="Helvetica" w:hAnsi="Helvetica" w:cs="Helvetica"/>
          <w:sz w:val="20"/>
          <w:szCs w:val="20"/>
        </w:rPr>
        <w:t xml:space="preserve">done separately for each system </w:t>
      </w:r>
      <w:r w:rsidRPr="00904A17">
        <w:rPr>
          <w:rFonts w:ascii="Helvetica" w:hAnsi="Helvetica" w:cs="Helvetica"/>
          <w:sz w:val="20"/>
          <w:szCs w:val="20"/>
        </w:rPr>
        <w:t>using time-specific occupancy model</w:t>
      </w:r>
      <w:r w:rsidR="00BC115C" w:rsidRPr="00904A17">
        <w:rPr>
          <w:rFonts w:ascii="Helvetica" w:hAnsi="Helvetica" w:cs="Helvetica"/>
          <w:sz w:val="20"/>
          <w:szCs w:val="20"/>
        </w:rPr>
        <w:t xml:space="preserve"> for different systems</w:t>
      </w:r>
      <w:r w:rsidR="00A01930" w:rsidRPr="00904A17">
        <w:rPr>
          <w:rFonts w:ascii="Helvetica" w:hAnsi="Helvetica" w:cs="Helvetica"/>
          <w:sz w:val="20"/>
          <w:szCs w:val="20"/>
        </w:rPr>
        <w:t>:</w:t>
      </w:r>
      <w:r w:rsidR="00BC115C" w:rsidRPr="00904A17">
        <w:rPr>
          <w:rFonts w:ascii="Helvetica" w:hAnsi="Helvetica" w:cs="Helvetica"/>
          <w:sz w:val="20"/>
          <w:szCs w:val="20"/>
        </w:rPr>
        <w:t xml:space="preserve"> (A) Water Distribution System (B)</w:t>
      </w:r>
      <w:r w:rsidR="00A01930" w:rsidRPr="00904A17">
        <w:rPr>
          <w:rFonts w:ascii="Helvetica" w:hAnsi="Helvetica" w:cs="Helvetica"/>
          <w:sz w:val="20"/>
          <w:szCs w:val="20"/>
        </w:rPr>
        <w:t xml:space="preserve"> Water Tank (C) Sediment (D) Concrete Biofilm and (E) Polyethylene Biofilm</w:t>
      </w:r>
      <w:r w:rsidRPr="00904A17">
        <w:rPr>
          <w:rFonts w:ascii="Helvetica" w:hAnsi="Helvetica" w:cs="Helvetica"/>
          <w:sz w:val="20"/>
          <w:szCs w:val="20"/>
        </w:rPr>
        <w:t xml:space="preserve">. </w:t>
      </w:r>
      <w:r w:rsidRPr="00904A17">
        <w:rPr>
          <w:rFonts w:ascii="Helvetica" w:hAnsi="Helvetica" w:cs="Helvetica"/>
          <w:sz w:val="20"/>
          <w:szCs w:val="20"/>
          <w:lang w:val="en-US"/>
        </w:rPr>
        <w:t>The OTU rankings were obtained depending on the occupancy within these temporal groups (</w:t>
      </w:r>
      <w:r w:rsidRPr="00904A17">
        <w:rPr>
          <w:rFonts w:ascii="Helvetica" w:hAnsi="Helvetica" w:cs="Helvetica"/>
          <w:i/>
          <w:iCs/>
          <w:sz w:val="20"/>
          <w:szCs w:val="20"/>
          <w:lang w:val="en-US"/>
        </w:rPr>
        <w:t>Pre</w:t>
      </w:r>
      <w:r w:rsidRPr="00904A17">
        <w:rPr>
          <w:rFonts w:ascii="Helvetica" w:hAnsi="Helvetica" w:cs="Helvetica"/>
          <w:sz w:val="20"/>
          <w:szCs w:val="20"/>
          <w:lang w:val="en-US"/>
        </w:rPr>
        <w:t xml:space="preserve">, </w:t>
      </w:r>
      <w:r w:rsidRPr="00904A17">
        <w:rPr>
          <w:rFonts w:ascii="Helvetica" w:hAnsi="Helvetica" w:cs="Helvetica"/>
          <w:i/>
          <w:iCs/>
          <w:sz w:val="20"/>
          <w:szCs w:val="20"/>
          <w:lang w:val="en-US"/>
        </w:rPr>
        <w:t>3 months</w:t>
      </w:r>
      <w:r w:rsidRPr="00904A17">
        <w:rPr>
          <w:rFonts w:ascii="Helvetica" w:hAnsi="Helvetica" w:cs="Helvetica"/>
          <w:sz w:val="20"/>
          <w:szCs w:val="20"/>
          <w:lang w:val="en-US"/>
        </w:rPr>
        <w:t xml:space="preserve">, </w:t>
      </w:r>
      <w:r w:rsidRPr="00904A17">
        <w:rPr>
          <w:rFonts w:ascii="Helvetica" w:hAnsi="Helvetica" w:cs="Helvetica"/>
          <w:i/>
          <w:iCs/>
          <w:sz w:val="20"/>
          <w:szCs w:val="20"/>
          <w:lang w:val="en-US"/>
        </w:rPr>
        <w:t>6 months</w:t>
      </w:r>
      <w:r w:rsidRPr="00904A17">
        <w:rPr>
          <w:rFonts w:ascii="Helvetica" w:hAnsi="Helvetica" w:cs="Helvetica"/>
          <w:sz w:val="20"/>
          <w:szCs w:val="20"/>
          <w:lang w:val="en-US"/>
        </w:rPr>
        <w:t xml:space="preserve">, and </w:t>
      </w:r>
      <w:r w:rsidRPr="00904A17">
        <w:rPr>
          <w:rFonts w:ascii="Helvetica" w:hAnsi="Helvetica" w:cs="Helvetica"/>
          <w:i/>
          <w:iCs/>
          <w:sz w:val="20"/>
          <w:szCs w:val="20"/>
          <w:lang w:val="en-US"/>
        </w:rPr>
        <w:t>12 months</w:t>
      </w:r>
      <w:r w:rsidRPr="00904A17">
        <w:rPr>
          <w:rFonts w:ascii="Helvetica" w:hAnsi="Helvetica" w:cs="Helvetica"/>
          <w:sz w:val="20"/>
          <w:szCs w:val="20"/>
          <w:lang w:val="en-US"/>
        </w:rPr>
        <w:t>) as well as their replicate consistency within each temporal group.  Bray-Curtis similarity is calculated for the whole dataset, and then also for only the top-ranked OTUs. The contribution of the top-ranked OTUs is divided by the total Bray-Curtis similarity to calculate a percent contribution of the core OTU set to beta diversity. The next-ranked OTU is added consecutively to find the point in the ranking at which adding one more OTUs offers diminishing returns on explanatory value for beta diversity, and is shown below the abundance-occupancy plots. Here, the vertical dotted line represents the “Last 2% decrease” criteria where OTUs are incorporated in the core subset until there is no more than 2% decrease in beta diversity.  Independently, a neutral model is fitted to the dataset for each system. Combined with the core microbiome, the top plots then represent the core OTUs that are neutral, i.e., fall within the 95% interval confidence intervals shown in green, whilst non-neutral core OTUs with observed frequency above the predicted frequency from the neutral model (selected by the host) are shown in red colour, and those core OTUs with observed frequency below the predicted frequency from the neutral model (selected by dispersal limitation) are shown in green colour. All other OTUs (non-core) are greyed out.</w:t>
      </w:r>
    </w:p>
    <w:p w14:paraId="4A6F4144" w14:textId="77777777" w:rsidR="006B16D2" w:rsidRDefault="006B16D2" w:rsidP="00F160D9">
      <w:pPr>
        <w:jc w:val="both"/>
        <w:rPr>
          <w:rFonts w:ascii="Arial" w:hAnsi="Arial" w:cs="Arial"/>
          <w:sz w:val="20"/>
          <w:szCs w:val="20"/>
        </w:rPr>
        <w:sectPr w:rsidR="006B16D2">
          <w:pgSz w:w="11906" w:h="16838"/>
          <w:pgMar w:top="1440" w:right="1440" w:bottom="1440" w:left="1440" w:header="708" w:footer="708" w:gutter="0"/>
          <w:cols w:space="708"/>
          <w:docGrid w:linePitch="360"/>
        </w:sectPr>
      </w:pPr>
    </w:p>
    <w:p w14:paraId="2927A539" w14:textId="77777777" w:rsidR="006B16D2" w:rsidRDefault="00A817A3" w:rsidP="00F160D9">
      <w:pPr>
        <w:jc w:val="both"/>
        <w:rPr>
          <w:rFonts w:ascii="Arial" w:hAnsi="Arial" w:cs="Arial"/>
          <w:sz w:val="20"/>
          <w:szCs w:val="20"/>
        </w:rPr>
      </w:pPr>
      <w:r>
        <w:rPr>
          <w:rFonts w:ascii="Arial" w:hAnsi="Arial" w:cs="Arial"/>
          <w:noProof/>
          <w:sz w:val="20"/>
          <w:szCs w:val="20"/>
        </w:rPr>
        <w:lastRenderedPageBreak/>
        <w:drawing>
          <wp:inline distT="0" distB="0" distL="0" distR="0" wp14:anchorId="310B30EC" wp14:editId="1560A853">
            <wp:extent cx="5731510" cy="4937125"/>
            <wp:effectExtent l="0" t="0" r="0" b="3175"/>
            <wp:docPr id="436239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39655" name="Picture 436239655"/>
                    <pic:cNvPicPr/>
                  </pic:nvPicPr>
                  <pic:blipFill>
                    <a:blip r:embed="rId12">
                      <a:extLst>
                        <a:ext uri="{28A0092B-C50C-407E-A947-70E740481C1C}">
                          <a14:useLocalDpi xmlns:a14="http://schemas.microsoft.com/office/drawing/2010/main" val="0"/>
                        </a:ext>
                      </a:extLst>
                    </a:blip>
                    <a:stretch>
                      <a:fillRect/>
                    </a:stretch>
                  </pic:blipFill>
                  <pic:spPr>
                    <a:xfrm>
                      <a:off x="0" y="0"/>
                      <a:ext cx="5731510" cy="4937125"/>
                    </a:xfrm>
                    <a:prstGeom prst="rect">
                      <a:avLst/>
                    </a:prstGeom>
                  </pic:spPr>
                </pic:pic>
              </a:graphicData>
            </a:graphic>
          </wp:inline>
        </w:drawing>
      </w:r>
    </w:p>
    <w:p w14:paraId="70FA352D" w14:textId="5CFC2124" w:rsidR="00A817A3" w:rsidRPr="00904A17" w:rsidRDefault="00A817A3" w:rsidP="00A817A3">
      <w:pPr>
        <w:jc w:val="both"/>
        <w:rPr>
          <w:rFonts w:ascii="Helvetica" w:hAnsi="Helvetica" w:cs="Helvetica"/>
          <w:sz w:val="20"/>
          <w:szCs w:val="20"/>
          <w:lang w:val="en-IE"/>
        </w:rPr>
      </w:pPr>
      <w:r w:rsidRPr="00904A17">
        <w:rPr>
          <w:rFonts w:ascii="Helvetica" w:hAnsi="Helvetica" w:cs="Helvetica"/>
          <w:b/>
          <w:bCs/>
          <w:sz w:val="20"/>
          <w:szCs w:val="20"/>
        </w:rPr>
        <w:t>Supplementary Figure S</w:t>
      </w:r>
      <w:r w:rsidR="00357FDE">
        <w:rPr>
          <w:rFonts w:ascii="Helvetica" w:hAnsi="Helvetica" w:cs="Helvetica"/>
          <w:b/>
          <w:bCs/>
          <w:sz w:val="20"/>
          <w:szCs w:val="20"/>
        </w:rPr>
        <w:t>3</w:t>
      </w:r>
      <w:r w:rsidRPr="00904A17">
        <w:rPr>
          <w:rFonts w:ascii="Helvetica" w:hAnsi="Helvetica" w:cs="Helvetica"/>
          <w:sz w:val="20"/>
          <w:szCs w:val="20"/>
        </w:rPr>
        <w:t xml:space="preserve">. </w:t>
      </w:r>
      <w:r w:rsidRPr="00904A17">
        <w:rPr>
          <w:rFonts w:ascii="Helvetica" w:hAnsi="Helvetica" w:cs="Helvetica"/>
          <w:sz w:val="20"/>
          <w:szCs w:val="20"/>
          <w:lang w:val="en-IE"/>
        </w:rPr>
        <w:t xml:space="preserve">Taxonomic coverage tree of the Water DS samples showing </w:t>
      </w:r>
      <w:r w:rsidRPr="00904A17">
        <w:rPr>
          <w:rFonts w:ascii="Helvetica" w:hAnsi="Helvetica" w:cs="Helvetica"/>
          <w:b/>
          <w:bCs/>
          <w:sz w:val="20"/>
          <w:szCs w:val="20"/>
          <w:lang w:val="en-IE"/>
        </w:rPr>
        <w:t>(A)</w:t>
      </w:r>
      <w:r w:rsidRPr="00904A17">
        <w:rPr>
          <w:rFonts w:ascii="Helvetica" w:hAnsi="Helvetica" w:cs="Helvetica"/>
          <w:sz w:val="20"/>
          <w:szCs w:val="20"/>
          <w:lang w:val="en-IE"/>
        </w:rPr>
        <w:t xml:space="preserve"> collated abundances across all occupancies (</w:t>
      </w:r>
      <w:r w:rsidRPr="00904A17">
        <w:rPr>
          <w:rFonts w:ascii="Helvetica" w:hAnsi="Helvetica" w:cs="Helvetica"/>
          <w:i/>
          <w:iCs/>
          <w:sz w:val="20"/>
          <w:szCs w:val="20"/>
          <w:lang w:val="en-IE"/>
        </w:rPr>
        <w:t>Pre</w:t>
      </w:r>
      <w:r w:rsidRPr="00904A17">
        <w:rPr>
          <w:rFonts w:ascii="Helvetica" w:hAnsi="Helvetica" w:cs="Helvetica"/>
          <w:sz w:val="20"/>
          <w:szCs w:val="20"/>
          <w:lang w:val="en-IE"/>
        </w:rPr>
        <w:t xml:space="preserve">, </w:t>
      </w:r>
      <w:r w:rsidRPr="00904A17">
        <w:rPr>
          <w:rFonts w:ascii="Helvetica" w:hAnsi="Helvetica" w:cs="Helvetica"/>
          <w:i/>
          <w:iCs/>
          <w:sz w:val="20"/>
          <w:szCs w:val="20"/>
          <w:lang w:val="en-IE"/>
        </w:rPr>
        <w:t>3 months</w:t>
      </w:r>
      <w:r w:rsidRPr="00904A17">
        <w:rPr>
          <w:rFonts w:ascii="Helvetica" w:hAnsi="Helvetica" w:cs="Helvetica"/>
          <w:sz w:val="20"/>
          <w:szCs w:val="20"/>
          <w:lang w:val="en-IE"/>
        </w:rPr>
        <w:t xml:space="preserve">, </w:t>
      </w:r>
      <w:r w:rsidRPr="00904A17">
        <w:rPr>
          <w:rFonts w:ascii="Helvetica" w:hAnsi="Helvetica" w:cs="Helvetica"/>
          <w:i/>
          <w:iCs/>
          <w:sz w:val="20"/>
          <w:szCs w:val="20"/>
          <w:lang w:val="en-IE"/>
        </w:rPr>
        <w:t>6 months</w:t>
      </w:r>
      <w:r w:rsidRPr="00904A17">
        <w:rPr>
          <w:rFonts w:ascii="Helvetica" w:hAnsi="Helvetica" w:cs="Helvetica"/>
          <w:sz w:val="20"/>
          <w:szCs w:val="20"/>
          <w:lang w:val="en-IE"/>
        </w:rPr>
        <w:t xml:space="preserve">, and </w:t>
      </w:r>
      <w:r w:rsidRPr="00904A17">
        <w:rPr>
          <w:rFonts w:ascii="Helvetica" w:hAnsi="Helvetica" w:cs="Helvetica"/>
          <w:i/>
          <w:iCs/>
          <w:sz w:val="20"/>
          <w:szCs w:val="20"/>
          <w:lang w:val="en-IE"/>
        </w:rPr>
        <w:t>12 months</w:t>
      </w:r>
      <w:r w:rsidRPr="00904A17">
        <w:rPr>
          <w:rFonts w:ascii="Helvetica" w:hAnsi="Helvetica" w:cs="Helvetica"/>
          <w:sz w:val="20"/>
          <w:szCs w:val="20"/>
          <w:lang w:val="en-IE"/>
        </w:rPr>
        <w:t>), and separately for each occupancy</w:t>
      </w:r>
      <w:r w:rsidR="002C207F" w:rsidRPr="00904A17">
        <w:rPr>
          <w:rFonts w:ascii="Helvetica" w:hAnsi="Helvetica" w:cs="Helvetica"/>
          <w:sz w:val="20"/>
          <w:szCs w:val="20"/>
          <w:lang w:val="en-IE"/>
        </w:rPr>
        <w:t xml:space="preserve">: </w:t>
      </w:r>
      <w:r w:rsidR="002C207F" w:rsidRPr="00904A17">
        <w:rPr>
          <w:rFonts w:ascii="Helvetica" w:hAnsi="Helvetica" w:cs="Helvetica"/>
          <w:b/>
          <w:bCs/>
          <w:sz w:val="20"/>
          <w:szCs w:val="20"/>
          <w:lang w:val="en-IE"/>
        </w:rPr>
        <w:t>(B)</w:t>
      </w:r>
      <w:r w:rsidR="002C207F" w:rsidRPr="00904A17">
        <w:rPr>
          <w:rFonts w:ascii="Helvetica" w:hAnsi="Helvetica" w:cs="Helvetica"/>
          <w:sz w:val="20"/>
          <w:szCs w:val="20"/>
          <w:lang w:val="en-IE"/>
        </w:rPr>
        <w:t xml:space="preserve"> Pre, </w:t>
      </w:r>
      <w:r w:rsidR="002C207F" w:rsidRPr="00904A17">
        <w:rPr>
          <w:rFonts w:ascii="Helvetica" w:hAnsi="Helvetica" w:cs="Helvetica"/>
          <w:b/>
          <w:bCs/>
          <w:sz w:val="20"/>
          <w:szCs w:val="20"/>
          <w:lang w:val="en-IE"/>
        </w:rPr>
        <w:t>(C)</w:t>
      </w:r>
      <w:r w:rsidR="002C207F" w:rsidRPr="00904A17">
        <w:rPr>
          <w:rFonts w:ascii="Helvetica" w:hAnsi="Helvetica" w:cs="Helvetica"/>
          <w:sz w:val="20"/>
          <w:szCs w:val="20"/>
          <w:lang w:val="en-IE"/>
        </w:rPr>
        <w:t xml:space="preserve"> 3 months, </w:t>
      </w:r>
      <w:r w:rsidR="002C207F" w:rsidRPr="00904A17">
        <w:rPr>
          <w:rFonts w:ascii="Helvetica" w:hAnsi="Helvetica" w:cs="Helvetica"/>
          <w:b/>
          <w:bCs/>
          <w:sz w:val="20"/>
          <w:szCs w:val="20"/>
          <w:lang w:val="en-IE"/>
        </w:rPr>
        <w:t>(D)</w:t>
      </w:r>
      <w:r w:rsidR="002C207F" w:rsidRPr="00904A17">
        <w:rPr>
          <w:rFonts w:ascii="Helvetica" w:hAnsi="Helvetica" w:cs="Helvetica"/>
          <w:sz w:val="20"/>
          <w:szCs w:val="20"/>
          <w:lang w:val="en-IE"/>
        </w:rPr>
        <w:t xml:space="preserve"> 6 months, and </w:t>
      </w:r>
      <w:r w:rsidR="002C207F" w:rsidRPr="00904A17">
        <w:rPr>
          <w:rFonts w:ascii="Helvetica" w:hAnsi="Helvetica" w:cs="Helvetica"/>
          <w:b/>
          <w:bCs/>
          <w:sz w:val="20"/>
          <w:szCs w:val="20"/>
          <w:lang w:val="en-IE"/>
        </w:rPr>
        <w:t>(E)</w:t>
      </w:r>
      <w:r w:rsidR="002C207F" w:rsidRPr="00904A17">
        <w:rPr>
          <w:rFonts w:ascii="Helvetica" w:hAnsi="Helvetica" w:cs="Helvetica"/>
          <w:sz w:val="20"/>
          <w:szCs w:val="20"/>
          <w:lang w:val="en-IE"/>
        </w:rPr>
        <w:t xml:space="preserve"> 12 months</w:t>
      </w:r>
      <w:r w:rsidRPr="00904A17">
        <w:rPr>
          <w:rFonts w:ascii="Helvetica" w:hAnsi="Helvetica" w:cs="Helvetica"/>
          <w:sz w:val="20"/>
          <w:szCs w:val="20"/>
          <w:lang w:val="en-IE"/>
        </w:rPr>
        <w:t>. The key on the right side of the tree</w:t>
      </w:r>
      <w:r w:rsidR="002C207F" w:rsidRPr="00904A17">
        <w:rPr>
          <w:rFonts w:ascii="Helvetica" w:hAnsi="Helvetica" w:cs="Helvetica"/>
          <w:sz w:val="20"/>
          <w:szCs w:val="20"/>
          <w:lang w:val="en-IE"/>
        </w:rPr>
        <w:t>s</w:t>
      </w:r>
      <w:r w:rsidRPr="00904A17">
        <w:rPr>
          <w:rFonts w:ascii="Helvetica" w:hAnsi="Helvetica" w:cs="Helvetica"/>
          <w:sz w:val="20"/>
          <w:szCs w:val="20"/>
          <w:lang w:val="en-IE"/>
        </w:rPr>
        <w:t xml:space="preserve"> can be interpreted as follows: the width of the bar represents the number of unique taxa and is the size of the nodes (shown on the left side of the key), whilst the colour represents the count of these taxa (shown on the right side of the key).</w:t>
      </w:r>
    </w:p>
    <w:p w14:paraId="49D6E566" w14:textId="77777777" w:rsidR="00E70491" w:rsidRDefault="00E70491" w:rsidP="00A817A3">
      <w:pPr>
        <w:jc w:val="both"/>
        <w:rPr>
          <w:rFonts w:ascii="Arial" w:hAnsi="Arial" w:cs="Arial"/>
          <w:sz w:val="20"/>
          <w:szCs w:val="20"/>
          <w:lang w:val="en-IE"/>
        </w:rPr>
      </w:pPr>
    </w:p>
    <w:p w14:paraId="542B632E" w14:textId="77777777" w:rsidR="00E70491" w:rsidRDefault="00E70491" w:rsidP="00A817A3">
      <w:pPr>
        <w:jc w:val="both"/>
        <w:rPr>
          <w:rFonts w:ascii="Arial" w:hAnsi="Arial" w:cs="Arial"/>
          <w:sz w:val="20"/>
          <w:szCs w:val="20"/>
          <w:lang w:val="en-IE"/>
        </w:rPr>
        <w:sectPr w:rsidR="00E70491">
          <w:pgSz w:w="11906" w:h="16838"/>
          <w:pgMar w:top="1440" w:right="1440" w:bottom="1440" w:left="1440" w:header="708" w:footer="708" w:gutter="0"/>
          <w:cols w:space="708"/>
          <w:docGrid w:linePitch="360"/>
        </w:sectPr>
      </w:pPr>
    </w:p>
    <w:p w14:paraId="1F88AF7C" w14:textId="77777777" w:rsidR="00E70491" w:rsidRPr="00A817A3" w:rsidRDefault="00E70491" w:rsidP="00A817A3">
      <w:pPr>
        <w:jc w:val="both"/>
        <w:rPr>
          <w:rFonts w:ascii="Arial" w:hAnsi="Arial" w:cs="Arial"/>
          <w:sz w:val="20"/>
          <w:szCs w:val="20"/>
          <w:lang w:val="en-IE"/>
        </w:rPr>
      </w:pPr>
    </w:p>
    <w:p w14:paraId="59C0DE5E" w14:textId="77777777" w:rsidR="00A817A3" w:rsidRDefault="00E70491" w:rsidP="00F160D9">
      <w:pPr>
        <w:jc w:val="both"/>
        <w:rPr>
          <w:rFonts w:ascii="Arial" w:hAnsi="Arial" w:cs="Arial"/>
          <w:sz w:val="20"/>
          <w:szCs w:val="20"/>
        </w:rPr>
      </w:pPr>
      <w:r>
        <w:rPr>
          <w:rFonts w:ascii="Arial" w:hAnsi="Arial" w:cs="Arial"/>
          <w:noProof/>
          <w:sz w:val="20"/>
          <w:szCs w:val="20"/>
        </w:rPr>
        <w:drawing>
          <wp:inline distT="0" distB="0" distL="0" distR="0" wp14:anchorId="382642C8" wp14:editId="2EDCC933">
            <wp:extent cx="5731510" cy="5010150"/>
            <wp:effectExtent l="0" t="0" r="0" b="6350"/>
            <wp:docPr id="4298914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91473" name="Picture 429891473"/>
                    <pic:cNvPicPr/>
                  </pic:nvPicPr>
                  <pic:blipFill>
                    <a:blip r:embed="rId13">
                      <a:extLst>
                        <a:ext uri="{28A0092B-C50C-407E-A947-70E740481C1C}">
                          <a14:useLocalDpi xmlns:a14="http://schemas.microsoft.com/office/drawing/2010/main" val="0"/>
                        </a:ext>
                      </a:extLst>
                    </a:blip>
                    <a:stretch>
                      <a:fillRect/>
                    </a:stretch>
                  </pic:blipFill>
                  <pic:spPr>
                    <a:xfrm>
                      <a:off x="0" y="0"/>
                      <a:ext cx="5731510" cy="5010150"/>
                    </a:xfrm>
                    <a:prstGeom prst="rect">
                      <a:avLst/>
                    </a:prstGeom>
                  </pic:spPr>
                </pic:pic>
              </a:graphicData>
            </a:graphic>
          </wp:inline>
        </w:drawing>
      </w:r>
    </w:p>
    <w:p w14:paraId="571FB070" w14:textId="6B5A57E9" w:rsidR="00E70491" w:rsidRDefault="00E70491" w:rsidP="00E70491">
      <w:pPr>
        <w:jc w:val="both"/>
        <w:rPr>
          <w:rFonts w:ascii="Arial" w:hAnsi="Arial" w:cs="Arial"/>
          <w:sz w:val="20"/>
          <w:szCs w:val="20"/>
          <w:lang w:val="en-IE"/>
        </w:rPr>
      </w:pPr>
      <w:r w:rsidRPr="002C207F">
        <w:rPr>
          <w:rFonts w:ascii="Arial" w:hAnsi="Arial" w:cs="Arial"/>
          <w:b/>
          <w:bCs/>
          <w:sz w:val="20"/>
          <w:szCs w:val="20"/>
        </w:rPr>
        <w:t>Supplementary Figure S</w:t>
      </w:r>
      <w:r w:rsidR="00357FDE">
        <w:rPr>
          <w:rFonts w:ascii="Arial" w:hAnsi="Arial" w:cs="Arial"/>
          <w:b/>
          <w:bCs/>
          <w:sz w:val="20"/>
          <w:szCs w:val="20"/>
        </w:rPr>
        <w:t>4</w:t>
      </w:r>
      <w:r>
        <w:rPr>
          <w:rFonts w:ascii="Arial" w:hAnsi="Arial" w:cs="Arial"/>
          <w:sz w:val="20"/>
          <w:szCs w:val="20"/>
        </w:rPr>
        <w:t xml:space="preserve">. </w:t>
      </w:r>
      <w:r w:rsidRPr="00A817A3">
        <w:rPr>
          <w:rFonts w:ascii="Arial" w:hAnsi="Arial" w:cs="Arial"/>
          <w:sz w:val="20"/>
          <w:szCs w:val="20"/>
          <w:lang w:val="en-IE"/>
        </w:rPr>
        <w:t xml:space="preserve">Taxonomic coverage tree of the </w:t>
      </w:r>
      <w:r>
        <w:rPr>
          <w:rFonts w:ascii="Arial" w:hAnsi="Arial" w:cs="Arial"/>
          <w:sz w:val="20"/>
          <w:szCs w:val="20"/>
          <w:lang w:val="en-IE"/>
        </w:rPr>
        <w:t xml:space="preserve">Water Tank samples </w:t>
      </w:r>
      <w:r w:rsidRPr="00A817A3">
        <w:rPr>
          <w:rFonts w:ascii="Arial" w:hAnsi="Arial" w:cs="Arial"/>
          <w:sz w:val="20"/>
          <w:szCs w:val="20"/>
          <w:lang w:val="en-IE"/>
        </w:rPr>
        <w:t xml:space="preserve">showing </w:t>
      </w:r>
      <w:r w:rsidRPr="00A817A3">
        <w:rPr>
          <w:rFonts w:ascii="Arial" w:hAnsi="Arial" w:cs="Arial"/>
          <w:b/>
          <w:bCs/>
          <w:sz w:val="20"/>
          <w:szCs w:val="20"/>
          <w:lang w:val="en-IE"/>
        </w:rPr>
        <w:t>(A)</w:t>
      </w:r>
      <w:r>
        <w:rPr>
          <w:rFonts w:ascii="Arial" w:hAnsi="Arial" w:cs="Arial"/>
          <w:sz w:val="20"/>
          <w:szCs w:val="20"/>
          <w:lang w:val="en-IE"/>
        </w:rPr>
        <w:t xml:space="preserve"> </w:t>
      </w:r>
      <w:r w:rsidRPr="00A817A3">
        <w:rPr>
          <w:rFonts w:ascii="Arial" w:hAnsi="Arial" w:cs="Arial"/>
          <w:sz w:val="20"/>
          <w:szCs w:val="20"/>
          <w:lang w:val="en-IE"/>
        </w:rPr>
        <w:t xml:space="preserve">collated abundances across all occupancies </w:t>
      </w:r>
      <w:r>
        <w:rPr>
          <w:rFonts w:ascii="Arial" w:hAnsi="Arial" w:cs="Arial"/>
          <w:sz w:val="20"/>
          <w:szCs w:val="20"/>
          <w:lang w:val="en-IE"/>
        </w:rPr>
        <w:t>(</w:t>
      </w:r>
      <w:r w:rsidRPr="00A817A3">
        <w:rPr>
          <w:rFonts w:ascii="Arial" w:hAnsi="Arial" w:cs="Arial"/>
          <w:i/>
          <w:iCs/>
          <w:sz w:val="20"/>
          <w:szCs w:val="20"/>
          <w:lang w:val="en-IE"/>
        </w:rPr>
        <w:t>Pre</w:t>
      </w:r>
      <w:r>
        <w:rPr>
          <w:rFonts w:ascii="Arial" w:hAnsi="Arial" w:cs="Arial"/>
          <w:sz w:val="20"/>
          <w:szCs w:val="20"/>
          <w:lang w:val="en-IE"/>
        </w:rPr>
        <w:t xml:space="preserve">, </w:t>
      </w:r>
      <w:r w:rsidRPr="00A817A3">
        <w:rPr>
          <w:rFonts w:ascii="Arial" w:hAnsi="Arial" w:cs="Arial"/>
          <w:i/>
          <w:iCs/>
          <w:sz w:val="20"/>
          <w:szCs w:val="20"/>
          <w:lang w:val="en-IE"/>
        </w:rPr>
        <w:t>3 months</w:t>
      </w:r>
      <w:r>
        <w:rPr>
          <w:rFonts w:ascii="Arial" w:hAnsi="Arial" w:cs="Arial"/>
          <w:sz w:val="20"/>
          <w:szCs w:val="20"/>
          <w:lang w:val="en-IE"/>
        </w:rPr>
        <w:t xml:space="preserve">, </w:t>
      </w:r>
      <w:r w:rsidRPr="00A817A3">
        <w:rPr>
          <w:rFonts w:ascii="Arial" w:hAnsi="Arial" w:cs="Arial"/>
          <w:i/>
          <w:iCs/>
          <w:sz w:val="20"/>
          <w:szCs w:val="20"/>
          <w:lang w:val="en-IE"/>
        </w:rPr>
        <w:t>6 months</w:t>
      </w:r>
      <w:r>
        <w:rPr>
          <w:rFonts w:ascii="Arial" w:hAnsi="Arial" w:cs="Arial"/>
          <w:sz w:val="20"/>
          <w:szCs w:val="20"/>
          <w:lang w:val="en-IE"/>
        </w:rPr>
        <w:t xml:space="preserve">, </w:t>
      </w:r>
      <w:r>
        <w:rPr>
          <w:rFonts w:ascii="Arial" w:hAnsi="Arial" w:cs="Arial"/>
          <w:i/>
          <w:iCs/>
          <w:sz w:val="20"/>
          <w:szCs w:val="20"/>
          <w:lang w:val="en-IE"/>
        </w:rPr>
        <w:t xml:space="preserve">9 months </w:t>
      </w:r>
      <w:r>
        <w:rPr>
          <w:rFonts w:ascii="Arial" w:hAnsi="Arial" w:cs="Arial"/>
          <w:sz w:val="20"/>
          <w:szCs w:val="20"/>
          <w:lang w:val="en-IE"/>
        </w:rPr>
        <w:t xml:space="preserve">and </w:t>
      </w:r>
      <w:r w:rsidRPr="00A817A3">
        <w:rPr>
          <w:rFonts w:ascii="Arial" w:hAnsi="Arial" w:cs="Arial"/>
          <w:i/>
          <w:iCs/>
          <w:sz w:val="20"/>
          <w:szCs w:val="20"/>
          <w:lang w:val="en-IE"/>
        </w:rPr>
        <w:t>12 months</w:t>
      </w:r>
      <w:r w:rsidRPr="00A817A3">
        <w:rPr>
          <w:rFonts w:ascii="Arial" w:hAnsi="Arial" w:cs="Arial"/>
          <w:sz w:val="20"/>
          <w:szCs w:val="20"/>
          <w:lang w:val="en-IE"/>
        </w:rPr>
        <w:t>)</w:t>
      </w:r>
      <w:r>
        <w:rPr>
          <w:rFonts w:ascii="Arial" w:hAnsi="Arial" w:cs="Arial"/>
          <w:sz w:val="20"/>
          <w:szCs w:val="20"/>
          <w:lang w:val="en-IE"/>
        </w:rPr>
        <w:t xml:space="preserve">, and separately for each occupancy: </w:t>
      </w:r>
      <w:r w:rsidRPr="00E70491">
        <w:rPr>
          <w:rFonts w:ascii="Arial" w:hAnsi="Arial" w:cs="Arial"/>
          <w:b/>
          <w:bCs/>
          <w:sz w:val="20"/>
          <w:szCs w:val="20"/>
          <w:lang w:val="en-IE"/>
        </w:rPr>
        <w:t>(B)</w:t>
      </w:r>
      <w:r>
        <w:rPr>
          <w:rFonts w:ascii="Arial" w:hAnsi="Arial" w:cs="Arial"/>
          <w:sz w:val="20"/>
          <w:szCs w:val="20"/>
          <w:lang w:val="en-IE"/>
        </w:rPr>
        <w:t xml:space="preserve"> Pre, </w:t>
      </w:r>
      <w:r w:rsidRPr="00E70491">
        <w:rPr>
          <w:rFonts w:ascii="Arial" w:hAnsi="Arial" w:cs="Arial"/>
          <w:b/>
          <w:bCs/>
          <w:sz w:val="20"/>
          <w:szCs w:val="20"/>
          <w:lang w:val="en-IE"/>
        </w:rPr>
        <w:t>(C)</w:t>
      </w:r>
      <w:r>
        <w:rPr>
          <w:rFonts w:ascii="Arial" w:hAnsi="Arial" w:cs="Arial"/>
          <w:sz w:val="20"/>
          <w:szCs w:val="20"/>
          <w:lang w:val="en-IE"/>
        </w:rPr>
        <w:t xml:space="preserve"> 3 months, </w:t>
      </w:r>
      <w:r w:rsidRPr="00E70491">
        <w:rPr>
          <w:rFonts w:ascii="Arial" w:hAnsi="Arial" w:cs="Arial"/>
          <w:b/>
          <w:bCs/>
          <w:sz w:val="20"/>
          <w:szCs w:val="20"/>
          <w:lang w:val="en-IE"/>
        </w:rPr>
        <w:t>(D)</w:t>
      </w:r>
      <w:r>
        <w:rPr>
          <w:rFonts w:ascii="Arial" w:hAnsi="Arial" w:cs="Arial"/>
          <w:sz w:val="20"/>
          <w:szCs w:val="20"/>
          <w:lang w:val="en-IE"/>
        </w:rPr>
        <w:t xml:space="preserve"> 6 months, </w:t>
      </w:r>
      <w:r w:rsidRPr="00E70491">
        <w:rPr>
          <w:rFonts w:ascii="Arial" w:hAnsi="Arial" w:cs="Arial"/>
          <w:b/>
          <w:bCs/>
          <w:sz w:val="20"/>
          <w:szCs w:val="20"/>
          <w:lang w:val="en-IE"/>
        </w:rPr>
        <w:t>(E)</w:t>
      </w:r>
      <w:r>
        <w:rPr>
          <w:rFonts w:ascii="Arial" w:hAnsi="Arial" w:cs="Arial"/>
          <w:sz w:val="20"/>
          <w:szCs w:val="20"/>
          <w:lang w:val="en-IE"/>
        </w:rPr>
        <w:t xml:space="preserve"> 9 months, and </w:t>
      </w:r>
      <w:r w:rsidRPr="00E70491">
        <w:rPr>
          <w:rFonts w:ascii="Arial" w:hAnsi="Arial" w:cs="Arial"/>
          <w:b/>
          <w:bCs/>
          <w:sz w:val="20"/>
          <w:szCs w:val="20"/>
          <w:lang w:val="en-IE"/>
        </w:rPr>
        <w:t>(F)</w:t>
      </w:r>
      <w:r>
        <w:rPr>
          <w:rFonts w:ascii="Arial" w:hAnsi="Arial" w:cs="Arial"/>
          <w:sz w:val="20"/>
          <w:szCs w:val="20"/>
          <w:lang w:val="en-IE"/>
        </w:rPr>
        <w:t xml:space="preserve"> 12 months</w:t>
      </w:r>
      <w:r w:rsidRPr="00A817A3">
        <w:rPr>
          <w:rFonts w:ascii="Arial" w:hAnsi="Arial" w:cs="Arial"/>
          <w:sz w:val="20"/>
          <w:szCs w:val="20"/>
          <w:lang w:val="en-IE"/>
        </w:rPr>
        <w:t>. The key on the right side of the tree</w:t>
      </w:r>
      <w:r>
        <w:rPr>
          <w:rFonts w:ascii="Arial" w:hAnsi="Arial" w:cs="Arial"/>
          <w:sz w:val="20"/>
          <w:szCs w:val="20"/>
          <w:lang w:val="en-IE"/>
        </w:rPr>
        <w:t>s</w:t>
      </w:r>
      <w:r w:rsidRPr="00A817A3">
        <w:rPr>
          <w:rFonts w:ascii="Arial" w:hAnsi="Arial" w:cs="Arial"/>
          <w:sz w:val="20"/>
          <w:szCs w:val="20"/>
          <w:lang w:val="en-IE"/>
        </w:rPr>
        <w:t xml:space="preserve"> can be interpreted as follows: the width of the bar represents the number of unique taxa and is the size of the nodes (shown on the left side of the key), whilst the colour represents the count of these taxa (shown on the right side of the key).</w:t>
      </w:r>
    </w:p>
    <w:p w14:paraId="75C08EED" w14:textId="77777777" w:rsidR="006C74FC" w:rsidRDefault="006C74FC" w:rsidP="00E70491">
      <w:pPr>
        <w:jc w:val="both"/>
        <w:rPr>
          <w:rFonts w:ascii="Arial" w:hAnsi="Arial" w:cs="Arial"/>
          <w:sz w:val="20"/>
          <w:szCs w:val="20"/>
          <w:lang w:val="en-IE"/>
        </w:rPr>
        <w:sectPr w:rsidR="006C74FC">
          <w:pgSz w:w="11906" w:h="16838"/>
          <w:pgMar w:top="1440" w:right="1440" w:bottom="1440" w:left="1440" w:header="708" w:footer="708" w:gutter="0"/>
          <w:cols w:space="708"/>
          <w:docGrid w:linePitch="360"/>
        </w:sectPr>
      </w:pPr>
    </w:p>
    <w:p w14:paraId="77381CEB" w14:textId="77777777" w:rsidR="006C74FC" w:rsidRDefault="006C74FC" w:rsidP="00E70491">
      <w:pPr>
        <w:jc w:val="both"/>
        <w:rPr>
          <w:rFonts w:ascii="Arial" w:hAnsi="Arial" w:cs="Arial"/>
          <w:sz w:val="20"/>
          <w:szCs w:val="20"/>
          <w:lang w:val="en-IE"/>
        </w:rPr>
      </w:pPr>
    </w:p>
    <w:p w14:paraId="3EBA6945" w14:textId="77777777" w:rsidR="00E70491" w:rsidRDefault="006C74FC" w:rsidP="00F160D9">
      <w:pPr>
        <w:jc w:val="both"/>
        <w:rPr>
          <w:rFonts w:ascii="Arial" w:hAnsi="Arial" w:cs="Arial"/>
          <w:sz w:val="20"/>
          <w:szCs w:val="20"/>
        </w:rPr>
      </w:pPr>
      <w:r>
        <w:rPr>
          <w:rFonts w:ascii="Arial" w:hAnsi="Arial" w:cs="Arial"/>
          <w:noProof/>
          <w:sz w:val="20"/>
          <w:szCs w:val="20"/>
        </w:rPr>
        <w:drawing>
          <wp:inline distT="0" distB="0" distL="0" distR="0" wp14:anchorId="671F7B7F" wp14:editId="3DD1AC66">
            <wp:extent cx="5731510" cy="5072380"/>
            <wp:effectExtent l="0" t="0" r="0" b="0"/>
            <wp:docPr id="6075306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30664" name="Picture 607530664"/>
                    <pic:cNvPicPr/>
                  </pic:nvPicPr>
                  <pic:blipFill>
                    <a:blip r:embed="rId14">
                      <a:extLst>
                        <a:ext uri="{28A0092B-C50C-407E-A947-70E740481C1C}">
                          <a14:useLocalDpi xmlns:a14="http://schemas.microsoft.com/office/drawing/2010/main" val="0"/>
                        </a:ext>
                      </a:extLst>
                    </a:blip>
                    <a:stretch>
                      <a:fillRect/>
                    </a:stretch>
                  </pic:blipFill>
                  <pic:spPr>
                    <a:xfrm>
                      <a:off x="0" y="0"/>
                      <a:ext cx="5731510" cy="5072380"/>
                    </a:xfrm>
                    <a:prstGeom prst="rect">
                      <a:avLst/>
                    </a:prstGeom>
                  </pic:spPr>
                </pic:pic>
              </a:graphicData>
            </a:graphic>
          </wp:inline>
        </w:drawing>
      </w:r>
    </w:p>
    <w:p w14:paraId="10654653" w14:textId="7CCB4F8A" w:rsidR="006C74FC" w:rsidRDefault="006C74FC" w:rsidP="006C74FC">
      <w:pPr>
        <w:jc w:val="both"/>
        <w:rPr>
          <w:rFonts w:ascii="Arial" w:hAnsi="Arial" w:cs="Arial"/>
          <w:sz w:val="20"/>
          <w:szCs w:val="20"/>
          <w:lang w:val="en-IE"/>
        </w:rPr>
      </w:pPr>
      <w:r w:rsidRPr="002C207F">
        <w:rPr>
          <w:rFonts w:ascii="Arial" w:hAnsi="Arial" w:cs="Arial"/>
          <w:b/>
          <w:bCs/>
          <w:sz w:val="20"/>
          <w:szCs w:val="20"/>
        </w:rPr>
        <w:t>Supplementary Figure S</w:t>
      </w:r>
      <w:r w:rsidR="00357FDE">
        <w:rPr>
          <w:rFonts w:ascii="Arial" w:hAnsi="Arial" w:cs="Arial"/>
          <w:b/>
          <w:bCs/>
          <w:sz w:val="20"/>
          <w:szCs w:val="20"/>
        </w:rPr>
        <w:t>5</w:t>
      </w:r>
      <w:r>
        <w:rPr>
          <w:rFonts w:ascii="Arial" w:hAnsi="Arial" w:cs="Arial"/>
          <w:sz w:val="20"/>
          <w:szCs w:val="20"/>
        </w:rPr>
        <w:t xml:space="preserve">. </w:t>
      </w:r>
      <w:r w:rsidRPr="00A817A3">
        <w:rPr>
          <w:rFonts w:ascii="Arial" w:hAnsi="Arial" w:cs="Arial"/>
          <w:sz w:val="20"/>
          <w:szCs w:val="20"/>
          <w:lang w:val="en-IE"/>
        </w:rPr>
        <w:t xml:space="preserve">Taxonomic coverage tree of the </w:t>
      </w:r>
      <w:r>
        <w:rPr>
          <w:rFonts w:ascii="Arial" w:hAnsi="Arial" w:cs="Arial"/>
          <w:sz w:val="20"/>
          <w:szCs w:val="20"/>
          <w:lang w:val="en-IE"/>
        </w:rPr>
        <w:t xml:space="preserve">Biofilm Concrete samples </w:t>
      </w:r>
      <w:r w:rsidRPr="00A817A3">
        <w:rPr>
          <w:rFonts w:ascii="Arial" w:hAnsi="Arial" w:cs="Arial"/>
          <w:sz w:val="20"/>
          <w:szCs w:val="20"/>
          <w:lang w:val="en-IE"/>
        </w:rPr>
        <w:t xml:space="preserve">showing </w:t>
      </w:r>
      <w:r w:rsidRPr="00A817A3">
        <w:rPr>
          <w:rFonts w:ascii="Arial" w:hAnsi="Arial" w:cs="Arial"/>
          <w:b/>
          <w:bCs/>
          <w:sz w:val="20"/>
          <w:szCs w:val="20"/>
          <w:lang w:val="en-IE"/>
        </w:rPr>
        <w:t>(A)</w:t>
      </w:r>
      <w:r>
        <w:rPr>
          <w:rFonts w:ascii="Arial" w:hAnsi="Arial" w:cs="Arial"/>
          <w:sz w:val="20"/>
          <w:szCs w:val="20"/>
          <w:lang w:val="en-IE"/>
        </w:rPr>
        <w:t xml:space="preserve"> </w:t>
      </w:r>
      <w:r w:rsidRPr="00A817A3">
        <w:rPr>
          <w:rFonts w:ascii="Arial" w:hAnsi="Arial" w:cs="Arial"/>
          <w:sz w:val="20"/>
          <w:szCs w:val="20"/>
          <w:lang w:val="en-IE"/>
        </w:rPr>
        <w:t xml:space="preserve">collated abundances across all occupancies </w:t>
      </w:r>
      <w:r>
        <w:rPr>
          <w:rFonts w:ascii="Arial" w:hAnsi="Arial" w:cs="Arial"/>
          <w:sz w:val="20"/>
          <w:szCs w:val="20"/>
          <w:lang w:val="en-IE"/>
        </w:rPr>
        <w:t>(</w:t>
      </w:r>
      <w:r w:rsidRPr="00A817A3">
        <w:rPr>
          <w:rFonts w:ascii="Arial" w:hAnsi="Arial" w:cs="Arial"/>
          <w:i/>
          <w:iCs/>
          <w:sz w:val="20"/>
          <w:szCs w:val="20"/>
          <w:lang w:val="en-IE"/>
        </w:rPr>
        <w:t>Pre</w:t>
      </w:r>
      <w:r>
        <w:rPr>
          <w:rFonts w:ascii="Arial" w:hAnsi="Arial" w:cs="Arial"/>
          <w:sz w:val="20"/>
          <w:szCs w:val="20"/>
          <w:lang w:val="en-IE"/>
        </w:rPr>
        <w:t xml:space="preserve">, </w:t>
      </w:r>
      <w:r w:rsidRPr="00A817A3">
        <w:rPr>
          <w:rFonts w:ascii="Arial" w:hAnsi="Arial" w:cs="Arial"/>
          <w:i/>
          <w:iCs/>
          <w:sz w:val="20"/>
          <w:szCs w:val="20"/>
          <w:lang w:val="en-IE"/>
        </w:rPr>
        <w:t>3 months</w:t>
      </w:r>
      <w:r>
        <w:rPr>
          <w:rFonts w:ascii="Arial" w:hAnsi="Arial" w:cs="Arial"/>
          <w:sz w:val="20"/>
          <w:szCs w:val="20"/>
          <w:lang w:val="en-IE"/>
        </w:rPr>
        <w:t xml:space="preserve">, </w:t>
      </w:r>
      <w:r w:rsidRPr="00A817A3">
        <w:rPr>
          <w:rFonts w:ascii="Arial" w:hAnsi="Arial" w:cs="Arial"/>
          <w:i/>
          <w:iCs/>
          <w:sz w:val="20"/>
          <w:szCs w:val="20"/>
          <w:lang w:val="en-IE"/>
        </w:rPr>
        <w:t>6 months</w:t>
      </w:r>
      <w:r>
        <w:rPr>
          <w:rFonts w:ascii="Arial" w:hAnsi="Arial" w:cs="Arial"/>
          <w:sz w:val="20"/>
          <w:szCs w:val="20"/>
          <w:lang w:val="en-IE"/>
        </w:rPr>
        <w:t xml:space="preserve">, </w:t>
      </w:r>
      <w:r>
        <w:rPr>
          <w:rFonts w:ascii="Arial" w:hAnsi="Arial" w:cs="Arial"/>
          <w:i/>
          <w:iCs/>
          <w:sz w:val="20"/>
          <w:szCs w:val="20"/>
          <w:lang w:val="en-IE"/>
        </w:rPr>
        <w:t xml:space="preserve">9 months </w:t>
      </w:r>
      <w:r>
        <w:rPr>
          <w:rFonts w:ascii="Arial" w:hAnsi="Arial" w:cs="Arial"/>
          <w:sz w:val="20"/>
          <w:szCs w:val="20"/>
          <w:lang w:val="en-IE"/>
        </w:rPr>
        <w:t xml:space="preserve">and </w:t>
      </w:r>
      <w:r w:rsidRPr="00A817A3">
        <w:rPr>
          <w:rFonts w:ascii="Arial" w:hAnsi="Arial" w:cs="Arial"/>
          <w:i/>
          <w:iCs/>
          <w:sz w:val="20"/>
          <w:szCs w:val="20"/>
          <w:lang w:val="en-IE"/>
        </w:rPr>
        <w:t>12 months</w:t>
      </w:r>
      <w:r w:rsidRPr="00A817A3">
        <w:rPr>
          <w:rFonts w:ascii="Arial" w:hAnsi="Arial" w:cs="Arial"/>
          <w:sz w:val="20"/>
          <w:szCs w:val="20"/>
          <w:lang w:val="en-IE"/>
        </w:rPr>
        <w:t>)</w:t>
      </w:r>
      <w:r>
        <w:rPr>
          <w:rFonts w:ascii="Arial" w:hAnsi="Arial" w:cs="Arial"/>
          <w:sz w:val="20"/>
          <w:szCs w:val="20"/>
          <w:lang w:val="en-IE"/>
        </w:rPr>
        <w:t xml:space="preserve">, and separately for each occupancy: </w:t>
      </w:r>
      <w:r w:rsidRPr="00E70491">
        <w:rPr>
          <w:rFonts w:ascii="Arial" w:hAnsi="Arial" w:cs="Arial"/>
          <w:b/>
          <w:bCs/>
          <w:sz w:val="20"/>
          <w:szCs w:val="20"/>
          <w:lang w:val="en-IE"/>
        </w:rPr>
        <w:t>(B)</w:t>
      </w:r>
      <w:r>
        <w:rPr>
          <w:rFonts w:ascii="Arial" w:hAnsi="Arial" w:cs="Arial"/>
          <w:sz w:val="20"/>
          <w:szCs w:val="20"/>
          <w:lang w:val="en-IE"/>
        </w:rPr>
        <w:t xml:space="preserve"> Pre, </w:t>
      </w:r>
      <w:r w:rsidRPr="00E70491">
        <w:rPr>
          <w:rFonts w:ascii="Arial" w:hAnsi="Arial" w:cs="Arial"/>
          <w:b/>
          <w:bCs/>
          <w:sz w:val="20"/>
          <w:szCs w:val="20"/>
          <w:lang w:val="en-IE"/>
        </w:rPr>
        <w:t>(C)</w:t>
      </w:r>
      <w:r>
        <w:rPr>
          <w:rFonts w:ascii="Arial" w:hAnsi="Arial" w:cs="Arial"/>
          <w:sz w:val="20"/>
          <w:szCs w:val="20"/>
          <w:lang w:val="en-IE"/>
        </w:rPr>
        <w:t xml:space="preserve"> 3 months, </w:t>
      </w:r>
      <w:r w:rsidRPr="00E70491">
        <w:rPr>
          <w:rFonts w:ascii="Arial" w:hAnsi="Arial" w:cs="Arial"/>
          <w:b/>
          <w:bCs/>
          <w:sz w:val="20"/>
          <w:szCs w:val="20"/>
          <w:lang w:val="en-IE"/>
        </w:rPr>
        <w:t>(D)</w:t>
      </w:r>
      <w:r>
        <w:rPr>
          <w:rFonts w:ascii="Arial" w:hAnsi="Arial" w:cs="Arial"/>
          <w:sz w:val="20"/>
          <w:szCs w:val="20"/>
          <w:lang w:val="en-IE"/>
        </w:rPr>
        <w:t xml:space="preserve"> 6 months, </w:t>
      </w:r>
      <w:r w:rsidRPr="00E70491">
        <w:rPr>
          <w:rFonts w:ascii="Arial" w:hAnsi="Arial" w:cs="Arial"/>
          <w:b/>
          <w:bCs/>
          <w:sz w:val="20"/>
          <w:szCs w:val="20"/>
          <w:lang w:val="en-IE"/>
        </w:rPr>
        <w:t>(E)</w:t>
      </w:r>
      <w:r>
        <w:rPr>
          <w:rFonts w:ascii="Arial" w:hAnsi="Arial" w:cs="Arial"/>
          <w:sz w:val="20"/>
          <w:szCs w:val="20"/>
          <w:lang w:val="en-IE"/>
        </w:rPr>
        <w:t xml:space="preserve"> 9 months, and </w:t>
      </w:r>
      <w:r w:rsidRPr="00E70491">
        <w:rPr>
          <w:rFonts w:ascii="Arial" w:hAnsi="Arial" w:cs="Arial"/>
          <w:b/>
          <w:bCs/>
          <w:sz w:val="20"/>
          <w:szCs w:val="20"/>
          <w:lang w:val="en-IE"/>
        </w:rPr>
        <w:t>(F)</w:t>
      </w:r>
      <w:r>
        <w:rPr>
          <w:rFonts w:ascii="Arial" w:hAnsi="Arial" w:cs="Arial"/>
          <w:sz w:val="20"/>
          <w:szCs w:val="20"/>
          <w:lang w:val="en-IE"/>
        </w:rPr>
        <w:t xml:space="preserve"> 12 months</w:t>
      </w:r>
      <w:r w:rsidRPr="00A817A3">
        <w:rPr>
          <w:rFonts w:ascii="Arial" w:hAnsi="Arial" w:cs="Arial"/>
          <w:sz w:val="20"/>
          <w:szCs w:val="20"/>
          <w:lang w:val="en-IE"/>
        </w:rPr>
        <w:t>. The key on the right side of the tree</w:t>
      </w:r>
      <w:r>
        <w:rPr>
          <w:rFonts w:ascii="Arial" w:hAnsi="Arial" w:cs="Arial"/>
          <w:sz w:val="20"/>
          <w:szCs w:val="20"/>
          <w:lang w:val="en-IE"/>
        </w:rPr>
        <w:t>s</w:t>
      </w:r>
      <w:r w:rsidRPr="00A817A3">
        <w:rPr>
          <w:rFonts w:ascii="Arial" w:hAnsi="Arial" w:cs="Arial"/>
          <w:sz w:val="20"/>
          <w:szCs w:val="20"/>
          <w:lang w:val="en-IE"/>
        </w:rPr>
        <w:t xml:space="preserve"> can be interpreted as follows: the width of the bar represents the number of unique taxa and is the size of the nodes (shown on the left side of the key), whilst the colour represents the count of these taxa (shown on the right side of the key).</w:t>
      </w:r>
    </w:p>
    <w:p w14:paraId="184791DB" w14:textId="77777777" w:rsidR="004171BB" w:rsidRDefault="004171BB" w:rsidP="006C74FC">
      <w:pPr>
        <w:jc w:val="both"/>
        <w:rPr>
          <w:rFonts w:ascii="Arial" w:hAnsi="Arial" w:cs="Arial"/>
          <w:sz w:val="20"/>
          <w:szCs w:val="20"/>
          <w:lang w:val="en-IE"/>
        </w:rPr>
        <w:sectPr w:rsidR="004171BB">
          <w:pgSz w:w="11906" w:h="16838"/>
          <w:pgMar w:top="1440" w:right="1440" w:bottom="1440" w:left="1440" w:header="708" w:footer="708" w:gutter="0"/>
          <w:cols w:space="708"/>
          <w:docGrid w:linePitch="360"/>
        </w:sectPr>
      </w:pPr>
    </w:p>
    <w:p w14:paraId="0CB33EC7" w14:textId="77777777" w:rsidR="004171BB" w:rsidRDefault="004171BB" w:rsidP="006C74FC">
      <w:pPr>
        <w:jc w:val="both"/>
        <w:rPr>
          <w:rFonts w:ascii="Arial" w:hAnsi="Arial" w:cs="Arial"/>
          <w:sz w:val="20"/>
          <w:szCs w:val="20"/>
          <w:lang w:val="en-IE"/>
        </w:rPr>
      </w:pPr>
    </w:p>
    <w:p w14:paraId="537BFEF5" w14:textId="77777777" w:rsidR="006C74FC" w:rsidRDefault="00760AE3" w:rsidP="00F160D9">
      <w:pPr>
        <w:jc w:val="both"/>
        <w:rPr>
          <w:rFonts w:ascii="Arial" w:hAnsi="Arial" w:cs="Arial"/>
          <w:sz w:val="20"/>
          <w:szCs w:val="20"/>
        </w:rPr>
      </w:pPr>
      <w:r>
        <w:rPr>
          <w:rFonts w:ascii="Arial" w:hAnsi="Arial" w:cs="Arial"/>
          <w:noProof/>
          <w:sz w:val="20"/>
          <w:szCs w:val="20"/>
        </w:rPr>
        <w:drawing>
          <wp:inline distT="0" distB="0" distL="0" distR="0" wp14:anchorId="2FCFA929" wp14:editId="4C995725">
            <wp:extent cx="5731510" cy="5236210"/>
            <wp:effectExtent l="0" t="0" r="0" b="0"/>
            <wp:docPr id="1103199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99151" name="Picture 1103199151"/>
                    <pic:cNvPicPr/>
                  </pic:nvPicPr>
                  <pic:blipFill>
                    <a:blip r:embed="rId15">
                      <a:extLst>
                        <a:ext uri="{28A0092B-C50C-407E-A947-70E740481C1C}">
                          <a14:useLocalDpi xmlns:a14="http://schemas.microsoft.com/office/drawing/2010/main" val="0"/>
                        </a:ext>
                      </a:extLst>
                    </a:blip>
                    <a:stretch>
                      <a:fillRect/>
                    </a:stretch>
                  </pic:blipFill>
                  <pic:spPr>
                    <a:xfrm>
                      <a:off x="0" y="0"/>
                      <a:ext cx="5731510" cy="5236210"/>
                    </a:xfrm>
                    <a:prstGeom prst="rect">
                      <a:avLst/>
                    </a:prstGeom>
                  </pic:spPr>
                </pic:pic>
              </a:graphicData>
            </a:graphic>
          </wp:inline>
        </w:drawing>
      </w:r>
    </w:p>
    <w:p w14:paraId="56F0CC5A" w14:textId="7B911866" w:rsidR="00760AE3" w:rsidRDefault="00760AE3" w:rsidP="00760AE3">
      <w:pPr>
        <w:jc w:val="both"/>
        <w:rPr>
          <w:rFonts w:ascii="Arial" w:hAnsi="Arial" w:cs="Arial"/>
          <w:sz w:val="20"/>
          <w:szCs w:val="20"/>
          <w:lang w:val="en-IE"/>
        </w:rPr>
      </w:pPr>
      <w:r w:rsidRPr="002C207F">
        <w:rPr>
          <w:rFonts w:ascii="Arial" w:hAnsi="Arial" w:cs="Arial"/>
          <w:b/>
          <w:bCs/>
          <w:sz w:val="20"/>
          <w:szCs w:val="20"/>
        </w:rPr>
        <w:t>Supplementary Figure S</w:t>
      </w:r>
      <w:r w:rsidR="00357FDE">
        <w:rPr>
          <w:rFonts w:ascii="Arial" w:hAnsi="Arial" w:cs="Arial"/>
          <w:b/>
          <w:bCs/>
          <w:sz w:val="20"/>
          <w:szCs w:val="20"/>
        </w:rPr>
        <w:t>6</w:t>
      </w:r>
      <w:r>
        <w:rPr>
          <w:rFonts w:ascii="Arial" w:hAnsi="Arial" w:cs="Arial"/>
          <w:sz w:val="20"/>
          <w:szCs w:val="20"/>
        </w:rPr>
        <w:t xml:space="preserve">. </w:t>
      </w:r>
      <w:r w:rsidRPr="00A817A3">
        <w:rPr>
          <w:rFonts w:ascii="Arial" w:hAnsi="Arial" w:cs="Arial"/>
          <w:sz w:val="20"/>
          <w:szCs w:val="20"/>
          <w:lang w:val="en-IE"/>
        </w:rPr>
        <w:t xml:space="preserve">Taxonomic coverage tree of the </w:t>
      </w:r>
      <w:r>
        <w:rPr>
          <w:rFonts w:ascii="Arial" w:hAnsi="Arial" w:cs="Arial"/>
          <w:sz w:val="20"/>
          <w:szCs w:val="20"/>
          <w:lang w:val="en-IE"/>
        </w:rPr>
        <w:t xml:space="preserve">Biofilm Polyethylene samples </w:t>
      </w:r>
      <w:r w:rsidRPr="00A817A3">
        <w:rPr>
          <w:rFonts w:ascii="Arial" w:hAnsi="Arial" w:cs="Arial"/>
          <w:sz w:val="20"/>
          <w:szCs w:val="20"/>
          <w:lang w:val="en-IE"/>
        </w:rPr>
        <w:t xml:space="preserve">showing </w:t>
      </w:r>
      <w:r w:rsidRPr="00A817A3">
        <w:rPr>
          <w:rFonts w:ascii="Arial" w:hAnsi="Arial" w:cs="Arial"/>
          <w:b/>
          <w:bCs/>
          <w:sz w:val="20"/>
          <w:szCs w:val="20"/>
          <w:lang w:val="en-IE"/>
        </w:rPr>
        <w:t>(A)</w:t>
      </w:r>
      <w:r>
        <w:rPr>
          <w:rFonts w:ascii="Arial" w:hAnsi="Arial" w:cs="Arial"/>
          <w:sz w:val="20"/>
          <w:szCs w:val="20"/>
          <w:lang w:val="en-IE"/>
        </w:rPr>
        <w:t xml:space="preserve"> </w:t>
      </w:r>
      <w:r w:rsidRPr="00A817A3">
        <w:rPr>
          <w:rFonts w:ascii="Arial" w:hAnsi="Arial" w:cs="Arial"/>
          <w:sz w:val="20"/>
          <w:szCs w:val="20"/>
          <w:lang w:val="en-IE"/>
        </w:rPr>
        <w:t xml:space="preserve">collated abundances across all occupancies </w:t>
      </w:r>
      <w:r>
        <w:rPr>
          <w:rFonts w:ascii="Arial" w:hAnsi="Arial" w:cs="Arial"/>
          <w:sz w:val="20"/>
          <w:szCs w:val="20"/>
          <w:lang w:val="en-IE"/>
        </w:rPr>
        <w:t>(</w:t>
      </w:r>
      <w:r w:rsidRPr="00A817A3">
        <w:rPr>
          <w:rFonts w:ascii="Arial" w:hAnsi="Arial" w:cs="Arial"/>
          <w:i/>
          <w:iCs/>
          <w:sz w:val="20"/>
          <w:szCs w:val="20"/>
          <w:lang w:val="en-IE"/>
        </w:rPr>
        <w:t>3 months</w:t>
      </w:r>
      <w:r>
        <w:rPr>
          <w:rFonts w:ascii="Arial" w:hAnsi="Arial" w:cs="Arial"/>
          <w:sz w:val="20"/>
          <w:szCs w:val="20"/>
          <w:lang w:val="en-IE"/>
        </w:rPr>
        <w:t xml:space="preserve">, </w:t>
      </w:r>
      <w:r w:rsidRPr="00A817A3">
        <w:rPr>
          <w:rFonts w:ascii="Arial" w:hAnsi="Arial" w:cs="Arial"/>
          <w:i/>
          <w:iCs/>
          <w:sz w:val="20"/>
          <w:szCs w:val="20"/>
          <w:lang w:val="en-IE"/>
        </w:rPr>
        <w:t>6 months</w:t>
      </w:r>
      <w:r>
        <w:rPr>
          <w:rFonts w:ascii="Arial" w:hAnsi="Arial" w:cs="Arial"/>
          <w:sz w:val="20"/>
          <w:szCs w:val="20"/>
          <w:lang w:val="en-IE"/>
        </w:rPr>
        <w:t xml:space="preserve">, </w:t>
      </w:r>
      <w:r>
        <w:rPr>
          <w:rFonts w:ascii="Arial" w:hAnsi="Arial" w:cs="Arial"/>
          <w:i/>
          <w:iCs/>
          <w:sz w:val="20"/>
          <w:szCs w:val="20"/>
          <w:lang w:val="en-IE"/>
        </w:rPr>
        <w:t xml:space="preserve">9 months </w:t>
      </w:r>
      <w:r>
        <w:rPr>
          <w:rFonts w:ascii="Arial" w:hAnsi="Arial" w:cs="Arial"/>
          <w:sz w:val="20"/>
          <w:szCs w:val="20"/>
          <w:lang w:val="en-IE"/>
        </w:rPr>
        <w:t xml:space="preserve">and </w:t>
      </w:r>
      <w:r w:rsidRPr="00A817A3">
        <w:rPr>
          <w:rFonts w:ascii="Arial" w:hAnsi="Arial" w:cs="Arial"/>
          <w:i/>
          <w:iCs/>
          <w:sz w:val="20"/>
          <w:szCs w:val="20"/>
          <w:lang w:val="en-IE"/>
        </w:rPr>
        <w:t>12 months</w:t>
      </w:r>
      <w:r w:rsidRPr="00A817A3">
        <w:rPr>
          <w:rFonts w:ascii="Arial" w:hAnsi="Arial" w:cs="Arial"/>
          <w:sz w:val="20"/>
          <w:szCs w:val="20"/>
          <w:lang w:val="en-IE"/>
        </w:rPr>
        <w:t>)</w:t>
      </w:r>
      <w:r>
        <w:rPr>
          <w:rFonts w:ascii="Arial" w:hAnsi="Arial" w:cs="Arial"/>
          <w:sz w:val="20"/>
          <w:szCs w:val="20"/>
          <w:lang w:val="en-IE"/>
        </w:rPr>
        <w:t xml:space="preserve">, and separately for each occupancy: </w:t>
      </w:r>
      <w:r w:rsidRPr="00E70491">
        <w:rPr>
          <w:rFonts w:ascii="Arial" w:hAnsi="Arial" w:cs="Arial"/>
          <w:b/>
          <w:bCs/>
          <w:sz w:val="20"/>
          <w:szCs w:val="20"/>
          <w:lang w:val="en-IE"/>
        </w:rPr>
        <w:t>(</w:t>
      </w:r>
      <w:r>
        <w:rPr>
          <w:rFonts w:ascii="Arial" w:hAnsi="Arial" w:cs="Arial"/>
          <w:b/>
          <w:bCs/>
          <w:sz w:val="20"/>
          <w:szCs w:val="20"/>
          <w:lang w:val="en-IE"/>
        </w:rPr>
        <w:t>B</w:t>
      </w:r>
      <w:r w:rsidRPr="00E70491">
        <w:rPr>
          <w:rFonts w:ascii="Arial" w:hAnsi="Arial" w:cs="Arial"/>
          <w:b/>
          <w:bCs/>
          <w:sz w:val="20"/>
          <w:szCs w:val="20"/>
          <w:lang w:val="en-IE"/>
        </w:rPr>
        <w:t>)</w:t>
      </w:r>
      <w:r>
        <w:rPr>
          <w:rFonts w:ascii="Arial" w:hAnsi="Arial" w:cs="Arial"/>
          <w:sz w:val="20"/>
          <w:szCs w:val="20"/>
          <w:lang w:val="en-IE"/>
        </w:rPr>
        <w:t xml:space="preserve"> 3 months, </w:t>
      </w:r>
      <w:r w:rsidRPr="00E70491">
        <w:rPr>
          <w:rFonts w:ascii="Arial" w:hAnsi="Arial" w:cs="Arial"/>
          <w:b/>
          <w:bCs/>
          <w:sz w:val="20"/>
          <w:szCs w:val="20"/>
          <w:lang w:val="en-IE"/>
        </w:rPr>
        <w:t>(</w:t>
      </w:r>
      <w:r>
        <w:rPr>
          <w:rFonts w:ascii="Arial" w:hAnsi="Arial" w:cs="Arial"/>
          <w:b/>
          <w:bCs/>
          <w:sz w:val="20"/>
          <w:szCs w:val="20"/>
          <w:lang w:val="en-IE"/>
        </w:rPr>
        <w:t>C</w:t>
      </w:r>
      <w:r w:rsidRPr="00E70491">
        <w:rPr>
          <w:rFonts w:ascii="Arial" w:hAnsi="Arial" w:cs="Arial"/>
          <w:b/>
          <w:bCs/>
          <w:sz w:val="20"/>
          <w:szCs w:val="20"/>
          <w:lang w:val="en-IE"/>
        </w:rPr>
        <w:t>)</w:t>
      </w:r>
      <w:r>
        <w:rPr>
          <w:rFonts w:ascii="Arial" w:hAnsi="Arial" w:cs="Arial"/>
          <w:sz w:val="20"/>
          <w:szCs w:val="20"/>
          <w:lang w:val="en-IE"/>
        </w:rPr>
        <w:t xml:space="preserve"> 6 months, </w:t>
      </w:r>
      <w:r w:rsidRPr="00E70491">
        <w:rPr>
          <w:rFonts w:ascii="Arial" w:hAnsi="Arial" w:cs="Arial"/>
          <w:b/>
          <w:bCs/>
          <w:sz w:val="20"/>
          <w:szCs w:val="20"/>
          <w:lang w:val="en-IE"/>
        </w:rPr>
        <w:t>(</w:t>
      </w:r>
      <w:r>
        <w:rPr>
          <w:rFonts w:ascii="Arial" w:hAnsi="Arial" w:cs="Arial"/>
          <w:b/>
          <w:bCs/>
          <w:sz w:val="20"/>
          <w:szCs w:val="20"/>
          <w:lang w:val="en-IE"/>
        </w:rPr>
        <w:t>D</w:t>
      </w:r>
      <w:r w:rsidRPr="00E70491">
        <w:rPr>
          <w:rFonts w:ascii="Arial" w:hAnsi="Arial" w:cs="Arial"/>
          <w:b/>
          <w:bCs/>
          <w:sz w:val="20"/>
          <w:szCs w:val="20"/>
          <w:lang w:val="en-IE"/>
        </w:rPr>
        <w:t>)</w:t>
      </w:r>
      <w:r>
        <w:rPr>
          <w:rFonts w:ascii="Arial" w:hAnsi="Arial" w:cs="Arial"/>
          <w:sz w:val="20"/>
          <w:szCs w:val="20"/>
          <w:lang w:val="en-IE"/>
        </w:rPr>
        <w:t xml:space="preserve"> 9 months, and </w:t>
      </w:r>
      <w:r w:rsidRPr="00E70491">
        <w:rPr>
          <w:rFonts w:ascii="Arial" w:hAnsi="Arial" w:cs="Arial"/>
          <w:b/>
          <w:bCs/>
          <w:sz w:val="20"/>
          <w:szCs w:val="20"/>
          <w:lang w:val="en-IE"/>
        </w:rPr>
        <w:t>(</w:t>
      </w:r>
      <w:r>
        <w:rPr>
          <w:rFonts w:ascii="Arial" w:hAnsi="Arial" w:cs="Arial"/>
          <w:b/>
          <w:bCs/>
          <w:sz w:val="20"/>
          <w:szCs w:val="20"/>
          <w:lang w:val="en-IE"/>
        </w:rPr>
        <w:t>E</w:t>
      </w:r>
      <w:r w:rsidRPr="00E70491">
        <w:rPr>
          <w:rFonts w:ascii="Arial" w:hAnsi="Arial" w:cs="Arial"/>
          <w:b/>
          <w:bCs/>
          <w:sz w:val="20"/>
          <w:szCs w:val="20"/>
          <w:lang w:val="en-IE"/>
        </w:rPr>
        <w:t>)</w:t>
      </w:r>
      <w:r>
        <w:rPr>
          <w:rFonts w:ascii="Arial" w:hAnsi="Arial" w:cs="Arial"/>
          <w:sz w:val="20"/>
          <w:szCs w:val="20"/>
          <w:lang w:val="en-IE"/>
        </w:rPr>
        <w:t xml:space="preserve"> 12 months</w:t>
      </w:r>
      <w:r w:rsidRPr="00A817A3">
        <w:rPr>
          <w:rFonts w:ascii="Arial" w:hAnsi="Arial" w:cs="Arial"/>
          <w:sz w:val="20"/>
          <w:szCs w:val="20"/>
          <w:lang w:val="en-IE"/>
        </w:rPr>
        <w:t>. The key on the right side of the tree</w:t>
      </w:r>
      <w:r>
        <w:rPr>
          <w:rFonts w:ascii="Arial" w:hAnsi="Arial" w:cs="Arial"/>
          <w:sz w:val="20"/>
          <w:szCs w:val="20"/>
          <w:lang w:val="en-IE"/>
        </w:rPr>
        <w:t>s</w:t>
      </w:r>
      <w:r w:rsidRPr="00A817A3">
        <w:rPr>
          <w:rFonts w:ascii="Arial" w:hAnsi="Arial" w:cs="Arial"/>
          <w:sz w:val="20"/>
          <w:szCs w:val="20"/>
          <w:lang w:val="en-IE"/>
        </w:rPr>
        <w:t xml:space="preserve"> can be interpreted as follows: the width of the bar represents the number of unique taxa and is the size of the nodes (shown on the left side of the key), whilst the colour represents the count of these taxa (shown on the right side of the key).</w:t>
      </w:r>
    </w:p>
    <w:p w14:paraId="6EDC803E" w14:textId="77777777" w:rsidR="00440CB8" w:rsidRDefault="00440CB8" w:rsidP="00760AE3">
      <w:pPr>
        <w:jc w:val="both"/>
        <w:rPr>
          <w:rFonts w:ascii="Arial" w:hAnsi="Arial" w:cs="Arial"/>
          <w:sz w:val="20"/>
          <w:szCs w:val="20"/>
          <w:lang w:val="en-IE"/>
        </w:rPr>
      </w:pPr>
    </w:p>
    <w:p w14:paraId="1C30CBC7" w14:textId="77777777" w:rsidR="00440CB8" w:rsidRDefault="00440CB8" w:rsidP="00760AE3">
      <w:pPr>
        <w:jc w:val="both"/>
        <w:rPr>
          <w:rFonts w:ascii="Arial" w:hAnsi="Arial" w:cs="Arial"/>
          <w:sz w:val="20"/>
          <w:szCs w:val="20"/>
          <w:lang w:val="en-IE"/>
        </w:rPr>
        <w:sectPr w:rsidR="00440CB8">
          <w:pgSz w:w="11906" w:h="16838"/>
          <w:pgMar w:top="1440" w:right="1440" w:bottom="1440" w:left="1440" w:header="708" w:footer="708" w:gutter="0"/>
          <w:cols w:space="708"/>
          <w:docGrid w:linePitch="360"/>
        </w:sectPr>
      </w:pPr>
    </w:p>
    <w:p w14:paraId="17065182" w14:textId="77777777" w:rsidR="00440CB8" w:rsidRDefault="00EB5DE8" w:rsidP="00760AE3">
      <w:pPr>
        <w:jc w:val="both"/>
        <w:rPr>
          <w:rFonts w:ascii="Arial" w:hAnsi="Arial" w:cs="Arial"/>
          <w:sz w:val="20"/>
          <w:szCs w:val="20"/>
          <w:lang w:val="en-IE"/>
        </w:rPr>
      </w:pPr>
      <w:r>
        <w:rPr>
          <w:rFonts w:ascii="Arial" w:hAnsi="Arial" w:cs="Arial"/>
          <w:noProof/>
          <w:sz w:val="20"/>
          <w:szCs w:val="20"/>
          <w:lang w:val="en-IE"/>
        </w:rPr>
        <w:lastRenderedPageBreak/>
        <w:drawing>
          <wp:inline distT="0" distB="0" distL="0" distR="0" wp14:anchorId="31B10AB2" wp14:editId="6FF429D9">
            <wp:extent cx="5731510" cy="5817870"/>
            <wp:effectExtent l="0" t="0" r="0" b="0"/>
            <wp:docPr id="1996710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10102" name="Picture 1996710102"/>
                    <pic:cNvPicPr/>
                  </pic:nvPicPr>
                  <pic:blipFill>
                    <a:blip r:embed="rId16">
                      <a:extLst>
                        <a:ext uri="{28A0092B-C50C-407E-A947-70E740481C1C}">
                          <a14:useLocalDpi xmlns:a14="http://schemas.microsoft.com/office/drawing/2010/main" val="0"/>
                        </a:ext>
                      </a:extLst>
                    </a:blip>
                    <a:stretch>
                      <a:fillRect/>
                    </a:stretch>
                  </pic:blipFill>
                  <pic:spPr>
                    <a:xfrm>
                      <a:off x="0" y="0"/>
                      <a:ext cx="5731510" cy="5817870"/>
                    </a:xfrm>
                    <a:prstGeom prst="rect">
                      <a:avLst/>
                    </a:prstGeom>
                  </pic:spPr>
                </pic:pic>
              </a:graphicData>
            </a:graphic>
          </wp:inline>
        </w:drawing>
      </w:r>
    </w:p>
    <w:p w14:paraId="6871B540" w14:textId="30A0CC47" w:rsidR="00EB5DE8" w:rsidRDefault="00EB5DE8" w:rsidP="00EB5DE8">
      <w:pPr>
        <w:jc w:val="both"/>
        <w:rPr>
          <w:rFonts w:ascii="Arial" w:hAnsi="Arial" w:cs="Arial"/>
          <w:sz w:val="20"/>
          <w:szCs w:val="20"/>
          <w:lang w:val="en-IE"/>
        </w:rPr>
      </w:pPr>
      <w:r w:rsidRPr="002C207F">
        <w:rPr>
          <w:rFonts w:ascii="Arial" w:hAnsi="Arial" w:cs="Arial"/>
          <w:b/>
          <w:bCs/>
          <w:sz w:val="20"/>
          <w:szCs w:val="20"/>
        </w:rPr>
        <w:t>Supplementary Figure S</w:t>
      </w:r>
      <w:r w:rsidR="00357FDE">
        <w:rPr>
          <w:rFonts w:ascii="Arial" w:hAnsi="Arial" w:cs="Arial"/>
          <w:b/>
          <w:bCs/>
          <w:sz w:val="20"/>
          <w:szCs w:val="20"/>
        </w:rPr>
        <w:t>7</w:t>
      </w:r>
      <w:r>
        <w:rPr>
          <w:rFonts w:ascii="Arial" w:hAnsi="Arial" w:cs="Arial"/>
          <w:sz w:val="20"/>
          <w:szCs w:val="20"/>
        </w:rPr>
        <w:t xml:space="preserve">. </w:t>
      </w:r>
      <w:r w:rsidRPr="00A817A3">
        <w:rPr>
          <w:rFonts w:ascii="Arial" w:hAnsi="Arial" w:cs="Arial"/>
          <w:sz w:val="20"/>
          <w:szCs w:val="20"/>
          <w:lang w:val="en-IE"/>
        </w:rPr>
        <w:t xml:space="preserve">Taxonomic coverage tree of the </w:t>
      </w:r>
      <w:r>
        <w:rPr>
          <w:rFonts w:ascii="Arial" w:hAnsi="Arial" w:cs="Arial"/>
          <w:sz w:val="20"/>
          <w:szCs w:val="20"/>
          <w:lang w:val="en-IE"/>
        </w:rPr>
        <w:t xml:space="preserve">Sediment samples </w:t>
      </w:r>
      <w:r w:rsidRPr="00A817A3">
        <w:rPr>
          <w:rFonts w:ascii="Arial" w:hAnsi="Arial" w:cs="Arial"/>
          <w:sz w:val="20"/>
          <w:szCs w:val="20"/>
          <w:lang w:val="en-IE"/>
        </w:rPr>
        <w:t xml:space="preserve">showing </w:t>
      </w:r>
      <w:r w:rsidRPr="00A817A3">
        <w:rPr>
          <w:rFonts w:ascii="Arial" w:hAnsi="Arial" w:cs="Arial"/>
          <w:b/>
          <w:bCs/>
          <w:sz w:val="20"/>
          <w:szCs w:val="20"/>
          <w:lang w:val="en-IE"/>
        </w:rPr>
        <w:t>(A)</w:t>
      </w:r>
      <w:r>
        <w:rPr>
          <w:rFonts w:ascii="Arial" w:hAnsi="Arial" w:cs="Arial"/>
          <w:sz w:val="20"/>
          <w:szCs w:val="20"/>
          <w:lang w:val="en-IE"/>
        </w:rPr>
        <w:t xml:space="preserve"> </w:t>
      </w:r>
      <w:r w:rsidRPr="00A817A3">
        <w:rPr>
          <w:rFonts w:ascii="Arial" w:hAnsi="Arial" w:cs="Arial"/>
          <w:sz w:val="20"/>
          <w:szCs w:val="20"/>
          <w:lang w:val="en-IE"/>
        </w:rPr>
        <w:t xml:space="preserve">collated abundances across all occupancies </w:t>
      </w:r>
      <w:r>
        <w:rPr>
          <w:rFonts w:ascii="Arial" w:hAnsi="Arial" w:cs="Arial"/>
          <w:sz w:val="20"/>
          <w:szCs w:val="20"/>
          <w:lang w:val="en-IE"/>
        </w:rPr>
        <w:t>(</w:t>
      </w:r>
      <w:r>
        <w:rPr>
          <w:rFonts w:ascii="Arial" w:hAnsi="Arial" w:cs="Arial"/>
          <w:i/>
          <w:iCs/>
          <w:sz w:val="20"/>
          <w:szCs w:val="20"/>
          <w:lang w:val="en-IE"/>
        </w:rPr>
        <w:t>Pre</w:t>
      </w:r>
      <w:r>
        <w:rPr>
          <w:rFonts w:ascii="Arial" w:hAnsi="Arial" w:cs="Arial"/>
          <w:sz w:val="20"/>
          <w:szCs w:val="20"/>
          <w:lang w:val="en-IE"/>
        </w:rPr>
        <w:t xml:space="preserve">, and </w:t>
      </w:r>
      <w:r w:rsidRPr="00EB5DE8">
        <w:rPr>
          <w:rFonts w:ascii="Arial" w:hAnsi="Arial" w:cs="Arial"/>
          <w:i/>
          <w:iCs/>
          <w:sz w:val="20"/>
          <w:szCs w:val="20"/>
          <w:lang w:val="en-IE"/>
        </w:rPr>
        <w:t>12 months</w:t>
      </w:r>
      <w:r w:rsidRPr="00A817A3">
        <w:rPr>
          <w:rFonts w:ascii="Arial" w:hAnsi="Arial" w:cs="Arial"/>
          <w:sz w:val="20"/>
          <w:szCs w:val="20"/>
          <w:lang w:val="en-IE"/>
        </w:rPr>
        <w:t>)</w:t>
      </w:r>
      <w:r>
        <w:rPr>
          <w:rFonts w:ascii="Arial" w:hAnsi="Arial" w:cs="Arial"/>
          <w:sz w:val="20"/>
          <w:szCs w:val="20"/>
          <w:lang w:val="en-IE"/>
        </w:rPr>
        <w:t xml:space="preserve">, and separately for each occupancy: </w:t>
      </w:r>
      <w:r w:rsidRPr="00E70491">
        <w:rPr>
          <w:rFonts w:ascii="Arial" w:hAnsi="Arial" w:cs="Arial"/>
          <w:b/>
          <w:bCs/>
          <w:sz w:val="20"/>
          <w:szCs w:val="20"/>
          <w:lang w:val="en-IE"/>
        </w:rPr>
        <w:t>(</w:t>
      </w:r>
      <w:r>
        <w:rPr>
          <w:rFonts w:ascii="Arial" w:hAnsi="Arial" w:cs="Arial"/>
          <w:b/>
          <w:bCs/>
          <w:sz w:val="20"/>
          <w:szCs w:val="20"/>
          <w:lang w:val="en-IE"/>
        </w:rPr>
        <w:t>B</w:t>
      </w:r>
      <w:r w:rsidRPr="00E70491">
        <w:rPr>
          <w:rFonts w:ascii="Arial" w:hAnsi="Arial" w:cs="Arial"/>
          <w:b/>
          <w:bCs/>
          <w:sz w:val="20"/>
          <w:szCs w:val="20"/>
          <w:lang w:val="en-IE"/>
        </w:rPr>
        <w:t>)</w:t>
      </w:r>
      <w:r>
        <w:rPr>
          <w:rFonts w:ascii="Arial" w:hAnsi="Arial" w:cs="Arial"/>
          <w:sz w:val="20"/>
          <w:szCs w:val="20"/>
          <w:lang w:val="en-IE"/>
        </w:rPr>
        <w:t xml:space="preserve"> Pre, and </w:t>
      </w:r>
      <w:r w:rsidRPr="00E70491">
        <w:rPr>
          <w:rFonts w:ascii="Arial" w:hAnsi="Arial" w:cs="Arial"/>
          <w:b/>
          <w:bCs/>
          <w:sz w:val="20"/>
          <w:szCs w:val="20"/>
          <w:lang w:val="en-IE"/>
        </w:rPr>
        <w:t>(</w:t>
      </w:r>
      <w:r>
        <w:rPr>
          <w:rFonts w:ascii="Arial" w:hAnsi="Arial" w:cs="Arial"/>
          <w:b/>
          <w:bCs/>
          <w:sz w:val="20"/>
          <w:szCs w:val="20"/>
          <w:lang w:val="en-IE"/>
        </w:rPr>
        <w:t>C</w:t>
      </w:r>
      <w:r w:rsidRPr="00E70491">
        <w:rPr>
          <w:rFonts w:ascii="Arial" w:hAnsi="Arial" w:cs="Arial"/>
          <w:b/>
          <w:bCs/>
          <w:sz w:val="20"/>
          <w:szCs w:val="20"/>
          <w:lang w:val="en-IE"/>
        </w:rPr>
        <w:t>)</w:t>
      </w:r>
      <w:r>
        <w:rPr>
          <w:rFonts w:ascii="Arial" w:hAnsi="Arial" w:cs="Arial"/>
          <w:sz w:val="20"/>
          <w:szCs w:val="20"/>
          <w:lang w:val="en-IE"/>
        </w:rPr>
        <w:t xml:space="preserve"> 12 months</w:t>
      </w:r>
      <w:r w:rsidRPr="00A817A3">
        <w:rPr>
          <w:rFonts w:ascii="Arial" w:hAnsi="Arial" w:cs="Arial"/>
          <w:sz w:val="20"/>
          <w:szCs w:val="20"/>
          <w:lang w:val="en-IE"/>
        </w:rPr>
        <w:t>. The key on the right side of the tree</w:t>
      </w:r>
      <w:r>
        <w:rPr>
          <w:rFonts w:ascii="Arial" w:hAnsi="Arial" w:cs="Arial"/>
          <w:sz w:val="20"/>
          <w:szCs w:val="20"/>
          <w:lang w:val="en-IE"/>
        </w:rPr>
        <w:t>s</w:t>
      </w:r>
      <w:r w:rsidRPr="00A817A3">
        <w:rPr>
          <w:rFonts w:ascii="Arial" w:hAnsi="Arial" w:cs="Arial"/>
          <w:sz w:val="20"/>
          <w:szCs w:val="20"/>
          <w:lang w:val="en-IE"/>
        </w:rPr>
        <w:t xml:space="preserve"> can be interpreted as follows: the width of the bar represents the number of unique taxa and is the size of the nodes (shown on the left side of the key), whilst the colour represents the count of these taxa (shown on the right side of the key).</w:t>
      </w:r>
    </w:p>
    <w:p w14:paraId="6D434DF6" w14:textId="77777777" w:rsidR="00E90893" w:rsidRDefault="00E90893" w:rsidP="00EB5DE8">
      <w:pPr>
        <w:jc w:val="both"/>
        <w:rPr>
          <w:rFonts w:ascii="Arial" w:hAnsi="Arial" w:cs="Arial"/>
          <w:sz w:val="20"/>
          <w:szCs w:val="20"/>
          <w:lang w:val="en-IE"/>
        </w:rPr>
        <w:sectPr w:rsidR="00E90893">
          <w:pgSz w:w="11906" w:h="16838"/>
          <w:pgMar w:top="1440" w:right="1440" w:bottom="1440" w:left="1440" w:header="708" w:footer="708" w:gutter="0"/>
          <w:cols w:space="708"/>
          <w:docGrid w:linePitch="360"/>
        </w:sectPr>
      </w:pPr>
    </w:p>
    <w:p w14:paraId="4A12BDEB" w14:textId="77777777" w:rsidR="00D40630" w:rsidRDefault="00D40630" w:rsidP="00EB5DE8">
      <w:pPr>
        <w:jc w:val="both"/>
        <w:rPr>
          <w:rFonts w:ascii="Arial" w:hAnsi="Arial" w:cs="Arial"/>
          <w:sz w:val="20"/>
          <w:szCs w:val="20"/>
          <w:lang w:val="en-IE"/>
        </w:rPr>
      </w:pPr>
    </w:p>
    <w:p w14:paraId="4C0CBB69" w14:textId="77777777" w:rsidR="00EB5DE8" w:rsidRDefault="00EB5DE8" w:rsidP="00760AE3">
      <w:pPr>
        <w:jc w:val="both"/>
        <w:rPr>
          <w:rFonts w:ascii="Arial" w:hAnsi="Arial" w:cs="Arial"/>
          <w:sz w:val="20"/>
          <w:szCs w:val="20"/>
          <w:lang w:val="en-IE"/>
        </w:rPr>
      </w:pPr>
    </w:p>
    <w:p w14:paraId="1F7E7939" w14:textId="77777777" w:rsidR="00760AE3" w:rsidRDefault="00B153A9" w:rsidP="000D1CFC">
      <w:pPr>
        <w:jc w:val="center"/>
        <w:rPr>
          <w:rFonts w:ascii="Arial" w:hAnsi="Arial" w:cs="Arial"/>
          <w:sz w:val="20"/>
          <w:szCs w:val="20"/>
        </w:rPr>
      </w:pPr>
      <w:r>
        <w:rPr>
          <w:rFonts w:ascii="Arial" w:hAnsi="Arial" w:cs="Arial"/>
          <w:noProof/>
          <w:sz w:val="20"/>
          <w:szCs w:val="20"/>
        </w:rPr>
        <w:drawing>
          <wp:inline distT="0" distB="0" distL="0" distR="0" wp14:anchorId="04F66C36" wp14:editId="7CA20930">
            <wp:extent cx="7010400" cy="4145193"/>
            <wp:effectExtent l="0" t="0" r="0" b="0"/>
            <wp:docPr id="2270187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18701" name="Picture 227018701"/>
                    <pic:cNvPicPr/>
                  </pic:nvPicPr>
                  <pic:blipFill>
                    <a:blip r:embed="rId17">
                      <a:extLst>
                        <a:ext uri="{28A0092B-C50C-407E-A947-70E740481C1C}">
                          <a14:useLocalDpi xmlns:a14="http://schemas.microsoft.com/office/drawing/2010/main" val="0"/>
                        </a:ext>
                      </a:extLst>
                    </a:blip>
                    <a:stretch>
                      <a:fillRect/>
                    </a:stretch>
                  </pic:blipFill>
                  <pic:spPr>
                    <a:xfrm>
                      <a:off x="0" y="0"/>
                      <a:ext cx="7048248" cy="4167572"/>
                    </a:xfrm>
                    <a:prstGeom prst="rect">
                      <a:avLst/>
                    </a:prstGeom>
                  </pic:spPr>
                </pic:pic>
              </a:graphicData>
            </a:graphic>
          </wp:inline>
        </w:drawing>
      </w:r>
    </w:p>
    <w:p w14:paraId="51FD3D86" w14:textId="6CF923BB" w:rsidR="00B153A9" w:rsidRDefault="00B153A9" w:rsidP="00F160D9">
      <w:pPr>
        <w:jc w:val="both"/>
        <w:rPr>
          <w:rFonts w:ascii="Arial" w:hAnsi="Arial" w:cs="Arial"/>
          <w:color w:val="000000" w:themeColor="text1"/>
          <w:sz w:val="20"/>
          <w:szCs w:val="20"/>
        </w:rPr>
      </w:pPr>
      <w:r w:rsidRPr="002E63A3">
        <w:rPr>
          <w:rFonts w:ascii="Arial" w:hAnsi="Arial" w:cs="Arial"/>
          <w:b/>
          <w:bCs/>
          <w:sz w:val="20"/>
          <w:szCs w:val="20"/>
        </w:rPr>
        <w:t>Supplementary Figure S</w:t>
      </w:r>
      <w:r w:rsidR="00357FDE">
        <w:rPr>
          <w:rFonts w:ascii="Arial" w:hAnsi="Arial" w:cs="Arial"/>
          <w:b/>
          <w:bCs/>
          <w:sz w:val="20"/>
          <w:szCs w:val="20"/>
        </w:rPr>
        <w:t>8</w:t>
      </w:r>
      <w:r w:rsidRPr="00B153A9">
        <w:rPr>
          <w:rFonts w:ascii="Arial" w:hAnsi="Arial" w:cs="Arial"/>
          <w:sz w:val="20"/>
          <w:szCs w:val="20"/>
        </w:rPr>
        <w:t xml:space="preserve">. </w:t>
      </w:r>
      <w:r w:rsidRPr="00B153A9">
        <w:rPr>
          <w:rFonts w:ascii="Arial" w:hAnsi="Arial" w:cs="Arial"/>
          <w:color w:val="000000" w:themeColor="text1"/>
          <w:sz w:val="20"/>
          <w:szCs w:val="20"/>
        </w:rPr>
        <w:t xml:space="preserve">β-coefficients returned for individual genera (OTUs collated at genus level based </w:t>
      </w:r>
      <w:r w:rsidRPr="00B153A9">
        <w:rPr>
          <w:rFonts w:ascii="Arial" w:hAnsi="Arial" w:cs="Arial"/>
          <w:sz w:val="20"/>
          <w:szCs w:val="20"/>
          <w:lang w:val="en-US"/>
        </w:rPr>
        <w:t xml:space="preserve">on </w:t>
      </w:r>
      <w:r w:rsidRPr="00B153A9">
        <w:rPr>
          <w:rFonts w:ascii="Arial" w:hAnsi="Arial" w:cs="Arial"/>
          <w:bCs/>
          <w:sz w:val="20"/>
          <w:szCs w:val="20"/>
        </w:rPr>
        <w:t xml:space="preserve">SILVA SSU Ref NR database release v.138 taxonomy) </w:t>
      </w:r>
      <w:r w:rsidRPr="00B153A9">
        <w:rPr>
          <w:rFonts w:ascii="Arial" w:hAnsi="Arial" w:cs="Arial"/>
          <w:color w:val="000000" w:themeColor="text1"/>
          <w:sz w:val="20"/>
          <w:szCs w:val="20"/>
        </w:rPr>
        <w:t xml:space="preserve">from the GLLVM procedure against the sources of variation considered in this study. </w:t>
      </w:r>
      <w:r w:rsidR="00E97DF9" w:rsidRPr="00E97DF9">
        <w:rPr>
          <w:rFonts w:ascii="Arial" w:hAnsi="Arial" w:cs="Arial"/>
          <w:color w:val="000000" w:themeColor="text1"/>
          <w:sz w:val="20"/>
          <w:szCs w:val="20"/>
        </w:rPr>
        <w:t xml:space="preserve">Those coefficients which are positively associated with the microbial abundance of a particular species are represented in red colour whilst those that are negatively associated are represented with blue colour, respectively. Where the coefficients are non-significant, i.e., the 95% confidence interval crosses the 0 boundary, they are greyed out. </w:t>
      </w:r>
      <w:r w:rsidRPr="00B153A9">
        <w:rPr>
          <w:rFonts w:ascii="Arial" w:hAnsi="Arial" w:cs="Arial"/>
          <w:color w:val="000000" w:themeColor="text1"/>
          <w:sz w:val="20"/>
          <w:szCs w:val="20"/>
        </w:rPr>
        <w:t xml:space="preserve">All the variables are categorical variables with Yes/No [REF] as factors. </w:t>
      </w:r>
      <w:r w:rsidR="002E63A3">
        <w:rPr>
          <w:rFonts w:ascii="Arial" w:hAnsi="Arial" w:cs="Arial"/>
          <w:color w:val="000000" w:themeColor="text1"/>
          <w:sz w:val="20"/>
          <w:szCs w:val="20"/>
        </w:rPr>
        <w:t>REF refers to the reference</w:t>
      </w:r>
      <w:r w:rsidR="00F56362">
        <w:rPr>
          <w:rFonts w:ascii="Arial" w:hAnsi="Arial" w:cs="Arial"/>
          <w:color w:val="000000" w:themeColor="text1"/>
          <w:sz w:val="20"/>
          <w:szCs w:val="20"/>
        </w:rPr>
        <w:t xml:space="preserve"> against which the comparison is done</w:t>
      </w:r>
      <w:r w:rsidR="002E63A3">
        <w:rPr>
          <w:rFonts w:ascii="Arial" w:hAnsi="Arial" w:cs="Arial"/>
          <w:color w:val="000000" w:themeColor="text1"/>
          <w:sz w:val="20"/>
          <w:szCs w:val="20"/>
        </w:rPr>
        <w:t>, e.g.,</w:t>
      </w:r>
      <w:r w:rsidR="00960276">
        <w:rPr>
          <w:rFonts w:ascii="Arial" w:hAnsi="Arial" w:cs="Arial"/>
          <w:color w:val="000000" w:themeColor="text1"/>
          <w:sz w:val="20"/>
          <w:szCs w:val="20"/>
        </w:rPr>
        <w:t xml:space="preserve"> </w:t>
      </w:r>
      <w:r w:rsidR="00960276" w:rsidRPr="00B153A9">
        <w:rPr>
          <w:rFonts w:ascii="Arial" w:hAnsi="Arial" w:cs="Arial"/>
          <w:color w:val="000000" w:themeColor="text1"/>
          <w:sz w:val="20"/>
          <w:szCs w:val="20"/>
        </w:rPr>
        <w:t>β</w:t>
      </w:r>
      <w:r w:rsidR="00960276" w:rsidRPr="002E63A3">
        <w:rPr>
          <w:rFonts w:ascii="Arial" w:hAnsi="Arial" w:cs="Arial"/>
          <w:color w:val="000000" w:themeColor="text1"/>
          <w:sz w:val="20"/>
          <w:szCs w:val="20"/>
          <w:vertAlign w:val="subscript"/>
        </w:rPr>
        <w:t>Autumn:Yes</w:t>
      </w:r>
      <w:r w:rsidR="002E63A3">
        <w:rPr>
          <w:rFonts w:ascii="Arial" w:hAnsi="Arial" w:cs="Arial"/>
          <w:color w:val="000000" w:themeColor="text1"/>
          <w:sz w:val="20"/>
          <w:szCs w:val="20"/>
        </w:rPr>
        <w:t xml:space="preserve"> is negative (blue) </w:t>
      </w:r>
      <w:r w:rsidR="00960276">
        <w:rPr>
          <w:rFonts w:ascii="Arial" w:hAnsi="Arial" w:cs="Arial"/>
          <w:color w:val="000000" w:themeColor="text1"/>
          <w:sz w:val="20"/>
          <w:szCs w:val="20"/>
        </w:rPr>
        <w:t xml:space="preserve">for g_Actinomyces </w:t>
      </w:r>
      <w:r w:rsidR="002E63A3">
        <w:rPr>
          <w:rFonts w:ascii="Arial" w:hAnsi="Arial" w:cs="Arial"/>
          <w:color w:val="000000" w:themeColor="text1"/>
          <w:sz w:val="20"/>
          <w:szCs w:val="20"/>
        </w:rPr>
        <w:t>and is interpreted as “Actinomyces gen</w:t>
      </w:r>
      <w:r w:rsidR="00960276">
        <w:rPr>
          <w:rFonts w:ascii="Arial" w:hAnsi="Arial" w:cs="Arial"/>
          <w:color w:val="000000" w:themeColor="text1"/>
          <w:sz w:val="20"/>
          <w:szCs w:val="20"/>
        </w:rPr>
        <w:t>us</w:t>
      </w:r>
      <w:r w:rsidR="002E63A3">
        <w:rPr>
          <w:rFonts w:ascii="Arial" w:hAnsi="Arial" w:cs="Arial"/>
          <w:color w:val="000000" w:themeColor="text1"/>
          <w:sz w:val="20"/>
          <w:szCs w:val="20"/>
        </w:rPr>
        <w:t xml:space="preserve"> decreases in abundance for samples that are not </w:t>
      </w:r>
      <w:r w:rsidR="00960276">
        <w:rPr>
          <w:rFonts w:ascii="Arial" w:hAnsi="Arial" w:cs="Arial"/>
          <w:color w:val="000000" w:themeColor="text1"/>
          <w:sz w:val="20"/>
          <w:szCs w:val="20"/>
        </w:rPr>
        <w:t xml:space="preserve">taken in </w:t>
      </w:r>
      <w:r w:rsidR="002E63A3">
        <w:rPr>
          <w:rFonts w:ascii="Arial" w:hAnsi="Arial" w:cs="Arial"/>
          <w:color w:val="000000" w:themeColor="text1"/>
          <w:sz w:val="20"/>
          <w:szCs w:val="20"/>
        </w:rPr>
        <w:t xml:space="preserve">Autumn”. </w:t>
      </w:r>
      <w:r w:rsidR="00F56362" w:rsidRPr="00B153A9">
        <w:rPr>
          <w:rFonts w:ascii="Arial" w:hAnsi="Arial" w:cs="Arial"/>
          <w:color w:val="000000" w:themeColor="text1"/>
          <w:sz w:val="20"/>
          <w:szCs w:val="20"/>
        </w:rPr>
        <w:t>Β</w:t>
      </w:r>
      <w:r w:rsidR="00F56362">
        <w:rPr>
          <w:rFonts w:ascii="Arial" w:hAnsi="Arial" w:cs="Arial"/>
          <w:color w:val="000000" w:themeColor="text1"/>
          <w:sz w:val="20"/>
          <w:szCs w:val="20"/>
          <w:vertAlign w:val="subscript"/>
        </w:rPr>
        <w:t>Biofilm</w:t>
      </w:r>
      <w:r w:rsidR="00F56362" w:rsidRPr="002E63A3">
        <w:rPr>
          <w:rFonts w:ascii="Arial" w:hAnsi="Arial" w:cs="Arial"/>
          <w:color w:val="000000" w:themeColor="text1"/>
          <w:sz w:val="20"/>
          <w:szCs w:val="20"/>
          <w:vertAlign w:val="subscript"/>
        </w:rPr>
        <w:t>:Yes</w:t>
      </w:r>
      <w:r w:rsidR="00F56362">
        <w:rPr>
          <w:rFonts w:ascii="Arial" w:hAnsi="Arial" w:cs="Arial"/>
          <w:color w:val="000000" w:themeColor="text1"/>
          <w:sz w:val="20"/>
          <w:szCs w:val="20"/>
        </w:rPr>
        <w:t xml:space="preserve"> is positive (red) for g_Actinomyces and is interpreted as ““Actinomyces genus increases in abundance for samples that come from Biofilm as compared to those that do not”.</w:t>
      </w:r>
      <w:r w:rsidR="000D1CFC">
        <w:rPr>
          <w:rFonts w:ascii="Arial" w:hAnsi="Arial" w:cs="Arial"/>
          <w:color w:val="000000" w:themeColor="text1"/>
          <w:sz w:val="20"/>
          <w:szCs w:val="20"/>
        </w:rPr>
        <w:t xml:space="preserve"> </w:t>
      </w:r>
      <w:r w:rsidR="000D1CFC" w:rsidRPr="000D1CFC">
        <w:rPr>
          <w:rFonts w:ascii="Arial" w:hAnsi="Arial" w:cs="Arial"/>
          <w:color w:val="000000" w:themeColor="text1"/>
          <w:sz w:val="20"/>
          <w:szCs w:val="20"/>
          <w:lang w:val="en-IE"/>
        </w:rPr>
        <w:t xml:space="preserve">The results continue on to </w:t>
      </w:r>
      <w:r w:rsidR="000D1CFC" w:rsidRPr="006E18FF">
        <w:rPr>
          <w:rFonts w:ascii="Arial" w:hAnsi="Arial" w:cs="Arial"/>
          <w:color w:val="000000" w:themeColor="text1"/>
          <w:sz w:val="20"/>
          <w:szCs w:val="20"/>
          <w:lang w:val="en-IE"/>
        </w:rPr>
        <w:t>Supplementary Figures S</w:t>
      </w:r>
      <w:r w:rsidR="006E18FF">
        <w:rPr>
          <w:rFonts w:ascii="Arial" w:hAnsi="Arial" w:cs="Arial"/>
          <w:color w:val="000000" w:themeColor="text1"/>
          <w:sz w:val="20"/>
          <w:szCs w:val="20"/>
          <w:lang w:val="en-IE"/>
        </w:rPr>
        <w:t>9</w:t>
      </w:r>
      <w:r w:rsidR="000D1CFC" w:rsidRPr="006E18FF">
        <w:rPr>
          <w:rFonts w:ascii="Arial" w:hAnsi="Arial" w:cs="Arial"/>
          <w:color w:val="000000" w:themeColor="text1"/>
          <w:sz w:val="20"/>
          <w:szCs w:val="20"/>
          <w:lang w:val="en-IE"/>
        </w:rPr>
        <w:t>-S</w:t>
      </w:r>
      <w:r w:rsidR="000E4E82" w:rsidRPr="006E18FF">
        <w:rPr>
          <w:rFonts w:ascii="Arial" w:hAnsi="Arial" w:cs="Arial"/>
          <w:color w:val="000000" w:themeColor="text1"/>
          <w:sz w:val="20"/>
          <w:szCs w:val="20"/>
          <w:lang w:val="en-IE"/>
        </w:rPr>
        <w:t>1</w:t>
      </w:r>
      <w:r w:rsidR="0032438F" w:rsidRPr="006E18FF">
        <w:rPr>
          <w:rFonts w:ascii="Arial" w:hAnsi="Arial" w:cs="Arial"/>
          <w:color w:val="000000" w:themeColor="text1"/>
          <w:sz w:val="20"/>
          <w:szCs w:val="20"/>
          <w:lang w:val="en-IE"/>
        </w:rPr>
        <w:t>7</w:t>
      </w:r>
      <w:r w:rsidR="000D1CFC" w:rsidRPr="006E18FF">
        <w:rPr>
          <w:rFonts w:ascii="Arial" w:hAnsi="Arial" w:cs="Arial"/>
          <w:color w:val="000000" w:themeColor="text1"/>
          <w:sz w:val="20"/>
          <w:szCs w:val="20"/>
          <w:lang w:val="en-IE"/>
        </w:rPr>
        <w:t>.</w:t>
      </w:r>
    </w:p>
    <w:p w14:paraId="7B2E11E5" w14:textId="77777777" w:rsidR="002E63A3" w:rsidRDefault="000D1CFC" w:rsidP="00F160D9">
      <w:pPr>
        <w:jc w:val="both"/>
        <w:rPr>
          <w:rFonts w:ascii="Arial" w:hAnsi="Arial" w:cs="Arial"/>
          <w:sz w:val="20"/>
          <w:szCs w:val="20"/>
        </w:rPr>
      </w:pPr>
      <w:r>
        <w:rPr>
          <w:rFonts w:ascii="Arial" w:hAnsi="Arial" w:cs="Arial"/>
          <w:noProof/>
          <w:sz w:val="20"/>
          <w:szCs w:val="20"/>
        </w:rPr>
        <w:lastRenderedPageBreak/>
        <w:drawing>
          <wp:inline distT="0" distB="0" distL="0" distR="0" wp14:anchorId="6F4771C4" wp14:editId="22E46BCF">
            <wp:extent cx="8863330" cy="5000625"/>
            <wp:effectExtent l="0" t="0" r="1270" b="3175"/>
            <wp:docPr id="10569743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74363" name="Picture 1056974363"/>
                    <pic:cNvPicPr/>
                  </pic:nvPicPr>
                  <pic:blipFill>
                    <a:blip r:embed="rId18">
                      <a:extLst>
                        <a:ext uri="{28A0092B-C50C-407E-A947-70E740481C1C}">
                          <a14:useLocalDpi xmlns:a14="http://schemas.microsoft.com/office/drawing/2010/main" val="0"/>
                        </a:ext>
                      </a:extLst>
                    </a:blip>
                    <a:stretch>
                      <a:fillRect/>
                    </a:stretch>
                  </pic:blipFill>
                  <pic:spPr>
                    <a:xfrm>
                      <a:off x="0" y="0"/>
                      <a:ext cx="8863330" cy="5000625"/>
                    </a:xfrm>
                    <a:prstGeom prst="rect">
                      <a:avLst/>
                    </a:prstGeom>
                  </pic:spPr>
                </pic:pic>
              </a:graphicData>
            </a:graphic>
          </wp:inline>
        </w:drawing>
      </w:r>
    </w:p>
    <w:p w14:paraId="317184B0" w14:textId="126163C4" w:rsidR="000D1CFC" w:rsidRDefault="000D1CFC" w:rsidP="000D1CFC">
      <w:pPr>
        <w:jc w:val="both"/>
        <w:rPr>
          <w:rFonts w:ascii="Arial" w:hAnsi="Arial" w:cs="Arial"/>
          <w:sz w:val="20"/>
          <w:szCs w:val="20"/>
          <w:lang w:val="en-IE"/>
        </w:rPr>
      </w:pPr>
      <w:r w:rsidRPr="002E63A3">
        <w:rPr>
          <w:rFonts w:ascii="Arial" w:hAnsi="Arial" w:cs="Arial"/>
          <w:b/>
          <w:bCs/>
          <w:sz w:val="20"/>
          <w:szCs w:val="20"/>
        </w:rPr>
        <w:t>Supplementary Figure S</w:t>
      </w:r>
      <w:r w:rsidR="00357FDE">
        <w:rPr>
          <w:rFonts w:ascii="Arial" w:hAnsi="Arial" w:cs="Arial"/>
          <w:b/>
          <w:bCs/>
          <w:sz w:val="20"/>
          <w:szCs w:val="20"/>
        </w:rPr>
        <w:t>9</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6AFC2F93" w14:textId="77777777" w:rsidR="005331E6" w:rsidRDefault="005331E6" w:rsidP="000D1CFC">
      <w:pPr>
        <w:jc w:val="both"/>
        <w:rPr>
          <w:rFonts w:ascii="Arial" w:hAnsi="Arial" w:cs="Arial"/>
          <w:sz w:val="20"/>
          <w:szCs w:val="20"/>
          <w:lang w:val="en-IE"/>
        </w:rPr>
        <w:sectPr w:rsidR="005331E6" w:rsidSect="00B153A9">
          <w:pgSz w:w="16838" w:h="11906" w:orient="landscape"/>
          <w:pgMar w:top="1440" w:right="1440" w:bottom="1440" w:left="1440" w:header="708" w:footer="708" w:gutter="0"/>
          <w:cols w:space="708"/>
          <w:docGrid w:linePitch="360"/>
        </w:sectPr>
      </w:pPr>
    </w:p>
    <w:p w14:paraId="67B9F9DC" w14:textId="77777777" w:rsidR="005331E6" w:rsidRPr="000D1CFC" w:rsidRDefault="005331E6" w:rsidP="000D1CFC">
      <w:pPr>
        <w:jc w:val="both"/>
        <w:rPr>
          <w:rFonts w:ascii="Arial" w:hAnsi="Arial" w:cs="Arial"/>
          <w:sz w:val="20"/>
          <w:szCs w:val="20"/>
          <w:lang w:val="en-IE"/>
        </w:rPr>
      </w:pPr>
    </w:p>
    <w:p w14:paraId="64B356A5" w14:textId="77777777" w:rsidR="000D1CFC" w:rsidRDefault="00476EAA" w:rsidP="00F160D9">
      <w:pPr>
        <w:jc w:val="both"/>
        <w:rPr>
          <w:rFonts w:ascii="Arial" w:hAnsi="Arial" w:cs="Arial"/>
          <w:sz w:val="20"/>
          <w:szCs w:val="20"/>
        </w:rPr>
      </w:pPr>
      <w:r>
        <w:rPr>
          <w:rFonts w:ascii="Arial" w:hAnsi="Arial" w:cs="Arial"/>
          <w:noProof/>
          <w:sz w:val="20"/>
          <w:szCs w:val="20"/>
        </w:rPr>
        <w:drawing>
          <wp:inline distT="0" distB="0" distL="0" distR="0" wp14:anchorId="3008A490" wp14:editId="569E0346">
            <wp:extent cx="8037162" cy="5010702"/>
            <wp:effectExtent l="0" t="0" r="2540" b="6350"/>
            <wp:docPr id="14369997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99740" name="Picture 1436999740"/>
                    <pic:cNvPicPr/>
                  </pic:nvPicPr>
                  <pic:blipFill>
                    <a:blip r:embed="rId19">
                      <a:extLst>
                        <a:ext uri="{28A0092B-C50C-407E-A947-70E740481C1C}">
                          <a14:useLocalDpi xmlns:a14="http://schemas.microsoft.com/office/drawing/2010/main" val="0"/>
                        </a:ext>
                      </a:extLst>
                    </a:blip>
                    <a:stretch>
                      <a:fillRect/>
                    </a:stretch>
                  </pic:blipFill>
                  <pic:spPr>
                    <a:xfrm>
                      <a:off x="0" y="0"/>
                      <a:ext cx="8039294" cy="5012031"/>
                    </a:xfrm>
                    <a:prstGeom prst="rect">
                      <a:avLst/>
                    </a:prstGeom>
                  </pic:spPr>
                </pic:pic>
              </a:graphicData>
            </a:graphic>
          </wp:inline>
        </w:drawing>
      </w:r>
    </w:p>
    <w:p w14:paraId="4F0FDD18" w14:textId="2748C7D1" w:rsidR="00476EAA" w:rsidRDefault="00476EAA" w:rsidP="00476EAA">
      <w:pPr>
        <w:jc w:val="both"/>
        <w:rPr>
          <w:rFonts w:ascii="Arial" w:hAnsi="Arial" w:cs="Arial"/>
          <w:sz w:val="20"/>
          <w:szCs w:val="20"/>
          <w:lang w:val="en-IE"/>
        </w:rPr>
      </w:pPr>
      <w:r w:rsidRPr="002E63A3">
        <w:rPr>
          <w:rFonts w:ascii="Arial" w:hAnsi="Arial" w:cs="Arial"/>
          <w:b/>
          <w:bCs/>
          <w:sz w:val="20"/>
          <w:szCs w:val="20"/>
        </w:rPr>
        <w:t>Supplementary Figure S</w:t>
      </w:r>
      <w:r w:rsidR="00357FDE">
        <w:rPr>
          <w:rFonts w:ascii="Arial" w:hAnsi="Arial" w:cs="Arial"/>
          <w:b/>
          <w:bCs/>
          <w:sz w:val="20"/>
          <w:szCs w:val="20"/>
        </w:rPr>
        <w:t>10</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2EA1C3CD" w14:textId="77777777" w:rsidR="00D2304E" w:rsidRDefault="00D2304E" w:rsidP="00476EAA">
      <w:pPr>
        <w:jc w:val="both"/>
        <w:rPr>
          <w:rFonts w:ascii="Arial" w:hAnsi="Arial" w:cs="Arial"/>
          <w:sz w:val="20"/>
          <w:szCs w:val="20"/>
          <w:lang w:val="en-IE"/>
        </w:rPr>
        <w:sectPr w:rsidR="00D2304E" w:rsidSect="00B153A9">
          <w:pgSz w:w="16838" w:h="11906" w:orient="landscape"/>
          <w:pgMar w:top="1440" w:right="1440" w:bottom="1440" w:left="1440" w:header="708" w:footer="708" w:gutter="0"/>
          <w:cols w:space="708"/>
          <w:docGrid w:linePitch="360"/>
        </w:sectPr>
      </w:pPr>
    </w:p>
    <w:p w14:paraId="0EE16066" w14:textId="77777777" w:rsidR="00D2304E" w:rsidRDefault="00D2304E" w:rsidP="00476EAA">
      <w:pPr>
        <w:jc w:val="both"/>
        <w:rPr>
          <w:rFonts w:ascii="Arial" w:hAnsi="Arial" w:cs="Arial"/>
          <w:sz w:val="20"/>
          <w:szCs w:val="20"/>
          <w:lang w:val="en-IE"/>
        </w:rPr>
      </w:pPr>
    </w:p>
    <w:p w14:paraId="773BE31F" w14:textId="77777777" w:rsidR="00476EAA" w:rsidRDefault="00476EAA" w:rsidP="00F160D9">
      <w:pPr>
        <w:jc w:val="both"/>
        <w:rPr>
          <w:rFonts w:ascii="Arial" w:hAnsi="Arial" w:cs="Arial"/>
          <w:sz w:val="20"/>
          <w:szCs w:val="20"/>
        </w:rPr>
      </w:pPr>
    </w:p>
    <w:p w14:paraId="4F8513B2" w14:textId="77777777" w:rsidR="00476EAA" w:rsidRDefault="0003077E" w:rsidP="0003077E">
      <w:pPr>
        <w:jc w:val="center"/>
        <w:rPr>
          <w:rFonts w:ascii="Arial" w:hAnsi="Arial" w:cs="Arial"/>
          <w:sz w:val="20"/>
          <w:szCs w:val="20"/>
        </w:rPr>
      </w:pPr>
      <w:r>
        <w:rPr>
          <w:rFonts w:ascii="Arial" w:hAnsi="Arial" w:cs="Arial"/>
          <w:noProof/>
          <w:sz w:val="20"/>
          <w:szCs w:val="20"/>
        </w:rPr>
        <w:drawing>
          <wp:inline distT="0" distB="0" distL="0" distR="0" wp14:anchorId="06F081E7" wp14:editId="53B43CDB">
            <wp:extent cx="7467600" cy="4540588"/>
            <wp:effectExtent l="0" t="0" r="0" b="6350"/>
            <wp:docPr id="351084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8450" name="Picture 35108450"/>
                    <pic:cNvPicPr/>
                  </pic:nvPicPr>
                  <pic:blipFill>
                    <a:blip r:embed="rId20">
                      <a:extLst>
                        <a:ext uri="{28A0092B-C50C-407E-A947-70E740481C1C}">
                          <a14:useLocalDpi xmlns:a14="http://schemas.microsoft.com/office/drawing/2010/main" val="0"/>
                        </a:ext>
                      </a:extLst>
                    </a:blip>
                    <a:stretch>
                      <a:fillRect/>
                    </a:stretch>
                  </pic:blipFill>
                  <pic:spPr>
                    <a:xfrm>
                      <a:off x="0" y="0"/>
                      <a:ext cx="7477666" cy="4546708"/>
                    </a:xfrm>
                    <a:prstGeom prst="rect">
                      <a:avLst/>
                    </a:prstGeom>
                  </pic:spPr>
                </pic:pic>
              </a:graphicData>
            </a:graphic>
          </wp:inline>
        </w:drawing>
      </w:r>
    </w:p>
    <w:p w14:paraId="3F51822F" w14:textId="1214CC7E" w:rsidR="0003077E" w:rsidRDefault="0003077E" w:rsidP="0003077E">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1</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34FC1BD8" w14:textId="77777777" w:rsidR="00B767BD" w:rsidRDefault="00B767BD" w:rsidP="0003077E">
      <w:pPr>
        <w:jc w:val="both"/>
        <w:rPr>
          <w:rFonts w:ascii="Arial" w:hAnsi="Arial" w:cs="Arial"/>
          <w:sz w:val="20"/>
          <w:szCs w:val="20"/>
          <w:lang w:val="en-IE"/>
        </w:rPr>
        <w:sectPr w:rsidR="00B767BD" w:rsidSect="00B153A9">
          <w:pgSz w:w="16838" w:h="11906" w:orient="landscape"/>
          <w:pgMar w:top="1440" w:right="1440" w:bottom="1440" w:left="1440" w:header="708" w:footer="708" w:gutter="0"/>
          <w:cols w:space="708"/>
          <w:docGrid w:linePitch="360"/>
        </w:sectPr>
      </w:pPr>
    </w:p>
    <w:p w14:paraId="46C4EDFB" w14:textId="77777777" w:rsidR="00B767BD" w:rsidRDefault="00B767BD" w:rsidP="0003077E">
      <w:pPr>
        <w:jc w:val="both"/>
        <w:rPr>
          <w:rFonts w:ascii="Arial" w:hAnsi="Arial" w:cs="Arial"/>
          <w:sz w:val="20"/>
          <w:szCs w:val="20"/>
          <w:lang w:val="en-IE"/>
        </w:rPr>
      </w:pPr>
    </w:p>
    <w:p w14:paraId="0BEA9F16" w14:textId="77777777" w:rsidR="0003077E" w:rsidRDefault="00CA0E4C" w:rsidP="0003077E">
      <w:pPr>
        <w:jc w:val="center"/>
        <w:rPr>
          <w:rFonts w:ascii="Arial" w:hAnsi="Arial" w:cs="Arial"/>
          <w:sz w:val="20"/>
          <w:szCs w:val="20"/>
        </w:rPr>
      </w:pPr>
      <w:r>
        <w:rPr>
          <w:rFonts w:ascii="Arial" w:hAnsi="Arial" w:cs="Arial"/>
          <w:noProof/>
          <w:sz w:val="20"/>
          <w:szCs w:val="20"/>
        </w:rPr>
        <w:drawing>
          <wp:inline distT="0" distB="0" distL="0" distR="0" wp14:anchorId="448F7167" wp14:editId="4DFE6012">
            <wp:extent cx="7956884" cy="4737761"/>
            <wp:effectExtent l="0" t="0" r="6350" b="0"/>
            <wp:docPr id="7075788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78891" name="Picture 707578891"/>
                    <pic:cNvPicPr/>
                  </pic:nvPicPr>
                  <pic:blipFill>
                    <a:blip r:embed="rId21">
                      <a:extLst>
                        <a:ext uri="{28A0092B-C50C-407E-A947-70E740481C1C}">
                          <a14:useLocalDpi xmlns:a14="http://schemas.microsoft.com/office/drawing/2010/main" val="0"/>
                        </a:ext>
                      </a:extLst>
                    </a:blip>
                    <a:stretch>
                      <a:fillRect/>
                    </a:stretch>
                  </pic:blipFill>
                  <pic:spPr>
                    <a:xfrm>
                      <a:off x="0" y="0"/>
                      <a:ext cx="7959039" cy="4739044"/>
                    </a:xfrm>
                    <a:prstGeom prst="rect">
                      <a:avLst/>
                    </a:prstGeom>
                  </pic:spPr>
                </pic:pic>
              </a:graphicData>
            </a:graphic>
          </wp:inline>
        </w:drawing>
      </w:r>
    </w:p>
    <w:p w14:paraId="42E5CDDB" w14:textId="69FEEEFE" w:rsidR="00CA0E4C" w:rsidRDefault="00CA0E4C" w:rsidP="00CA0E4C">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2</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0517339D" w14:textId="77777777" w:rsidR="00BC387A" w:rsidRDefault="00BC387A" w:rsidP="00CA0E4C">
      <w:pPr>
        <w:jc w:val="both"/>
        <w:rPr>
          <w:rFonts w:ascii="Arial" w:hAnsi="Arial" w:cs="Arial"/>
          <w:sz w:val="20"/>
          <w:szCs w:val="20"/>
          <w:lang w:val="en-IE"/>
        </w:rPr>
        <w:sectPr w:rsidR="00BC387A" w:rsidSect="00B153A9">
          <w:pgSz w:w="16838" w:h="11906" w:orient="landscape"/>
          <w:pgMar w:top="1440" w:right="1440" w:bottom="1440" w:left="1440" w:header="708" w:footer="708" w:gutter="0"/>
          <w:cols w:space="708"/>
          <w:docGrid w:linePitch="360"/>
        </w:sectPr>
      </w:pPr>
    </w:p>
    <w:p w14:paraId="6623B479" w14:textId="77777777" w:rsidR="00BC387A" w:rsidRDefault="00BC387A" w:rsidP="00CA0E4C">
      <w:pPr>
        <w:jc w:val="both"/>
        <w:rPr>
          <w:rFonts w:ascii="Arial" w:hAnsi="Arial" w:cs="Arial"/>
          <w:sz w:val="20"/>
          <w:szCs w:val="20"/>
          <w:lang w:val="en-IE"/>
        </w:rPr>
      </w:pPr>
    </w:p>
    <w:p w14:paraId="02CF66C5" w14:textId="77777777" w:rsidR="00CA0E4C" w:rsidRDefault="00BC387A" w:rsidP="0003077E">
      <w:pPr>
        <w:jc w:val="center"/>
        <w:rPr>
          <w:rFonts w:ascii="Arial" w:hAnsi="Arial" w:cs="Arial"/>
          <w:sz w:val="20"/>
          <w:szCs w:val="20"/>
        </w:rPr>
      </w:pPr>
      <w:r>
        <w:rPr>
          <w:rFonts w:ascii="Arial" w:hAnsi="Arial" w:cs="Arial"/>
          <w:noProof/>
          <w:sz w:val="20"/>
          <w:szCs w:val="20"/>
        </w:rPr>
        <w:drawing>
          <wp:inline distT="0" distB="0" distL="0" distR="0" wp14:anchorId="32B882B5" wp14:editId="6B7B305E">
            <wp:extent cx="8293768" cy="4940728"/>
            <wp:effectExtent l="0" t="0" r="0" b="0"/>
            <wp:docPr id="20718966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96689" name="Picture 2071896689"/>
                    <pic:cNvPicPr/>
                  </pic:nvPicPr>
                  <pic:blipFill>
                    <a:blip r:embed="rId22">
                      <a:extLst>
                        <a:ext uri="{28A0092B-C50C-407E-A947-70E740481C1C}">
                          <a14:useLocalDpi xmlns:a14="http://schemas.microsoft.com/office/drawing/2010/main" val="0"/>
                        </a:ext>
                      </a:extLst>
                    </a:blip>
                    <a:stretch>
                      <a:fillRect/>
                    </a:stretch>
                  </pic:blipFill>
                  <pic:spPr>
                    <a:xfrm>
                      <a:off x="0" y="0"/>
                      <a:ext cx="8295346" cy="4941668"/>
                    </a:xfrm>
                    <a:prstGeom prst="rect">
                      <a:avLst/>
                    </a:prstGeom>
                  </pic:spPr>
                </pic:pic>
              </a:graphicData>
            </a:graphic>
          </wp:inline>
        </w:drawing>
      </w:r>
    </w:p>
    <w:p w14:paraId="69A63AC0" w14:textId="0FEDFEE3" w:rsidR="00BC387A" w:rsidRDefault="00BC387A" w:rsidP="00BC387A">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3</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2928D7E2" w14:textId="77777777" w:rsidR="00255568" w:rsidRDefault="00255568" w:rsidP="00BC387A">
      <w:pPr>
        <w:jc w:val="both"/>
        <w:rPr>
          <w:rFonts w:ascii="Arial" w:hAnsi="Arial" w:cs="Arial"/>
          <w:sz w:val="20"/>
          <w:szCs w:val="20"/>
          <w:lang w:val="en-IE"/>
        </w:rPr>
        <w:sectPr w:rsidR="00255568" w:rsidSect="00B153A9">
          <w:pgSz w:w="16838" w:h="11906" w:orient="landscape"/>
          <w:pgMar w:top="1440" w:right="1440" w:bottom="1440" w:left="1440" w:header="708" w:footer="708" w:gutter="0"/>
          <w:cols w:space="708"/>
          <w:docGrid w:linePitch="360"/>
        </w:sectPr>
      </w:pPr>
    </w:p>
    <w:p w14:paraId="1EEEB472" w14:textId="77777777" w:rsidR="00255568" w:rsidRDefault="00255568" w:rsidP="00BC387A">
      <w:pPr>
        <w:jc w:val="both"/>
        <w:rPr>
          <w:rFonts w:ascii="Arial" w:hAnsi="Arial" w:cs="Arial"/>
          <w:sz w:val="20"/>
          <w:szCs w:val="20"/>
          <w:lang w:val="en-IE"/>
        </w:rPr>
      </w:pPr>
    </w:p>
    <w:p w14:paraId="468D4DDC" w14:textId="77777777" w:rsidR="00BC387A" w:rsidRDefault="00BC387A" w:rsidP="0003077E">
      <w:pPr>
        <w:jc w:val="center"/>
        <w:rPr>
          <w:rFonts w:ascii="Arial" w:hAnsi="Arial" w:cs="Arial"/>
          <w:sz w:val="20"/>
          <w:szCs w:val="20"/>
        </w:rPr>
      </w:pPr>
    </w:p>
    <w:p w14:paraId="35F0BF99" w14:textId="77777777" w:rsidR="00BC387A" w:rsidRDefault="00DE0FF6" w:rsidP="0003077E">
      <w:pPr>
        <w:jc w:val="center"/>
        <w:rPr>
          <w:rFonts w:ascii="Arial" w:hAnsi="Arial" w:cs="Arial"/>
          <w:sz w:val="20"/>
          <w:szCs w:val="20"/>
        </w:rPr>
      </w:pPr>
      <w:r>
        <w:rPr>
          <w:rFonts w:ascii="Arial" w:hAnsi="Arial" w:cs="Arial"/>
          <w:noProof/>
          <w:sz w:val="20"/>
          <w:szCs w:val="20"/>
        </w:rPr>
        <w:drawing>
          <wp:inline distT="0" distB="0" distL="0" distR="0" wp14:anchorId="6FFB8573" wp14:editId="1F3B7DFF">
            <wp:extent cx="8045116" cy="4946496"/>
            <wp:effectExtent l="0" t="0" r="0" b="0"/>
            <wp:docPr id="2589855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85504" name="Picture 258985504"/>
                    <pic:cNvPicPr/>
                  </pic:nvPicPr>
                  <pic:blipFill>
                    <a:blip r:embed="rId23">
                      <a:extLst>
                        <a:ext uri="{28A0092B-C50C-407E-A947-70E740481C1C}">
                          <a14:useLocalDpi xmlns:a14="http://schemas.microsoft.com/office/drawing/2010/main" val="0"/>
                        </a:ext>
                      </a:extLst>
                    </a:blip>
                    <a:stretch>
                      <a:fillRect/>
                    </a:stretch>
                  </pic:blipFill>
                  <pic:spPr>
                    <a:xfrm>
                      <a:off x="0" y="0"/>
                      <a:ext cx="8047401" cy="4947901"/>
                    </a:xfrm>
                    <a:prstGeom prst="rect">
                      <a:avLst/>
                    </a:prstGeom>
                  </pic:spPr>
                </pic:pic>
              </a:graphicData>
            </a:graphic>
          </wp:inline>
        </w:drawing>
      </w:r>
    </w:p>
    <w:p w14:paraId="6FF31FC7" w14:textId="22BB97F7" w:rsidR="00DE0FF6" w:rsidRDefault="00DE0FF6" w:rsidP="00DE0FF6">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4</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5D171545" w14:textId="77777777" w:rsidR="009B402D" w:rsidRDefault="009B402D" w:rsidP="00DE0FF6">
      <w:pPr>
        <w:jc w:val="both"/>
        <w:rPr>
          <w:rFonts w:ascii="Arial" w:hAnsi="Arial" w:cs="Arial"/>
          <w:sz w:val="20"/>
          <w:szCs w:val="20"/>
          <w:lang w:val="en-IE"/>
        </w:rPr>
        <w:sectPr w:rsidR="009B402D" w:rsidSect="00B153A9">
          <w:pgSz w:w="16838" w:h="11906" w:orient="landscape"/>
          <w:pgMar w:top="1440" w:right="1440" w:bottom="1440" w:left="1440" w:header="708" w:footer="708" w:gutter="0"/>
          <w:cols w:space="708"/>
          <w:docGrid w:linePitch="360"/>
        </w:sectPr>
      </w:pPr>
    </w:p>
    <w:p w14:paraId="5997DB32" w14:textId="77777777" w:rsidR="009B402D" w:rsidRDefault="009B402D" w:rsidP="00DE0FF6">
      <w:pPr>
        <w:jc w:val="both"/>
        <w:rPr>
          <w:rFonts w:ascii="Arial" w:hAnsi="Arial" w:cs="Arial"/>
          <w:sz w:val="20"/>
          <w:szCs w:val="20"/>
          <w:lang w:val="en-IE"/>
        </w:rPr>
      </w:pPr>
    </w:p>
    <w:p w14:paraId="31C0F2EB" w14:textId="77777777" w:rsidR="00DE0FF6" w:rsidRDefault="00DE0FF6" w:rsidP="0003077E">
      <w:pPr>
        <w:jc w:val="center"/>
        <w:rPr>
          <w:rFonts w:ascii="Arial" w:hAnsi="Arial" w:cs="Arial"/>
          <w:sz w:val="20"/>
          <w:szCs w:val="20"/>
        </w:rPr>
      </w:pPr>
    </w:p>
    <w:p w14:paraId="5233EE79" w14:textId="77777777" w:rsidR="00DE0FF6" w:rsidRDefault="009B402D" w:rsidP="0003077E">
      <w:pPr>
        <w:jc w:val="center"/>
        <w:rPr>
          <w:rFonts w:ascii="Arial" w:hAnsi="Arial" w:cs="Arial"/>
          <w:sz w:val="20"/>
          <w:szCs w:val="20"/>
        </w:rPr>
      </w:pPr>
      <w:r>
        <w:rPr>
          <w:rFonts w:ascii="Arial" w:hAnsi="Arial" w:cs="Arial"/>
          <w:noProof/>
          <w:sz w:val="20"/>
          <w:szCs w:val="20"/>
        </w:rPr>
        <w:drawing>
          <wp:inline distT="0" distB="0" distL="0" distR="0" wp14:anchorId="485D64CC" wp14:editId="41F0B2B0">
            <wp:extent cx="8339633" cy="4852737"/>
            <wp:effectExtent l="0" t="0" r="4445" b="0"/>
            <wp:docPr id="5955020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02056" name="Picture 595502056"/>
                    <pic:cNvPicPr/>
                  </pic:nvPicPr>
                  <pic:blipFill>
                    <a:blip r:embed="rId24">
                      <a:extLst>
                        <a:ext uri="{28A0092B-C50C-407E-A947-70E740481C1C}">
                          <a14:useLocalDpi xmlns:a14="http://schemas.microsoft.com/office/drawing/2010/main" val="0"/>
                        </a:ext>
                      </a:extLst>
                    </a:blip>
                    <a:stretch>
                      <a:fillRect/>
                    </a:stretch>
                  </pic:blipFill>
                  <pic:spPr>
                    <a:xfrm>
                      <a:off x="0" y="0"/>
                      <a:ext cx="8341468" cy="4853805"/>
                    </a:xfrm>
                    <a:prstGeom prst="rect">
                      <a:avLst/>
                    </a:prstGeom>
                  </pic:spPr>
                </pic:pic>
              </a:graphicData>
            </a:graphic>
          </wp:inline>
        </w:drawing>
      </w:r>
    </w:p>
    <w:p w14:paraId="2D506E47" w14:textId="4E8519B6" w:rsidR="009B402D" w:rsidRDefault="009B402D" w:rsidP="009B402D">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5</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01A356DD" w14:textId="77777777" w:rsidR="00AB5120" w:rsidRDefault="00AB5120" w:rsidP="009B402D">
      <w:pPr>
        <w:jc w:val="both"/>
        <w:rPr>
          <w:rFonts w:ascii="Arial" w:hAnsi="Arial" w:cs="Arial"/>
          <w:sz w:val="20"/>
          <w:szCs w:val="20"/>
          <w:lang w:val="en-IE"/>
        </w:rPr>
        <w:sectPr w:rsidR="00AB5120" w:rsidSect="00B153A9">
          <w:pgSz w:w="16838" w:h="11906" w:orient="landscape"/>
          <w:pgMar w:top="1440" w:right="1440" w:bottom="1440" w:left="1440" w:header="708" w:footer="708" w:gutter="0"/>
          <w:cols w:space="708"/>
          <w:docGrid w:linePitch="360"/>
        </w:sectPr>
      </w:pPr>
    </w:p>
    <w:p w14:paraId="7248112F" w14:textId="77777777" w:rsidR="00AB5120" w:rsidRDefault="00AB5120" w:rsidP="009B402D">
      <w:pPr>
        <w:jc w:val="both"/>
        <w:rPr>
          <w:rFonts w:ascii="Arial" w:hAnsi="Arial" w:cs="Arial"/>
          <w:sz w:val="20"/>
          <w:szCs w:val="20"/>
          <w:lang w:val="en-IE"/>
        </w:rPr>
      </w:pPr>
    </w:p>
    <w:p w14:paraId="51C81B0E" w14:textId="77777777" w:rsidR="009B402D" w:rsidRDefault="00AB5120" w:rsidP="009B402D">
      <w:pPr>
        <w:jc w:val="center"/>
        <w:rPr>
          <w:rFonts w:ascii="Arial" w:hAnsi="Arial" w:cs="Arial"/>
          <w:sz w:val="20"/>
          <w:szCs w:val="20"/>
        </w:rPr>
      </w:pPr>
      <w:r>
        <w:rPr>
          <w:rFonts w:ascii="Arial" w:hAnsi="Arial" w:cs="Arial"/>
          <w:noProof/>
          <w:sz w:val="20"/>
          <w:szCs w:val="20"/>
        </w:rPr>
        <w:drawing>
          <wp:inline distT="0" distB="0" distL="0" distR="0" wp14:anchorId="4A03D5D7" wp14:editId="102F7306">
            <wp:extent cx="7818713" cy="4924926"/>
            <wp:effectExtent l="0" t="0" r="5080" b="3175"/>
            <wp:docPr id="16400789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78967" name="Picture 1640078967"/>
                    <pic:cNvPicPr/>
                  </pic:nvPicPr>
                  <pic:blipFill>
                    <a:blip r:embed="rId25">
                      <a:extLst>
                        <a:ext uri="{28A0092B-C50C-407E-A947-70E740481C1C}">
                          <a14:useLocalDpi xmlns:a14="http://schemas.microsoft.com/office/drawing/2010/main" val="0"/>
                        </a:ext>
                      </a:extLst>
                    </a:blip>
                    <a:stretch>
                      <a:fillRect/>
                    </a:stretch>
                  </pic:blipFill>
                  <pic:spPr>
                    <a:xfrm>
                      <a:off x="0" y="0"/>
                      <a:ext cx="7826144" cy="4929606"/>
                    </a:xfrm>
                    <a:prstGeom prst="rect">
                      <a:avLst/>
                    </a:prstGeom>
                  </pic:spPr>
                </pic:pic>
              </a:graphicData>
            </a:graphic>
          </wp:inline>
        </w:drawing>
      </w:r>
    </w:p>
    <w:p w14:paraId="04C2CB85" w14:textId="00E98EEF" w:rsidR="00AB5120" w:rsidRDefault="00AB5120" w:rsidP="00AB5120">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6</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40066237" w14:textId="77777777" w:rsidR="00ED3E83" w:rsidRDefault="00ED3E83" w:rsidP="00AB5120">
      <w:pPr>
        <w:jc w:val="both"/>
        <w:rPr>
          <w:rFonts w:ascii="Arial" w:hAnsi="Arial" w:cs="Arial"/>
          <w:sz w:val="20"/>
          <w:szCs w:val="20"/>
          <w:lang w:val="en-IE"/>
        </w:rPr>
        <w:sectPr w:rsidR="00ED3E83" w:rsidSect="00B153A9">
          <w:pgSz w:w="16838" w:h="11906" w:orient="landscape"/>
          <w:pgMar w:top="1440" w:right="1440" w:bottom="1440" w:left="1440" w:header="708" w:footer="708" w:gutter="0"/>
          <w:cols w:space="708"/>
          <w:docGrid w:linePitch="360"/>
        </w:sectPr>
      </w:pPr>
    </w:p>
    <w:p w14:paraId="4FF2BAF6" w14:textId="77777777" w:rsidR="00ED3E83" w:rsidRDefault="00ED3E83" w:rsidP="00AB5120">
      <w:pPr>
        <w:jc w:val="both"/>
        <w:rPr>
          <w:rFonts w:ascii="Arial" w:hAnsi="Arial" w:cs="Arial"/>
          <w:sz w:val="20"/>
          <w:szCs w:val="20"/>
          <w:lang w:val="en-IE"/>
        </w:rPr>
      </w:pPr>
    </w:p>
    <w:p w14:paraId="2DFB472F" w14:textId="77777777" w:rsidR="00AB5120" w:rsidRDefault="000E4E82" w:rsidP="009B402D">
      <w:pPr>
        <w:jc w:val="center"/>
        <w:rPr>
          <w:rFonts w:ascii="Arial" w:hAnsi="Arial" w:cs="Arial"/>
          <w:sz w:val="20"/>
          <w:szCs w:val="20"/>
        </w:rPr>
      </w:pPr>
      <w:r>
        <w:rPr>
          <w:rFonts w:ascii="Arial" w:hAnsi="Arial" w:cs="Arial"/>
          <w:noProof/>
          <w:sz w:val="20"/>
          <w:szCs w:val="20"/>
        </w:rPr>
        <w:drawing>
          <wp:inline distT="0" distB="0" distL="0" distR="0" wp14:anchorId="075C5F76" wp14:editId="7DC6E0C5">
            <wp:extent cx="8863330" cy="3945255"/>
            <wp:effectExtent l="0" t="0" r="1270" b="4445"/>
            <wp:docPr id="13037225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22557" name="Picture 1303722557"/>
                    <pic:cNvPicPr/>
                  </pic:nvPicPr>
                  <pic:blipFill>
                    <a:blip r:embed="rId26">
                      <a:extLst>
                        <a:ext uri="{28A0092B-C50C-407E-A947-70E740481C1C}">
                          <a14:useLocalDpi xmlns:a14="http://schemas.microsoft.com/office/drawing/2010/main" val="0"/>
                        </a:ext>
                      </a:extLst>
                    </a:blip>
                    <a:stretch>
                      <a:fillRect/>
                    </a:stretch>
                  </pic:blipFill>
                  <pic:spPr>
                    <a:xfrm>
                      <a:off x="0" y="0"/>
                      <a:ext cx="8863330" cy="3945255"/>
                    </a:xfrm>
                    <a:prstGeom prst="rect">
                      <a:avLst/>
                    </a:prstGeom>
                  </pic:spPr>
                </pic:pic>
              </a:graphicData>
            </a:graphic>
          </wp:inline>
        </w:drawing>
      </w:r>
    </w:p>
    <w:p w14:paraId="1BE6AB6C" w14:textId="4824BB06" w:rsidR="000E4E82" w:rsidRDefault="000E4E82" w:rsidP="000E4E82">
      <w:pPr>
        <w:jc w:val="both"/>
        <w:rPr>
          <w:rFonts w:ascii="Arial" w:hAnsi="Arial" w:cs="Arial"/>
          <w:sz w:val="20"/>
          <w:szCs w:val="20"/>
          <w:lang w:val="en-IE"/>
        </w:rPr>
      </w:pPr>
      <w:r w:rsidRPr="002E63A3">
        <w:rPr>
          <w:rFonts w:ascii="Arial" w:hAnsi="Arial" w:cs="Arial"/>
          <w:b/>
          <w:bCs/>
          <w:sz w:val="20"/>
          <w:szCs w:val="20"/>
        </w:rPr>
        <w:t>Supplementary Figure S</w:t>
      </w:r>
      <w:r>
        <w:rPr>
          <w:rFonts w:ascii="Arial" w:hAnsi="Arial" w:cs="Arial"/>
          <w:b/>
          <w:bCs/>
          <w:sz w:val="20"/>
          <w:szCs w:val="20"/>
        </w:rPr>
        <w:t>1</w:t>
      </w:r>
      <w:r w:rsidR="00357FDE">
        <w:rPr>
          <w:rFonts w:ascii="Arial" w:hAnsi="Arial" w:cs="Arial"/>
          <w:b/>
          <w:bCs/>
          <w:sz w:val="20"/>
          <w:szCs w:val="20"/>
        </w:rPr>
        <w:t>7</w:t>
      </w:r>
      <w:r w:rsidRPr="00B153A9">
        <w:rPr>
          <w:rFonts w:ascii="Arial" w:hAnsi="Arial" w:cs="Arial"/>
          <w:sz w:val="20"/>
          <w:szCs w:val="20"/>
        </w:rPr>
        <w:t>.</w:t>
      </w:r>
      <w:r>
        <w:rPr>
          <w:rFonts w:ascii="Arial" w:hAnsi="Arial" w:cs="Arial"/>
          <w:sz w:val="20"/>
          <w:szCs w:val="20"/>
        </w:rPr>
        <w:t xml:space="preserve"> </w:t>
      </w:r>
      <w:r w:rsidRPr="000D1CFC">
        <w:rPr>
          <w:rFonts w:ascii="Arial" w:hAnsi="Arial" w:cs="Arial"/>
          <w:sz w:val="20"/>
          <w:szCs w:val="20"/>
          <w:lang w:val="en-IE"/>
        </w:rPr>
        <w:t xml:space="preserve">Continuation of results from </w:t>
      </w:r>
      <w:r>
        <w:rPr>
          <w:rFonts w:ascii="Arial" w:hAnsi="Arial" w:cs="Arial"/>
          <w:sz w:val="20"/>
          <w:szCs w:val="20"/>
          <w:lang w:val="en-IE"/>
        </w:rPr>
        <w:t xml:space="preserve">Supplementary </w:t>
      </w:r>
      <w:r w:rsidRPr="000D1CFC">
        <w:rPr>
          <w:rFonts w:ascii="Arial" w:hAnsi="Arial" w:cs="Arial"/>
          <w:sz w:val="20"/>
          <w:szCs w:val="20"/>
          <w:lang w:val="en-IE"/>
        </w:rPr>
        <w:t>Figure S</w:t>
      </w:r>
      <w:r w:rsidR="006E18FF">
        <w:rPr>
          <w:rFonts w:ascii="Arial" w:hAnsi="Arial" w:cs="Arial"/>
          <w:sz w:val="20"/>
          <w:szCs w:val="20"/>
          <w:lang w:val="en-IE"/>
        </w:rPr>
        <w:t>8</w:t>
      </w:r>
      <w:r w:rsidRPr="000D1CFC">
        <w:rPr>
          <w:rFonts w:ascii="Arial" w:hAnsi="Arial" w:cs="Arial"/>
          <w:sz w:val="20"/>
          <w:szCs w:val="20"/>
          <w:lang w:val="en-IE"/>
        </w:rPr>
        <w:t xml:space="preserve"> for the β-coefficients returned from the GLLVM procedure. </w:t>
      </w:r>
    </w:p>
    <w:p w14:paraId="7B4AFD70" w14:textId="77777777" w:rsidR="00DE448E" w:rsidRDefault="00DE448E" w:rsidP="000E4E82">
      <w:pPr>
        <w:jc w:val="both"/>
        <w:rPr>
          <w:rFonts w:ascii="Arial" w:hAnsi="Arial" w:cs="Arial"/>
          <w:sz w:val="20"/>
          <w:szCs w:val="20"/>
          <w:lang w:val="en-IE"/>
        </w:rPr>
        <w:sectPr w:rsidR="00DE448E" w:rsidSect="00B153A9">
          <w:pgSz w:w="16838" w:h="11906" w:orient="landscape"/>
          <w:pgMar w:top="1440" w:right="1440" w:bottom="1440" w:left="1440" w:header="708" w:footer="708" w:gutter="0"/>
          <w:cols w:space="708"/>
          <w:docGrid w:linePitch="360"/>
        </w:sectPr>
      </w:pPr>
    </w:p>
    <w:p w14:paraId="06E99C2A" w14:textId="77777777" w:rsidR="00DE448E" w:rsidRDefault="00DE448E" w:rsidP="000E4E82">
      <w:pPr>
        <w:jc w:val="both"/>
        <w:rPr>
          <w:rFonts w:ascii="Arial" w:hAnsi="Arial" w:cs="Arial"/>
          <w:sz w:val="20"/>
          <w:szCs w:val="20"/>
          <w:lang w:val="en-IE"/>
        </w:rPr>
      </w:pPr>
    </w:p>
    <w:p w14:paraId="4B18AF14" w14:textId="77777777" w:rsidR="000E4E82" w:rsidRDefault="005F6464" w:rsidP="009B402D">
      <w:pPr>
        <w:jc w:val="center"/>
        <w:rPr>
          <w:rFonts w:ascii="Arial" w:hAnsi="Arial" w:cs="Arial"/>
          <w:sz w:val="20"/>
          <w:szCs w:val="20"/>
        </w:rPr>
      </w:pPr>
      <w:r>
        <w:rPr>
          <w:rFonts w:ascii="Arial" w:hAnsi="Arial" w:cs="Arial"/>
          <w:noProof/>
          <w:sz w:val="20"/>
          <w:szCs w:val="20"/>
        </w:rPr>
        <w:drawing>
          <wp:inline distT="0" distB="0" distL="0" distR="0" wp14:anchorId="51A9DA87" wp14:editId="7C315BB5">
            <wp:extent cx="5731510" cy="7524115"/>
            <wp:effectExtent l="0" t="0" r="0" b="0"/>
            <wp:docPr id="10336410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41095" name="Picture 1033641095"/>
                    <pic:cNvPicPr/>
                  </pic:nvPicPr>
                  <pic:blipFill>
                    <a:blip r:embed="rId27">
                      <a:extLst>
                        <a:ext uri="{28A0092B-C50C-407E-A947-70E740481C1C}">
                          <a14:useLocalDpi xmlns:a14="http://schemas.microsoft.com/office/drawing/2010/main" val="0"/>
                        </a:ext>
                      </a:extLst>
                    </a:blip>
                    <a:stretch>
                      <a:fillRect/>
                    </a:stretch>
                  </pic:blipFill>
                  <pic:spPr>
                    <a:xfrm>
                      <a:off x="0" y="0"/>
                      <a:ext cx="5731510" cy="7524115"/>
                    </a:xfrm>
                    <a:prstGeom prst="rect">
                      <a:avLst/>
                    </a:prstGeom>
                  </pic:spPr>
                </pic:pic>
              </a:graphicData>
            </a:graphic>
          </wp:inline>
        </w:drawing>
      </w:r>
    </w:p>
    <w:p w14:paraId="0D017879" w14:textId="260B54C7" w:rsidR="0097088B" w:rsidRDefault="005F6464" w:rsidP="005F6464">
      <w:pPr>
        <w:jc w:val="both"/>
        <w:rPr>
          <w:rFonts w:ascii="Arial" w:hAnsi="Arial" w:cs="Arial"/>
          <w:sz w:val="20"/>
          <w:szCs w:val="20"/>
        </w:rPr>
      </w:pPr>
      <w:r w:rsidRPr="005F6464">
        <w:rPr>
          <w:rFonts w:ascii="Arial" w:hAnsi="Arial" w:cs="Arial"/>
          <w:b/>
          <w:bCs/>
          <w:sz w:val="20"/>
          <w:szCs w:val="20"/>
        </w:rPr>
        <w:t>Supplementary Figure S1</w:t>
      </w:r>
      <w:r w:rsidR="00357FDE">
        <w:rPr>
          <w:rFonts w:ascii="Arial" w:hAnsi="Arial" w:cs="Arial"/>
          <w:b/>
          <w:bCs/>
          <w:sz w:val="20"/>
          <w:szCs w:val="20"/>
        </w:rPr>
        <w:t>8</w:t>
      </w:r>
      <w:r>
        <w:rPr>
          <w:rFonts w:ascii="Arial" w:hAnsi="Arial" w:cs="Arial"/>
          <w:sz w:val="20"/>
          <w:szCs w:val="20"/>
        </w:rPr>
        <w:t>. CODA-LASSO regression of months regressed against functional abundances for Water Tank samples using (</w:t>
      </w:r>
      <w:r w:rsidRPr="005F6464">
        <w:rPr>
          <w:rFonts w:ascii="Arial" w:hAnsi="Arial" w:cs="Arial"/>
          <w:b/>
          <w:bCs/>
          <w:sz w:val="20"/>
          <w:szCs w:val="20"/>
        </w:rPr>
        <w:t>A</w:t>
      </w:r>
      <w:r>
        <w:rPr>
          <w:rFonts w:ascii="Arial" w:hAnsi="Arial" w:cs="Arial"/>
          <w:sz w:val="20"/>
          <w:szCs w:val="20"/>
        </w:rPr>
        <w:t>) MetaCyc pathways recovered from PICRUSt2 software on 16S rRNA based OTUs and (</w:t>
      </w:r>
      <w:r w:rsidRPr="005F6464">
        <w:rPr>
          <w:rFonts w:ascii="Arial" w:hAnsi="Arial" w:cs="Arial"/>
          <w:b/>
          <w:bCs/>
          <w:sz w:val="20"/>
          <w:szCs w:val="20"/>
        </w:rPr>
        <w:t>B</w:t>
      </w:r>
      <w:r>
        <w:rPr>
          <w:rFonts w:ascii="Arial" w:hAnsi="Arial" w:cs="Arial"/>
          <w:sz w:val="20"/>
          <w:szCs w:val="20"/>
        </w:rPr>
        <w:t xml:space="preserve">) KEGG modules recovered form METABOLIC software for MAGs using the WGS approach. </w:t>
      </w:r>
      <w:r w:rsidRPr="005F6464">
        <w:rPr>
          <w:rFonts w:ascii="Arial" w:hAnsi="Arial" w:cs="Arial"/>
          <w:sz w:val="20"/>
          <w:szCs w:val="20"/>
        </w:rPr>
        <w:t xml:space="preserve">Non-zero </w:t>
      </w:r>
      <m:oMath>
        <m:r>
          <w:rPr>
            <w:rFonts w:ascii="Cambria Math" w:hAnsi="Cambria Math" w:cs="Arial"/>
            <w:sz w:val="20"/>
            <w:szCs w:val="20"/>
          </w:rPr>
          <m:t>β-</m:t>
        </m:r>
      </m:oMath>
      <w:r w:rsidRPr="005F6464">
        <w:rPr>
          <w:rFonts w:ascii="Arial" w:hAnsi="Arial" w:cs="Arial"/>
          <w:sz w:val="20"/>
          <w:szCs w:val="20"/>
        </w:rPr>
        <w:t xml:space="preserve">coefficients returned from CODA-LASSO procedure </w:t>
      </w:r>
      <w:r>
        <w:rPr>
          <w:rFonts w:ascii="Arial" w:hAnsi="Arial" w:cs="Arial"/>
          <w:sz w:val="20"/>
          <w:szCs w:val="20"/>
        </w:rPr>
        <w:t>are shown as</w:t>
      </w:r>
      <w:r w:rsidRPr="005F6464">
        <w:rPr>
          <w:rFonts w:ascii="Arial" w:hAnsi="Arial" w:cs="Arial"/>
          <w:sz w:val="20"/>
          <w:szCs w:val="20"/>
        </w:rPr>
        <w:t xml:space="preserve"> two disjoint sets (those that are </w:t>
      </w:r>
      <w:r>
        <w:rPr>
          <w:rFonts w:ascii="Arial" w:hAnsi="Arial" w:cs="Arial"/>
          <w:sz w:val="20"/>
          <w:szCs w:val="20"/>
        </w:rPr>
        <w:t>increasing with months</w:t>
      </w:r>
      <w:r w:rsidRPr="005F6464">
        <w:rPr>
          <w:rFonts w:ascii="Arial" w:hAnsi="Arial" w:cs="Arial"/>
          <w:sz w:val="20"/>
          <w:szCs w:val="20"/>
        </w:rPr>
        <w:t xml:space="preserve"> (positive; green) and those that </w:t>
      </w:r>
      <w:r>
        <w:rPr>
          <w:rFonts w:ascii="Arial" w:hAnsi="Arial" w:cs="Arial"/>
          <w:sz w:val="20"/>
          <w:szCs w:val="20"/>
        </w:rPr>
        <w:t>are decreasing with months</w:t>
      </w:r>
      <w:r w:rsidRPr="005F6464">
        <w:rPr>
          <w:rFonts w:ascii="Arial" w:hAnsi="Arial" w:cs="Arial"/>
          <w:sz w:val="20"/>
          <w:szCs w:val="20"/>
        </w:rPr>
        <w:t xml:space="preserve"> (negative; red). </w:t>
      </w:r>
      <w:r>
        <w:rPr>
          <w:rFonts w:ascii="Arial" w:hAnsi="Arial" w:cs="Arial"/>
          <w:sz w:val="20"/>
          <w:szCs w:val="20"/>
        </w:rPr>
        <w:t>The insets show prediction quality of fitting with the predictions from CODA-LASSO procedure shown on the x-axis and the actual values shown on the y-axis.</w:t>
      </w:r>
    </w:p>
    <w:p w14:paraId="0C776425" w14:textId="77777777" w:rsidR="00F54C65" w:rsidRDefault="00F54C65" w:rsidP="005F6464">
      <w:pPr>
        <w:jc w:val="both"/>
        <w:rPr>
          <w:rFonts w:ascii="Arial" w:hAnsi="Arial" w:cs="Arial"/>
          <w:sz w:val="20"/>
          <w:szCs w:val="20"/>
        </w:rPr>
        <w:sectPr w:rsidR="00F54C65" w:rsidSect="005F6464">
          <w:pgSz w:w="11906" w:h="16838"/>
          <w:pgMar w:top="1440" w:right="1440" w:bottom="1440" w:left="1440" w:header="708" w:footer="708" w:gutter="0"/>
          <w:cols w:space="708"/>
          <w:docGrid w:linePitch="360"/>
        </w:sectPr>
      </w:pPr>
    </w:p>
    <w:p w14:paraId="5B499D08" w14:textId="77777777" w:rsidR="00F54C65" w:rsidRDefault="00CC12B3" w:rsidP="00CC12B3">
      <w:pPr>
        <w:jc w:val="center"/>
        <w:rPr>
          <w:rFonts w:ascii="Arial" w:hAnsi="Arial" w:cs="Arial"/>
          <w:sz w:val="20"/>
          <w:szCs w:val="20"/>
        </w:rPr>
      </w:pPr>
      <w:r>
        <w:rPr>
          <w:rFonts w:ascii="Arial" w:hAnsi="Arial" w:cs="Arial"/>
          <w:noProof/>
          <w:sz w:val="20"/>
          <w:szCs w:val="20"/>
        </w:rPr>
        <w:lastRenderedPageBreak/>
        <w:drawing>
          <wp:inline distT="0" distB="0" distL="0" distR="0" wp14:anchorId="0C9839D3" wp14:editId="46EF0BEC">
            <wp:extent cx="5019774" cy="7251032"/>
            <wp:effectExtent l="0" t="0" r="0" b="1270"/>
            <wp:docPr id="11771548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54890" name="Picture 1177154890"/>
                    <pic:cNvPicPr/>
                  </pic:nvPicPr>
                  <pic:blipFill>
                    <a:blip r:embed="rId28">
                      <a:extLst>
                        <a:ext uri="{28A0092B-C50C-407E-A947-70E740481C1C}">
                          <a14:useLocalDpi xmlns:a14="http://schemas.microsoft.com/office/drawing/2010/main" val="0"/>
                        </a:ext>
                      </a:extLst>
                    </a:blip>
                    <a:stretch>
                      <a:fillRect/>
                    </a:stretch>
                  </pic:blipFill>
                  <pic:spPr>
                    <a:xfrm>
                      <a:off x="0" y="0"/>
                      <a:ext cx="5023180" cy="7255951"/>
                    </a:xfrm>
                    <a:prstGeom prst="rect">
                      <a:avLst/>
                    </a:prstGeom>
                  </pic:spPr>
                </pic:pic>
              </a:graphicData>
            </a:graphic>
          </wp:inline>
        </w:drawing>
      </w:r>
    </w:p>
    <w:p w14:paraId="321A2196" w14:textId="369BDEAE" w:rsidR="00CC12B3" w:rsidRDefault="00CC12B3" w:rsidP="00CC12B3">
      <w:pPr>
        <w:jc w:val="both"/>
        <w:rPr>
          <w:rFonts w:ascii="Arial" w:hAnsi="Arial" w:cs="Arial"/>
          <w:sz w:val="20"/>
          <w:szCs w:val="20"/>
        </w:rPr>
      </w:pPr>
      <w:r w:rsidRPr="005F6464">
        <w:rPr>
          <w:rFonts w:ascii="Arial" w:hAnsi="Arial" w:cs="Arial"/>
          <w:b/>
          <w:bCs/>
          <w:sz w:val="20"/>
          <w:szCs w:val="20"/>
        </w:rPr>
        <w:t>Supplementary Figure S1</w:t>
      </w:r>
      <w:r w:rsidR="00357FDE">
        <w:rPr>
          <w:rFonts w:ascii="Arial" w:hAnsi="Arial" w:cs="Arial"/>
          <w:b/>
          <w:bCs/>
          <w:sz w:val="20"/>
          <w:szCs w:val="20"/>
        </w:rPr>
        <w:t>9</w:t>
      </w:r>
      <w:r>
        <w:rPr>
          <w:rFonts w:ascii="Arial" w:hAnsi="Arial" w:cs="Arial"/>
          <w:sz w:val="20"/>
          <w:szCs w:val="20"/>
        </w:rPr>
        <w:t>. CODA-LASSO regression of months regressed against functional abundances for Biofilm</w:t>
      </w:r>
      <w:r w:rsidR="009404FA">
        <w:rPr>
          <w:rFonts w:ascii="Arial" w:hAnsi="Arial" w:cs="Arial"/>
          <w:sz w:val="20"/>
          <w:szCs w:val="20"/>
        </w:rPr>
        <w:t xml:space="preserve"> Concrete</w:t>
      </w:r>
      <w:r>
        <w:rPr>
          <w:rFonts w:ascii="Arial" w:hAnsi="Arial" w:cs="Arial"/>
          <w:sz w:val="20"/>
          <w:szCs w:val="20"/>
        </w:rPr>
        <w:t xml:space="preserve"> samples using (</w:t>
      </w:r>
      <w:r w:rsidRPr="005F6464">
        <w:rPr>
          <w:rFonts w:ascii="Arial" w:hAnsi="Arial" w:cs="Arial"/>
          <w:b/>
          <w:bCs/>
          <w:sz w:val="20"/>
          <w:szCs w:val="20"/>
        </w:rPr>
        <w:t>A</w:t>
      </w:r>
      <w:r>
        <w:rPr>
          <w:rFonts w:ascii="Arial" w:hAnsi="Arial" w:cs="Arial"/>
          <w:sz w:val="20"/>
          <w:szCs w:val="20"/>
        </w:rPr>
        <w:t>) MetaCyc pathways recovered from PICRUSt2 software on 16S rRNA based OTUs and (</w:t>
      </w:r>
      <w:r w:rsidRPr="005F6464">
        <w:rPr>
          <w:rFonts w:ascii="Arial" w:hAnsi="Arial" w:cs="Arial"/>
          <w:b/>
          <w:bCs/>
          <w:sz w:val="20"/>
          <w:szCs w:val="20"/>
        </w:rPr>
        <w:t>B</w:t>
      </w:r>
      <w:r>
        <w:rPr>
          <w:rFonts w:ascii="Arial" w:hAnsi="Arial" w:cs="Arial"/>
          <w:sz w:val="20"/>
          <w:szCs w:val="20"/>
        </w:rPr>
        <w:t xml:space="preserve">) KEGG modules recovered form METABOLIC software for MAGs using the WGS approach. </w:t>
      </w:r>
      <w:r w:rsidRPr="005F6464">
        <w:rPr>
          <w:rFonts w:ascii="Arial" w:hAnsi="Arial" w:cs="Arial"/>
          <w:sz w:val="20"/>
          <w:szCs w:val="20"/>
        </w:rPr>
        <w:t xml:space="preserve">Non-zero </w:t>
      </w:r>
      <m:oMath>
        <m:r>
          <w:rPr>
            <w:rFonts w:ascii="Cambria Math" w:hAnsi="Cambria Math" w:cs="Arial"/>
            <w:sz w:val="20"/>
            <w:szCs w:val="20"/>
          </w:rPr>
          <m:t>β-</m:t>
        </m:r>
      </m:oMath>
      <w:r w:rsidRPr="005F6464">
        <w:rPr>
          <w:rFonts w:ascii="Arial" w:hAnsi="Arial" w:cs="Arial"/>
          <w:sz w:val="20"/>
          <w:szCs w:val="20"/>
        </w:rPr>
        <w:t xml:space="preserve">coefficients returned from CODA-LASSO procedure </w:t>
      </w:r>
      <w:r>
        <w:rPr>
          <w:rFonts w:ascii="Arial" w:hAnsi="Arial" w:cs="Arial"/>
          <w:sz w:val="20"/>
          <w:szCs w:val="20"/>
        </w:rPr>
        <w:t>are shown as</w:t>
      </w:r>
      <w:r w:rsidRPr="005F6464">
        <w:rPr>
          <w:rFonts w:ascii="Arial" w:hAnsi="Arial" w:cs="Arial"/>
          <w:sz w:val="20"/>
          <w:szCs w:val="20"/>
        </w:rPr>
        <w:t xml:space="preserve"> two disjoint sets (those that are </w:t>
      </w:r>
      <w:r>
        <w:rPr>
          <w:rFonts w:ascii="Arial" w:hAnsi="Arial" w:cs="Arial"/>
          <w:sz w:val="20"/>
          <w:szCs w:val="20"/>
        </w:rPr>
        <w:t>increasing with months</w:t>
      </w:r>
      <w:r w:rsidRPr="005F6464">
        <w:rPr>
          <w:rFonts w:ascii="Arial" w:hAnsi="Arial" w:cs="Arial"/>
          <w:sz w:val="20"/>
          <w:szCs w:val="20"/>
        </w:rPr>
        <w:t xml:space="preserve"> (positive; green) and those that </w:t>
      </w:r>
      <w:r>
        <w:rPr>
          <w:rFonts w:ascii="Arial" w:hAnsi="Arial" w:cs="Arial"/>
          <w:sz w:val="20"/>
          <w:szCs w:val="20"/>
        </w:rPr>
        <w:t>are decreasing with months</w:t>
      </w:r>
      <w:r w:rsidRPr="005F6464">
        <w:rPr>
          <w:rFonts w:ascii="Arial" w:hAnsi="Arial" w:cs="Arial"/>
          <w:sz w:val="20"/>
          <w:szCs w:val="20"/>
        </w:rPr>
        <w:t xml:space="preserve"> (negative; red). </w:t>
      </w:r>
      <w:r>
        <w:rPr>
          <w:rFonts w:ascii="Arial" w:hAnsi="Arial" w:cs="Arial"/>
          <w:sz w:val="20"/>
          <w:szCs w:val="20"/>
        </w:rPr>
        <w:t>The insets show prediction quality of fitting with the predictions from CODA-LASSO procedure shown on the x-axis and the actual values shown on the y-axis.</w:t>
      </w:r>
    </w:p>
    <w:p w14:paraId="45B13EB4" w14:textId="07D77DB7" w:rsidR="00E725E9" w:rsidRDefault="00E725E9">
      <w:pPr>
        <w:rPr>
          <w:rFonts w:ascii="Arial" w:hAnsi="Arial" w:cs="Arial"/>
          <w:sz w:val="20"/>
          <w:szCs w:val="20"/>
        </w:rPr>
      </w:pPr>
      <w:r>
        <w:rPr>
          <w:rFonts w:ascii="Arial" w:hAnsi="Arial" w:cs="Arial"/>
          <w:sz w:val="20"/>
          <w:szCs w:val="20"/>
        </w:rPr>
        <w:br w:type="page"/>
      </w:r>
    </w:p>
    <w:p w14:paraId="54DDA45E" w14:textId="77777777" w:rsidR="00656410" w:rsidRDefault="00E725E9" w:rsidP="00E725E9">
      <w:pPr>
        <w:jc w:val="center"/>
        <w:rPr>
          <w:rFonts w:ascii="Arial" w:hAnsi="Arial" w:cs="Arial"/>
          <w:sz w:val="20"/>
          <w:szCs w:val="20"/>
        </w:rPr>
      </w:pPr>
      <w:r>
        <w:rPr>
          <w:rFonts w:ascii="Arial" w:hAnsi="Arial" w:cs="Arial"/>
          <w:noProof/>
          <w:sz w:val="20"/>
          <w:szCs w:val="20"/>
        </w:rPr>
        <w:lastRenderedPageBreak/>
        <w:drawing>
          <wp:inline distT="0" distB="0" distL="0" distR="0" wp14:anchorId="3FA42876" wp14:editId="537284D8">
            <wp:extent cx="4857174" cy="7360255"/>
            <wp:effectExtent l="0" t="0" r="635" b="0"/>
            <wp:docPr id="4504578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0441" cy="7380359"/>
                    </a:xfrm>
                    <a:prstGeom prst="rect">
                      <a:avLst/>
                    </a:prstGeom>
                    <a:noFill/>
                  </pic:spPr>
                </pic:pic>
              </a:graphicData>
            </a:graphic>
          </wp:inline>
        </w:drawing>
      </w:r>
    </w:p>
    <w:p w14:paraId="173B484C" w14:textId="77777777" w:rsidR="00E725E9" w:rsidRPr="00E725E9" w:rsidRDefault="00E725E9" w:rsidP="00E725E9">
      <w:pPr>
        <w:jc w:val="center"/>
        <w:rPr>
          <w:rFonts w:ascii="Arial" w:hAnsi="Arial" w:cs="Arial"/>
          <w:color w:val="EE0000"/>
          <w:sz w:val="20"/>
          <w:szCs w:val="20"/>
        </w:rPr>
      </w:pPr>
    </w:p>
    <w:p w14:paraId="3810EF9F" w14:textId="6D18DB18" w:rsidR="00E725E9" w:rsidRPr="006E18FF" w:rsidRDefault="00E725E9" w:rsidP="00E725E9">
      <w:pPr>
        <w:jc w:val="both"/>
        <w:rPr>
          <w:rFonts w:ascii="Arial" w:hAnsi="Arial" w:cs="Arial"/>
          <w:color w:val="000000" w:themeColor="text1"/>
          <w:sz w:val="20"/>
          <w:szCs w:val="20"/>
        </w:rPr>
        <w:sectPr w:rsidR="00E725E9" w:rsidRPr="006E18FF" w:rsidSect="005F6464">
          <w:pgSz w:w="11906" w:h="16838"/>
          <w:pgMar w:top="1440" w:right="1440" w:bottom="1440" w:left="1440" w:header="708" w:footer="708" w:gutter="0"/>
          <w:cols w:space="708"/>
          <w:docGrid w:linePitch="360"/>
        </w:sectPr>
      </w:pPr>
      <w:r w:rsidRPr="006E18FF">
        <w:rPr>
          <w:rFonts w:ascii="Arial" w:hAnsi="Arial" w:cs="Arial"/>
          <w:b/>
          <w:bCs/>
          <w:color w:val="000000" w:themeColor="text1"/>
          <w:sz w:val="20"/>
          <w:szCs w:val="20"/>
        </w:rPr>
        <w:t>Supplementary Figure S20</w:t>
      </w:r>
      <w:r w:rsidRPr="006E18FF">
        <w:rPr>
          <w:rFonts w:ascii="Arial" w:hAnsi="Arial" w:cs="Arial"/>
          <w:color w:val="000000" w:themeColor="text1"/>
          <w:sz w:val="20"/>
          <w:szCs w:val="20"/>
        </w:rPr>
        <w:t>. CODA-LASSO regression of months regressed against taxonomic abundances using MAGs data with the WGS approach for (</w:t>
      </w:r>
      <w:r w:rsidRPr="006E18FF">
        <w:rPr>
          <w:rFonts w:ascii="Arial" w:hAnsi="Arial" w:cs="Arial"/>
          <w:b/>
          <w:bCs/>
          <w:color w:val="000000" w:themeColor="text1"/>
          <w:sz w:val="20"/>
          <w:szCs w:val="20"/>
        </w:rPr>
        <w:t>A</w:t>
      </w:r>
      <w:r w:rsidRPr="006E18FF">
        <w:rPr>
          <w:rFonts w:ascii="Arial" w:hAnsi="Arial" w:cs="Arial"/>
          <w:color w:val="000000" w:themeColor="text1"/>
          <w:sz w:val="20"/>
          <w:szCs w:val="20"/>
        </w:rPr>
        <w:t>) Tank Water samples and (</w:t>
      </w:r>
      <w:r w:rsidRPr="006E18FF">
        <w:rPr>
          <w:rFonts w:ascii="Arial" w:hAnsi="Arial" w:cs="Arial"/>
          <w:b/>
          <w:bCs/>
          <w:color w:val="000000" w:themeColor="text1"/>
          <w:sz w:val="20"/>
          <w:szCs w:val="20"/>
        </w:rPr>
        <w:t>B</w:t>
      </w:r>
      <w:r w:rsidRPr="006E18FF">
        <w:rPr>
          <w:rFonts w:ascii="Arial" w:hAnsi="Arial" w:cs="Arial"/>
          <w:color w:val="000000" w:themeColor="text1"/>
          <w:sz w:val="20"/>
          <w:szCs w:val="20"/>
        </w:rPr>
        <w:t xml:space="preserve">) Concrete biofilm samples. Non-zero </w:t>
      </w:r>
      <m:oMath>
        <m:r>
          <w:rPr>
            <w:rFonts w:ascii="Cambria Math" w:hAnsi="Cambria Math" w:cs="Arial"/>
            <w:color w:val="000000" w:themeColor="text1"/>
            <w:sz w:val="20"/>
            <w:szCs w:val="20"/>
          </w:rPr>
          <m:t>β-</m:t>
        </m:r>
      </m:oMath>
      <w:r w:rsidRPr="006E18FF">
        <w:rPr>
          <w:rFonts w:ascii="Arial" w:hAnsi="Arial" w:cs="Arial"/>
          <w:color w:val="000000" w:themeColor="text1"/>
          <w:sz w:val="20"/>
          <w:szCs w:val="20"/>
        </w:rPr>
        <w:t>coefficients returned from CODA-LASSO procedure are shown as two disjoint sets (those that are increasing with months (positive; green) and those that are decreasing with months (negative; red). The insets show prediction quality of fitting with the predictions from CODA-LASSO procedure shown on the x-axis and the actual values shown on the y-axis.</w:t>
      </w:r>
    </w:p>
    <w:p w14:paraId="7253FD90" w14:textId="77777777" w:rsidR="00EC25E5" w:rsidRDefault="00EC25E5" w:rsidP="00CC12B3">
      <w:pPr>
        <w:jc w:val="both"/>
        <w:rPr>
          <w:rFonts w:ascii="Arial" w:hAnsi="Arial" w:cs="Arial"/>
          <w:sz w:val="20"/>
          <w:szCs w:val="20"/>
        </w:rPr>
      </w:pPr>
    </w:p>
    <w:p w14:paraId="1B33605F" w14:textId="77777777" w:rsidR="00CC12B3" w:rsidRDefault="00CC12B3" w:rsidP="005F6464">
      <w:pPr>
        <w:jc w:val="both"/>
        <w:rPr>
          <w:rFonts w:ascii="Arial" w:hAnsi="Arial" w:cs="Arial"/>
          <w:sz w:val="20"/>
          <w:szCs w:val="20"/>
        </w:rPr>
      </w:pPr>
    </w:p>
    <w:p w14:paraId="1D04D516" w14:textId="77777777" w:rsidR="00CC12B3" w:rsidRDefault="00CC12B3" w:rsidP="005F6464">
      <w:pPr>
        <w:jc w:val="both"/>
        <w:rPr>
          <w:rFonts w:ascii="Arial" w:hAnsi="Arial" w:cs="Arial"/>
          <w:sz w:val="20"/>
          <w:szCs w:val="20"/>
        </w:rPr>
      </w:pPr>
    </w:p>
    <w:p w14:paraId="5D6F65C9" w14:textId="77777777" w:rsidR="005F6464" w:rsidRDefault="005F6464" w:rsidP="005F6464">
      <w:pPr>
        <w:jc w:val="both"/>
        <w:rPr>
          <w:rFonts w:ascii="Arial" w:hAnsi="Arial" w:cs="Arial"/>
          <w:sz w:val="20"/>
          <w:szCs w:val="20"/>
        </w:rPr>
      </w:pPr>
      <w:r>
        <w:rPr>
          <w:rFonts w:ascii="Arial" w:hAnsi="Arial" w:cs="Arial"/>
          <w:sz w:val="20"/>
          <w:szCs w:val="20"/>
        </w:rPr>
        <w:t xml:space="preserve"> </w:t>
      </w:r>
      <w:r w:rsidR="00FD52B6">
        <w:rPr>
          <w:rFonts w:ascii="Arial" w:hAnsi="Arial" w:cs="Arial"/>
          <w:noProof/>
          <w:sz w:val="20"/>
          <w:szCs w:val="20"/>
        </w:rPr>
        <w:drawing>
          <wp:inline distT="0" distB="0" distL="0" distR="0" wp14:anchorId="5BA94662" wp14:editId="07FDFBCA">
            <wp:extent cx="5731510" cy="7103745"/>
            <wp:effectExtent l="0" t="0" r="0" b="0"/>
            <wp:docPr id="9076722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72291" name="Picture 907672291"/>
                    <pic:cNvPicPr/>
                  </pic:nvPicPr>
                  <pic:blipFill>
                    <a:blip r:embed="rId30">
                      <a:extLst>
                        <a:ext uri="{28A0092B-C50C-407E-A947-70E740481C1C}">
                          <a14:useLocalDpi xmlns:a14="http://schemas.microsoft.com/office/drawing/2010/main" val="0"/>
                        </a:ext>
                      </a:extLst>
                    </a:blip>
                    <a:stretch>
                      <a:fillRect/>
                    </a:stretch>
                  </pic:blipFill>
                  <pic:spPr>
                    <a:xfrm>
                      <a:off x="0" y="0"/>
                      <a:ext cx="5731510" cy="7103745"/>
                    </a:xfrm>
                    <a:prstGeom prst="rect">
                      <a:avLst/>
                    </a:prstGeom>
                  </pic:spPr>
                </pic:pic>
              </a:graphicData>
            </a:graphic>
          </wp:inline>
        </w:drawing>
      </w:r>
    </w:p>
    <w:p w14:paraId="15A0C416" w14:textId="4BE0D297" w:rsidR="00FD52B6" w:rsidRDefault="00FD52B6" w:rsidP="005F6464">
      <w:pPr>
        <w:jc w:val="both"/>
        <w:rPr>
          <w:rFonts w:ascii="Arial" w:hAnsi="Arial" w:cs="Arial"/>
          <w:sz w:val="20"/>
          <w:szCs w:val="20"/>
        </w:rPr>
      </w:pPr>
      <w:r w:rsidRPr="00FD52B6">
        <w:rPr>
          <w:rFonts w:ascii="Arial" w:hAnsi="Arial" w:cs="Arial"/>
          <w:b/>
          <w:bCs/>
          <w:sz w:val="20"/>
          <w:szCs w:val="20"/>
        </w:rPr>
        <w:t>Supplementary Figure S</w:t>
      </w:r>
      <w:r w:rsidR="00357FDE">
        <w:rPr>
          <w:rFonts w:ascii="Arial" w:hAnsi="Arial" w:cs="Arial"/>
          <w:b/>
          <w:bCs/>
          <w:sz w:val="20"/>
          <w:szCs w:val="20"/>
        </w:rPr>
        <w:t>2</w:t>
      </w:r>
      <w:r w:rsidR="00E725E9">
        <w:rPr>
          <w:rFonts w:ascii="Arial" w:hAnsi="Arial" w:cs="Arial"/>
          <w:b/>
          <w:bCs/>
          <w:sz w:val="20"/>
          <w:szCs w:val="20"/>
        </w:rPr>
        <w:t>1</w:t>
      </w:r>
      <w:r w:rsidRPr="00FD52B6">
        <w:rPr>
          <w:rFonts w:ascii="Arial" w:hAnsi="Arial" w:cs="Arial"/>
          <w:sz w:val="20"/>
          <w:szCs w:val="20"/>
        </w:rPr>
        <w:t xml:space="preserve">. Constrained </w:t>
      </w:r>
      <w:r>
        <w:rPr>
          <w:rFonts w:ascii="Arial" w:hAnsi="Arial" w:cs="Arial"/>
          <w:sz w:val="20"/>
          <w:szCs w:val="20"/>
        </w:rPr>
        <w:t>o</w:t>
      </w:r>
      <w:r w:rsidRPr="00FD52B6">
        <w:rPr>
          <w:rFonts w:ascii="Arial" w:hAnsi="Arial" w:cs="Arial"/>
          <w:sz w:val="20"/>
          <w:szCs w:val="20"/>
        </w:rPr>
        <w:t xml:space="preserve">rdination </w:t>
      </w:r>
      <w:r>
        <w:rPr>
          <w:rFonts w:ascii="Arial" w:hAnsi="Arial" w:cs="Arial"/>
          <w:sz w:val="20"/>
          <w:szCs w:val="20"/>
        </w:rPr>
        <w:t>r</w:t>
      </w:r>
      <w:r w:rsidRPr="00FD52B6">
        <w:rPr>
          <w:rFonts w:ascii="Arial" w:hAnsi="Arial" w:cs="Arial"/>
          <w:sz w:val="20"/>
          <w:szCs w:val="20"/>
        </w:rPr>
        <w:t>esults</w:t>
      </w:r>
      <w:r>
        <w:rPr>
          <w:rFonts w:ascii="Arial" w:hAnsi="Arial" w:cs="Arial"/>
          <w:sz w:val="20"/>
          <w:szCs w:val="20"/>
        </w:rPr>
        <w:t xml:space="preserve"> for continuous covariates</w:t>
      </w:r>
      <w:r w:rsidRPr="00FD52B6">
        <w:rPr>
          <w:rFonts w:ascii="Arial" w:hAnsi="Arial" w:cs="Arial"/>
          <w:sz w:val="20"/>
          <w:szCs w:val="20"/>
        </w:rPr>
        <w:t>. We fitted smooth surfaces of the covariates on ordination plot (PCoA in this case) using penalised splines. The method uses generalised additive model by regressing the covariate as C ~ S(Dim1,Dim2), where Dim1 and Dim2 are the ordination scores extracted from PCoA</w:t>
      </w:r>
      <w:r>
        <w:rPr>
          <w:rFonts w:ascii="Arial" w:hAnsi="Arial" w:cs="Arial"/>
          <w:sz w:val="20"/>
          <w:szCs w:val="20"/>
        </w:rPr>
        <w:t xml:space="preserve"> (calculated using different beta diversity distances)</w:t>
      </w:r>
      <w:r w:rsidRPr="00FD52B6">
        <w:rPr>
          <w:rFonts w:ascii="Arial" w:hAnsi="Arial" w:cs="Arial"/>
          <w:sz w:val="20"/>
          <w:szCs w:val="20"/>
        </w:rPr>
        <w:t xml:space="preserve"> and S() is a spline function. We have only shown those covariates where the model fits i.e., p &lt; 0.05</w:t>
      </w:r>
      <w:r>
        <w:rPr>
          <w:rFonts w:ascii="Arial" w:hAnsi="Arial" w:cs="Arial"/>
          <w:sz w:val="20"/>
          <w:szCs w:val="20"/>
        </w:rPr>
        <w:t>.</w:t>
      </w:r>
    </w:p>
    <w:p w14:paraId="538F4154" w14:textId="77777777" w:rsidR="00FD52B6" w:rsidRDefault="00FD52B6" w:rsidP="005F6464">
      <w:pPr>
        <w:jc w:val="both"/>
        <w:rPr>
          <w:rFonts w:ascii="Arial" w:hAnsi="Arial" w:cs="Arial"/>
          <w:sz w:val="20"/>
          <w:szCs w:val="20"/>
        </w:rPr>
        <w:sectPr w:rsidR="00FD52B6" w:rsidSect="005F6464">
          <w:pgSz w:w="11906" w:h="16838"/>
          <w:pgMar w:top="1440" w:right="1440" w:bottom="1440" w:left="1440" w:header="708" w:footer="708" w:gutter="0"/>
          <w:cols w:space="708"/>
          <w:docGrid w:linePitch="360"/>
        </w:sectPr>
      </w:pPr>
    </w:p>
    <w:p w14:paraId="39CA1C57" w14:textId="77777777" w:rsidR="00FD52B6" w:rsidRDefault="00FD52B6" w:rsidP="005F6464">
      <w:pPr>
        <w:jc w:val="both"/>
        <w:rPr>
          <w:rFonts w:ascii="Arial" w:hAnsi="Arial" w:cs="Arial"/>
          <w:sz w:val="20"/>
          <w:szCs w:val="20"/>
        </w:rPr>
      </w:pPr>
      <w:r>
        <w:rPr>
          <w:rFonts w:ascii="Arial" w:hAnsi="Arial" w:cs="Arial"/>
          <w:noProof/>
          <w:sz w:val="20"/>
          <w:szCs w:val="20"/>
        </w:rPr>
        <w:lastRenderedPageBreak/>
        <w:drawing>
          <wp:inline distT="0" distB="0" distL="0" distR="0" wp14:anchorId="35B13439" wp14:editId="6A2D3F41">
            <wp:extent cx="5731510" cy="6666865"/>
            <wp:effectExtent l="0" t="0" r="0" b="635"/>
            <wp:docPr id="15727694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69486" name="Picture 1572769486"/>
                    <pic:cNvPicPr/>
                  </pic:nvPicPr>
                  <pic:blipFill>
                    <a:blip r:embed="rId31">
                      <a:extLst>
                        <a:ext uri="{28A0092B-C50C-407E-A947-70E740481C1C}">
                          <a14:useLocalDpi xmlns:a14="http://schemas.microsoft.com/office/drawing/2010/main" val="0"/>
                        </a:ext>
                      </a:extLst>
                    </a:blip>
                    <a:stretch>
                      <a:fillRect/>
                    </a:stretch>
                  </pic:blipFill>
                  <pic:spPr>
                    <a:xfrm>
                      <a:off x="0" y="0"/>
                      <a:ext cx="5731510" cy="6666865"/>
                    </a:xfrm>
                    <a:prstGeom prst="rect">
                      <a:avLst/>
                    </a:prstGeom>
                  </pic:spPr>
                </pic:pic>
              </a:graphicData>
            </a:graphic>
          </wp:inline>
        </w:drawing>
      </w:r>
    </w:p>
    <w:p w14:paraId="19AE13DE" w14:textId="7A7ED5D8" w:rsidR="00FD52B6" w:rsidRDefault="00FD52B6" w:rsidP="005F6464">
      <w:pPr>
        <w:jc w:val="both"/>
        <w:rPr>
          <w:rFonts w:ascii="Arial" w:hAnsi="Arial" w:cs="Arial"/>
          <w:sz w:val="20"/>
          <w:szCs w:val="20"/>
        </w:rPr>
      </w:pPr>
      <w:r w:rsidRPr="00FD52B6">
        <w:rPr>
          <w:rFonts w:ascii="Arial" w:hAnsi="Arial" w:cs="Arial"/>
          <w:b/>
          <w:bCs/>
          <w:sz w:val="20"/>
          <w:szCs w:val="20"/>
        </w:rPr>
        <w:t>Supplementary Figure S</w:t>
      </w:r>
      <w:r>
        <w:rPr>
          <w:rFonts w:ascii="Arial" w:hAnsi="Arial" w:cs="Arial"/>
          <w:b/>
          <w:bCs/>
          <w:sz w:val="20"/>
          <w:szCs w:val="20"/>
        </w:rPr>
        <w:t>2</w:t>
      </w:r>
      <w:r w:rsidR="00E725E9">
        <w:rPr>
          <w:rFonts w:ascii="Arial" w:hAnsi="Arial" w:cs="Arial"/>
          <w:b/>
          <w:bCs/>
          <w:sz w:val="20"/>
          <w:szCs w:val="20"/>
        </w:rPr>
        <w:t>2</w:t>
      </w:r>
      <w:r w:rsidRPr="00FD52B6">
        <w:rPr>
          <w:rFonts w:ascii="Arial" w:hAnsi="Arial" w:cs="Arial"/>
          <w:sz w:val="20"/>
          <w:szCs w:val="20"/>
        </w:rPr>
        <w:t xml:space="preserve">. </w:t>
      </w:r>
      <w:r>
        <w:rPr>
          <w:rFonts w:ascii="Arial" w:hAnsi="Arial" w:cs="Arial"/>
          <w:sz w:val="20"/>
          <w:szCs w:val="20"/>
        </w:rPr>
        <w:t>Continuation of c</w:t>
      </w:r>
      <w:r w:rsidRPr="00FD52B6">
        <w:rPr>
          <w:rFonts w:ascii="Arial" w:hAnsi="Arial" w:cs="Arial"/>
          <w:sz w:val="20"/>
          <w:szCs w:val="20"/>
        </w:rPr>
        <w:t xml:space="preserve">onstrained </w:t>
      </w:r>
      <w:r>
        <w:rPr>
          <w:rFonts w:ascii="Arial" w:hAnsi="Arial" w:cs="Arial"/>
          <w:sz w:val="20"/>
          <w:szCs w:val="20"/>
        </w:rPr>
        <w:t>o</w:t>
      </w:r>
      <w:r w:rsidRPr="00FD52B6">
        <w:rPr>
          <w:rFonts w:ascii="Arial" w:hAnsi="Arial" w:cs="Arial"/>
          <w:sz w:val="20"/>
          <w:szCs w:val="20"/>
        </w:rPr>
        <w:t xml:space="preserve">rdination </w:t>
      </w:r>
      <w:r>
        <w:rPr>
          <w:rFonts w:ascii="Arial" w:hAnsi="Arial" w:cs="Arial"/>
          <w:sz w:val="20"/>
          <w:szCs w:val="20"/>
        </w:rPr>
        <w:t>r</w:t>
      </w:r>
      <w:r w:rsidRPr="00FD52B6">
        <w:rPr>
          <w:rFonts w:ascii="Arial" w:hAnsi="Arial" w:cs="Arial"/>
          <w:sz w:val="20"/>
          <w:szCs w:val="20"/>
        </w:rPr>
        <w:t>esults</w:t>
      </w:r>
      <w:r>
        <w:rPr>
          <w:rFonts w:ascii="Arial" w:hAnsi="Arial" w:cs="Arial"/>
          <w:sz w:val="20"/>
          <w:szCs w:val="20"/>
        </w:rPr>
        <w:t xml:space="preserve"> for continuous covariates from Supplementary Figure S</w:t>
      </w:r>
      <w:r w:rsidR="006E18FF">
        <w:rPr>
          <w:rFonts w:ascii="Arial" w:hAnsi="Arial" w:cs="Arial"/>
          <w:sz w:val="20"/>
          <w:szCs w:val="20"/>
        </w:rPr>
        <w:t>21</w:t>
      </w:r>
      <w:r>
        <w:rPr>
          <w:rFonts w:ascii="Arial" w:hAnsi="Arial" w:cs="Arial"/>
          <w:sz w:val="20"/>
          <w:szCs w:val="20"/>
        </w:rPr>
        <w:t xml:space="preserve">. </w:t>
      </w:r>
    </w:p>
    <w:p w14:paraId="463CF275" w14:textId="77777777" w:rsidR="005D218F" w:rsidRDefault="005D218F" w:rsidP="005F6464">
      <w:pPr>
        <w:jc w:val="both"/>
        <w:rPr>
          <w:rFonts w:ascii="Arial" w:hAnsi="Arial" w:cs="Arial"/>
          <w:sz w:val="20"/>
          <w:szCs w:val="20"/>
        </w:rPr>
        <w:sectPr w:rsidR="005D218F" w:rsidSect="005F6464">
          <w:pgSz w:w="11906" w:h="16838"/>
          <w:pgMar w:top="1440" w:right="1440" w:bottom="1440" w:left="1440" w:header="708" w:footer="708" w:gutter="0"/>
          <w:cols w:space="708"/>
          <w:docGrid w:linePitch="360"/>
        </w:sectPr>
      </w:pPr>
    </w:p>
    <w:p w14:paraId="2B2E3EEF" w14:textId="77777777" w:rsidR="005D218F" w:rsidRPr="005D218F" w:rsidRDefault="005D218F" w:rsidP="005D218F">
      <w:pPr>
        <w:jc w:val="both"/>
        <w:rPr>
          <w:rFonts w:ascii="Arial" w:hAnsi="Arial" w:cs="Arial"/>
          <w:sz w:val="20"/>
          <w:szCs w:val="20"/>
          <w:lang w:val="en-US"/>
        </w:rPr>
      </w:pPr>
      <w:r w:rsidRPr="005D218F">
        <w:rPr>
          <w:rFonts w:ascii="Arial" w:hAnsi="Arial" w:cs="Arial"/>
          <w:b/>
          <w:bCs/>
          <w:sz w:val="20"/>
          <w:szCs w:val="20"/>
          <w:lang w:val="en-US"/>
        </w:rPr>
        <w:lastRenderedPageBreak/>
        <w:t>Supplementary Table S1</w:t>
      </w:r>
      <w:r>
        <w:rPr>
          <w:rFonts w:ascii="Arial" w:hAnsi="Arial" w:cs="Arial"/>
          <w:sz w:val="20"/>
          <w:szCs w:val="20"/>
          <w:lang w:val="en-US"/>
        </w:rPr>
        <w:t xml:space="preserve">. </w:t>
      </w:r>
      <w:r w:rsidRPr="005D218F">
        <w:rPr>
          <w:rFonts w:ascii="Arial" w:hAnsi="Arial" w:cs="Arial"/>
          <w:sz w:val="20"/>
          <w:szCs w:val="20"/>
          <w:lang w:val="en-US"/>
        </w:rPr>
        <w:t>Redundancy analysis with both selections (forward and reverse) was performed to select the most important environmental variables that explain variation in the community matrices. The initial set of variables considered are as follows (</w:t>
      </w:r>
      <w:r w:rsidRPr="005D218F">
        <w:rPr>
          <w:rFonts w:ascii="Arial" w:hAnsi="Arial" w:cs="Arial"/>
          <w:b/>
          <w:bCs/>
          <w:sz w:val="20"/>
          <w:szCs w:val="20"/>
          <w:lang w:val="en-US"/>
        </w:rPr>
        <w:t>with those selected in the final PERMANOVA models in bold case)</w:t>
      </w:r>
      <w:r w:rsidRPr="005D218F">
        <w:rPr>
          <w:rFonts w:ascii="Arial" w:hAnsi="Arial" w:cs="Arial"/>
          <w:sz w:val="20"/>
          <w:szCs w:val="20"/>
          <w:lang w:val="en-US"/>
        </w:rPr>
        <w:t>: system type (</w:t>
      </w:r>
      <w:r w:rsidRPr="005D218F">
        <w:rPr>
          <w:rFonts w:ascii="Arial" w:hAnsi="Arial" w:cs="Arial"/>
          <w:b/>
          <w:bCs/>
          <w:sz w:val="20"/>
          <w:szCs w:val="20"/>
          <w:lang w:val="en-US"/>
        </w:rPr>
        <w:t>main distribution</w:t>
      </w:r>
      <w:r w:rsidRPr="005D218F">
        <w:rPr>
          <w:rFonts w:ascii="Arial" w:hAnsi="Arial" w:cs="Arial"/>
          <w:sz w:val="20"/>
          <w:szCs w:val="20"/>
          <w:lang w:val="en-US"/>
        </w:rPr>
        <w:t xml:space="preserve">, </w:t>
      </w:r>
      <w:r w:rsidRPr="005D218F">
        <w:rPr>
          <w:rFonts w:ascii="Arial" w:hAnsi="Arial" w:cs="Arial"/>
          <w:b/>
          <w:bCs/>
          <w:sz w:val="20"/>
          <w:szCs w:val="20"/>
          <w:lang w:val="en-US"/>
        </w:rPr>
        <w:t>tank</w:t>
      </w:r>
      <w:r w:rsidRPr="005D218F">
        <w:rPr>
          <w:rFonts w:ascii="Arial" w:hAnsi="Arial" w:cs="Arial"/>
          <w:sz w:val="20"/>
          <w:szCs w:val="20"/>
          <w:lang w:val="en-US"/>
        </w:rPr>
        <w:t>), sample type (</w:t>
      </w:r>
      <w:r w:rsidRPr="005D218F">
        <w:rPr>
          <w:rFonts w:ascii="Arial" w:hAnsi="Arial" w:cs="Arial"/>
          <w:b/>
          <w:bCs/>
          <w:sz w:val="20"/>
          <w:szCs w:val="20"/>
          <w:lang w:val="en-US"/>
        </w:rPr>
        <w:t>water</w:t>
      </w:r>
      <w:r w:rsidRPr="005D218F">
        <w:rPr>
          <w:rFonts w:ascii="Arial" w:hAnsi="Arial" w:cs="Arial"/>
          <w:sz w:val="20"/>
          <w:szCs w:val="20"/>
          <w:lang w:val="en-US"/>
        </w:rPr>
        <w:t xml:space="preserve">, </w:t>
      </w:r>
      <w:r w:rsidRPr="005D218F">
        <w:rPr>
          <w:rFonts w:ascii="Arial" w:hAnsi="Arial" w:cs="Arial"/>
          <w:b/>
          <w:bCs/>
          <w:sz w:val="20"/>
          <w:szCs w:val="20"/>
          <w:lang w:val="en-US"/>
        </w:rPr>
        <w:t>biofilm</w:t>
      </w:r>
      <w:r w:rsidRPr="005D218F">
        <w:rPr>
          <w:rFonts w:ascii="Arial" w:hAnsi="Arial" w:cs="Arial"/>
          <w:sz w:val="20"/>
          <w:szCs w:val="20"/>
          <w:lang w:val="en-US"/>
        </w:rPr>
        <w:t xml:space="preserve">, </w:t>
      </w:r>
      <w:r w:rsidRPr="005D218F">
        <w:rPr>
          <w:rFonts w:ascii="Arial" w:hAnsi="Arial" w:cs="Arial"/>
          <w:b/>
          <w:bCs/>
          <w:sz w:val="20"/>
          <w:szCs w:val="20"/>
          <w:lang w:val="en-US"/>
        </w:rPr>
        <w:t>sediment</w:t>
      </w:r>
      <w:r w:rsidRPr="005D218F">
        <w:rPr>
          <w:rFonts w:ascii="Arial" w:hAnsi="Arial" w:cs="Arial"/>
          <w:sz w:val="20"/>
          <w:szCs w:val="20"/>
          <w:lang w:val="en-US"/>
        </w:rPr>
        <w:t>), months of monitoring from day 0 (</w:t>
      </w:r>
      <w:r w:rsidRPr="005D218F">
        <w:rPr>
          <w:rFonts w:ascii="Arial" w:hAnsi="Arial" w:cs="Arial"/>
          <w:b/>
          <w:bCs/>
          <w:sz w:val="20"/>
          <w:szCs w:val="20"/>
          <w:lang w:val="en-US"/>
        </w:rPr>
        <w:t>3 months</w:t>
      </w:r>
      <w:r w:rsidRPr="005D218F">
        <w:rPr>
          <w:rFonts w:ascii="Arial" w:hAnsi="Arial" w:cs="Arial"/>
          <w:sz w:val="20"/>
          <w:szCs w:val="20"/>
          <w:lang w:val="en-US"/>
        </w:rPr>
        <w:t xml:space="preserve">, </w:t>
      </w:r>
      <w:r w:rsidRPr="005D218F">
        <w:rPr>
          <w:rFonts w:ascii="Arial" w:hAnsi="Arial" w:cs="Arial"/>
          <w:b/>
          <w:bCs/>
          <w:sz w:val="20"/>
          <w:szCs w:val="20"/>
          <w:lang w:val="en-US"/>
        </w:rPr>
        <w:t>6 months</w:t>
      </w:r>
      <w:r w:rsidRPr="005D218F">
        <w:rPr>
          <w:rFonts w:ascii="Arial" w:hAnsi="Arial" w:cs="Arial"/>
          <w:sz w:val="20"/>
          <w:szCs w:val="20"/>
          <w:lang w:val="en-US"/>
        </w:rPr>
        <w:t xml:space="preserve">, 9 month, </w:t>
      </w:r>
      <w:r w:rsidRPr="005D218F">
        <w:rPr>
          <w:rFonts w:ascii="Arial" w:hAnsi="Arial" w:cs="Arial"/>
          <w:b/>
          <w:bCs/>
          <w:sz w:val="20"/>
          <w:szCs w:val="20"/>
          <w:lang w:val="en-US"/>
        </w:rPr>
        <w:t>12 months</w:t>
      </w:r>
      <w:r w:rsidRPr="005D218F">
        <w:rPr>
          <w:rFonts w:ascii="Arial" w:hAnsi="Arial" w:cs="Arial"/>
          <w:sz w:val="20"/>
          <w:szCs w:val="20"/>
          <w:lang w:val="en-US"/>
        </w:rPr>
        <w:t xml:space="preserve">, </w:t>
      </w:r>
      <w:r w:rsidRPr="005D218F">
        <w:rPr>
          <w:rFonts w:ascii="Arial" w:hAnsi="Arial" w:cs="Arial"/>
          <w:b/>
          <w:bCs/>
          <w:sz w:val="20"/>
          <w:szCs w:val="20"/>
          <w:lang w:val="en-US"/>
        </w:rPr>
        <w:t xml:space="preserve">Pre </w:t>
      </w:r>
      <w:r w:rsidRPr="005D218F">
        <w:rPr>
          <w:rFonts w:ascii="Arial" w:hAnsi="Arial" w:cs="Arial"/>
          <w:sz w:val="20"/>
          <w:szCs w:val="20"/>
          <w:lang w:val="en-US"/>
        </w:rPr>
        <w:t xml:space="preserve">(12 months of tank usage before the longitudinal experiment), tank material for biofilm formation (concrete, </w:t>
      </w:r>
      <w:r w:rsidRPr="005D218F">
        <w:rPr>
          <w:rFonts w:ascii="Arial" w:hAnsi="Arial" w:cs="Arial"/>
          <w:b/>
          <w:bCs/>
          <w:sz w:val="20"/>
          <w:szCs w:val="20"/>
          <w:lang w:val="en-US"/>
        </w:rPr>
        <w:t>polyethylene</w:t>
      </w:r>
      <w:r w:rsidRPr="005D218F">
        <w:rPr>
          <w:rFonts w:ascii="Arial" w:hAnsi="Arial" w:cs="Arial"/>
          <w:sz w:val="20"/>
          <w:szCs w:val="20"/>
          <w:lang w:val="en-US"/>
        </w:rPr>
        <w:t>), concrete biofilm formation (</w:t>
      </w:r>
      <w:r w:rsidRPr="005D218F">
        <w:rPr>
          <w:rFonts w:ascii="Arial" w:hAnsi="Arial" w:cs="Arial"/>
          <w:b/>
          <w:bCs/>
          <w:sz w:val="20"/>
          <w:szCs w:val="20"/>
          <w:lang w:val="en-US"/>
        </w:rPr>
        <w:t>concrete coupon</w:t>
      </w:r>
      <w:r w:rsidRPr="005D218F">
        <w:rPr>
          <w:rFonts w:ascii="Arial" w:hAnsi="Arial" w:cs="Arial"/>
          <w:sz w:val="20"/>
          <w:szCs w:val="20"/>
          <w:lang w:val="en-US"/>
        </w:rPr>
        <w:t xml:space="preserve">, </w:t>
      </w:r>
      <w:r w:rsidRPr="005D218F">
        <w:rPr>
          <w:rFonts w:ascii="Arial" w:hAnsi="Arial" w:cs="Arial"/>
          <w:b/>
          <w:bCs/>
          <w:sz w:val="20"/>
          <w:szCs w:val="20"/>
          <w:lang w:val="en-US"/>
        </w:rPr>
        <w:t>concrete wall</w:t>
      </w:r>
      <w:r w:rsidRPr="005D218F">
        <w:rPr>
          <w:rFonts w:ascii="Arial" w:hAnsi="Arial" w:cs="Arial"/>
          <w:sz w:val="20"/>
          <w:szCs w:val="20"/>
          <w:lang w:val="en-US"/>
        </w:rPr>
        <w:t>), season of sampling (</w:t>
      </w:r>
      <w:r w:rsidRPr="005D218F">
        <w:rPr>
          <w:rFonts w:ascii="Arial" w:hAnsi="Arial" w:cs="Arial"/>
          <w:b/>
          <w:bCs/>
          <w:sz w:val="20"/>
          <w:szCs w:val="20"/>
          <w:lang w:val="en-US"/>
        </w:rPr>
        <w:t>summer</w:t>
      </w:r>
      <w:r w:rsidRPr="005D218F">
        <w:rPr>
          <w:rFonts w:ascii="Arial" w:hAnsi="Arial" w:cs="Arial"/>
          <w:sz w:val="20"/>
          <w:szCs w:val="20"/>
          <w:lang w:val="en-US"/>
        </w:rPr>
        <w:t xml:space="preserve">, </w:t>
      </w:r>
      <w:r w:rsidRPr="005D218F">
        <w:rPr>
          <w:rFonts w:ascii="Arial" w:hAnsi="Arial" w:cs="Arial"/>
          <w:b/>
          <w:bCs/>
          <w:sz w:val="20"/>
          <w:szCs w:val="20"/>
          <w:lang w:val="en-US"/>
        </w:rPr>
        <w:t>autumn</w:t>
      </w:r>
      <w:r w:rsidRPr="005D218F">
        <w:rPr>
          <w:rFonts w:ascii="Arial" w:hAnsi="Arial" w:cs="Arial"/>
          <w:sz w:val="20"/>
          <w:szCs w:val="20"/>
          <w:lang w:val="en-US"/>
        </w:rPr>
        <w:t xml:space="preserve">, </w:t>
      </w:r>
      <w:r w:rsidRPr="005D218F">
        <w:rPr>
          <w:rFonts w:ascii="Arial" w:hAnsi="Arial" w:cs="Arial"/>
          <w:b/>
          <w:bCs/>
          <w:sz w:val="20"/>
          <w:szCs w:val="20"/>
          <w:lang w:val="en-US"/>
        </w:rPr>
        <w:t>winter</w:t>
      </w:r>
      <w:r w:rsidRPr="005D218F">
        <w:rPr>
          <w:rFonts w:ascii="Arial" w:hAnsi="Arial" w:cs="Arial"/>
          <w:sz w:val="20"/>
          <w:szCs w:val="20"/>
          <w:lang w:val="en-US"/>
        </w:rPr>
        <w:t xml:space="preserve">, </w:t>
      </w:r>
      <w:r w:rsidRPr="005D218F">
        <w:rPr>
          <w:rFonts w:ascii="Arial" w:hAnsi="Arial" w:cs="Arial"/>
          <w:b/>
          <w:bCs/>
          <w:sz w:val="20"/>
          <w:szCs w:val="20"/>
          <w:lang w:val="en-US"/>
        </w:rPr>
        <w:t>spring</w:t>
      </w:r>
      <w:r w:rsidRPr="005D218F">
        <w:rPr>
          <w:rFonts w:ascii="Arial" w:hAnsi="Arial" w:cs="Arial"/>
          <w:sz w:val="20"/>
          <w:szCs w:val="20"/>
          <w:lang w:val="en-US"/>
        </w:rPr>
        <w:t xml:space="preserve">), year of sampling (year 2022, </w:t>
      </w:r>
      <w:r w:rsidRPr="005D218F">
        <w:rPr>
          <w:rFonts w:ascii="Arial" w:hAnsi="Arial" w:cs="Arial"/>
          <w:b/>
          <w:bCs/>
          <w:sz w:val="20"/>
          <w:szCs w:val="20"/>
          <w:lang w:val="en-US"/>
        </w:rPr>
        <w:t>year 2023</w:t>
      </w:r>
      <w:r w:rsidRPr="005D218F">
        <w:rPr>
          <w:rFonts w:ascii="Arial" w:hAnsi="Arial" w:cs="Arial"/>
          <w:sz w:val="20"/>
          <w:szCs w:val="20"/>
          <w:lang w:val="en-US"/>
        </w:rPr>
        <w:t>), presence of microbial contamination indicators (</w:t>
      </w:r>
      <w:r w:rsidRPr="005D218F">
        <w:rPr>
          <w:rFonts w:ascii="Arial" w:hAnsi="Arial" w:cs="Arial"/>
          <w:b/>
          <w:bCs/>
          <w:sz w:val="20"/>
          <w:szCs w:val="20"/>
          <w:lang w:val="en-US"/>
        </w:rPr>
        <w:t>Total coliforms</w:t>
      </w:r>
      <w:r w:rsidRPr="005D218F">
        <w:rPr>
          <w:rFonts w:ascii="Arial" w:hAnsi="Arial" w:cs="Arial"/>
          <w:sz w:val="20"/>
          <w:szCs w:val="20"/>
          <w:lang w:val="en-US"/>
        </w:rPr>
        <w:t xml:space="preserve">, </w:t>
      </w:r>
      <w:r w:rsidRPr="005D218F">
        <w:rPr>
          <w:rFonts w:ascii="Arial" w:hAnsi="Arial" w:cs="Arial"/>
          <w:b/>
          <w:bCs/>
          <w:i/>
          <w:iCs/>
          <w:sz w:val="20"/>
          <w:szCs w:val="20"/>
          <w:lang w:val="en-US"/>
        </w:rPr>
        <w:t>Escherichia coli</w:t>
      </w:r>
      <w:r w:rsidRPr="005D218F">
        <w:rPr>
          <w:rFonts w:ascii="Arial" w:hAnsi="Arial" w:cs="Arial"/>
          <w:sz w:val="20"/>
          <w:szCs w:val="20"/>
          <w:lang w:val="en-US"/>
        </w:rPr>
        <w:t xml:space="preserve">, </w:t>
      </w:r>
      <w:r w:rsidRPr="005D218F">
        <w:rPr>
          <w:rFonts w:ascii="Arial" w:hAnsi="Arial" w:cs="Arial"/>
          <w:b/>
          <w:bCs/>
          <w:i/>
          <w:iCs/>
          <w:sz w:val="20"/>
          <w:szCs w:val="20"/>
          <w:lang w:val="en-US"/>
        </w:rPr>
        <w:t>Pseudomonas aeruginosa</w:t>
      </w:r>
      <w:r w:rsidRPr="005D218F">
        <w:rPr>
          <w:rFonts w:ascii="Arial" w:hAnsi="Arial" w:cs="Arial"/>
          <w:sz w:val="20"/>
          <w:szCs w:val="20"/>
          <w:lang w:val="en-US"/>
        </w:rPr>
        <w:t>).</w:t>
      </w:r>
    </w:p>
    <w:tbl>
      <w:tblPr>
        <w:tblW w:w="5000" w:type="pct"/>
        <w:tblCellMar>
          <w:left w:w="70" w:type="dxa"/>
          <w:right w:w="70" w:type="dxa"/>
        </w:tblCellMar>
        <w:tblLook w:val="04A0" w:firstRow="1" w:lastRow="0" w:firstColumn="1" w:lastColumn="0" w:noHBand="0" w:noVBand="1"/>
      </w:tblPr>
      <w:tblGrid>
        <w:gridCol w:w="2630"/>
        <w:gridCol w:w="1226"/>
        <w:gridCol w:w="975"/>
        <w:gridCol w:w="885"/>
        <w:gridCol w:w="930"/>
        <w:gridCol w:w="930"/>
        <w:gridCol w:w="928"/>
      </w:tblGrid>
      <w:tr w:rsidR="005D218F" w:rsidRPr="005D218F" w14:paraId="56DA1132" w14:textId="77777777" w:rsidTr="00740FB8">
        <w:trPr>
          <w:trHeight w:val="345"/>
        </w:trPr>
        <w:tc>
          <w:tcPr>
            <w:tcW w:w="1412" w:type="pct"/>
            <w:tcBorders>
              <w:top w:val="single" w:sz="8" w:space="0" w:color="auto"/>
              <w:left w:val="nil"/>
              <w:bottom w:val="single" w:sz="4" w:space="0" w:color="auto"/>
              <w:right w:val="nil"/>
            </w:tcBorders>
            <w:noWrap/>
            <w:vAlign w:val="center"/>
            <w:hideMark/>
          </w:tcPr>
          <w:p w14:paraId="283114CB" w14:textId="77777777" w:rsidR="005D218F" w:rsidRPr="005D218F" w:rsidRDefault="005D218F" w:rsidP="00740FB8">
            <w:pPr>
              <w:rPr>
                <w:rFonts w:ascii="Arial" w:eastAsia="Times New Roman" w:hAnsi="Arial" w:cs="Arial"/>
                <w:color w:val="000000"/>
                <w:kern w:val="0"/>
                <w:sz w:val="20"/>
                <w:szCs w:val="20"/>
                <w:lang w:val="en-US" w:eastAsia="es-AR"/>
                <w14:ligatures w14:val="none"/>
              </w:rPr>
            </w:pPr>
            <w:r w:rsidRPr="005D218F">
              <w:rPr>
                <w:rFonts w:ascii="Arial" w:eastAsia="Times New Roman" w:hAnsi="Arial" w:cs="Arial"/>
                <w:b/>
                <w:bCs/>
                <w:color w:val="000000"/>
                <w:kern w:val="0"/>
                <w:sz w:val="20"/>
                <w:szCs w:val="20"/>
                <w:lang w:eastAsia="es-AR"/>
                <w14:ligatures w14:val="none"/>
              </w:rPr>
              <w:t>Covariates</w:t>
            </w:r>
          </w:p>
        </w:tc>
        <w:tc>
          <w:tcPr>
            <w:tcW w:w="744" w:type="pct"/>
            <w:tcBorders>
              <w:top w:val="single" w:sz="8" w:space="0" w:color="auto"/>
              <w:left w:val="nil"/>
              <w:bottom w:val="single" w:sz="4" w:space="0" w:color="auto"/>
              <w:right w:val="nil"/>
            </w:tcBorders>
            <w:noWrap/>
            <w:vAlign w:val="center"/>
          </w:tcPr>
          <w:p w14:paraId="7DF76B89"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df</w:t>
            </w:r>
          </w:p>
        </w:tc>
        <w:tc>
          <w:tcPr>
            <w:tcW w:w="575" w:type="pct"/>
            <w:tcBorders>
              <w:top w:val="single" w:sz="8" w:space="0" w:color="auto"/>
              <w:left w:val="nil"/>
              <w:bottom w:val="single" w:sz="4" w:space="0" w:color="auto"/>
              <w:right w:val="nil"/>
            </w:tcBorders>
            <w:noWrap/>
            <w:vAlign w:val="center"/>
          </w:tcPr>
          <w:p w14:paraId="17E56507"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SS</w:t>
            </w:r>
          </w:p>
        </w:tc>
        <w:tc>
          <w:tcPr>
            <w:tcW w:w="563" w:type="pct"/>
            <w:tcBorders>
              <w:top w:val="single" w:sz="8" w:space="0" w:color="auto"/>
              <w:left w:val="nil"/>
              <w:bottom w:val="single" w:sz="4" w:space="0" w:color="auto"/>
              <w:right w:val="nil"/>
            </w:tcBorders>
            <w:noWrap/>
            <w:vAlign w:val="center"/>
          </w:tcPr>
          <w:p w14:paraId="56617391"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R</w:t>
            </w:r>
            <w:r w:rsidRPr="005D218F">
              <w:rPr>
                <w:rFonts w:ascii="Arial" w:eastAsia="Times New Roman" w:hAnsi="Arial" w:cs="Arial"/>
                <w:b/>
                <w:bCs/>
                <w:color w:val="000000"/>
                <w:kern w:val="0"/>
                <w:sz w:val="20"/>
                <w:szCs w:val="20"/>
                <w:vertAlign w:val="superscript"/>
                <w:lang w:eastAsia="es-AR"/>
                <w14:ligatures w14:val="none"/>
              </w:rPr>
              <w:t>2</w:t>
            </w:r>
          </w:p>
        </w:tc>
        <w:tc>
          <w:tcPr>
            <w:tcW w:w="569" w:type="pct"/>
            <w:tcBorders>
              <w:top w:val="single" w:sz="8" w:space="0" w:color="auto"/>
              <w:left w:val="nil"/>
              <w:bottom w:val="single" w:sz="4" w:space="0" w:color="auto"/>
              <w:right w:val="nil"/>
            </w:tcBorders>
            <w:noWrap/>
            <w:vAlign w:val="center"/>
          </w:tcPr>
          <w:p w14:paraId="739B5A17"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F</w:t>
            </w:r>
          </w:p>
        </w:tc>
        <w:tc>
          <w:tcPr>
            <w:tcW w:w="569" w:type="pct"/>
            <w:tcBorders>
              <w:top w:val="single" w:sz="8" w:space="0" w:color="auto"/>
              <w:left w:val="nil"/>
              <w:bottom w:val="single" w:sz="4" w:space="0" w:color="auto"/>
              <w:right w:val="nil"/>
            </w:tcBorders>
            <w:noWrap/>
            <w:vAlign w:val="center"/>
          </w:tcPr>
          <w:p w14:paraId="29DC0B15"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w:t>
            </w:r>
          </w:p>
        </w:tc>
        <w:tc>
          <w:tcPr>
            <w:tcW w:w="567" w:type="pct"/>
            <w:tcBorders>
              <w:top w:val="single" w:sz="8" w:space="0" w:color="auto"/>
              <w:left w:val="nil"/>
              <w:bottom w:val="single" w:sz="4" w:space="0" w:color="auto"/>
              <w:right w:val="nil"/>
            </w:tcBorders>
            <w:noWrap/>
            <w:vAlign w:val="center"/>
          </w:tcPr>
          <w:p w14:paraId="79A1FFAA" w14:textId="77777777" w:rsidR="005D218F" w:rsidRPr="005D218F" w:rsidRDefault="005D218F" w:rsidP="00740FB8">
            <w:pPr>
              <w:jc w:val="center"/>
              <w:rPr>
                <w:rFonts w:ascii="Arial" w:eastAsia="Times New Roman" w:hAnsi="Arial" w:cs="Arial"/>
                <w:b/>
                <w:bCs/>
                <w:color w:val="000000"/>
                <w:kern w:val="0"/>
                <w:sz w:val="20"/>
                <w:szCs w:val="20"/>
                <w:lang w:eastAsia="es-AR"/>
                <w14:ligatures w14:val="none"/>
              </w:rPr>
            </w:pPr>
          </w:p>
        </w:tc>
      </w:tr>
      <w:tr w:rsidR="005D218F" w:rsidRPr="005D218F" w14:paraId="56D7B6EE" w14:textId="77777777" w:rsidTr="00740FB8">
        <w:trPr>
          <w:trHeight w:val="300"/>
        </w:trPr>
        <w:tc>
          <w:tcPr>
            <w:tcW w:w="5000" w:type="pct"/>
            <w:gridSpan w:val="7"/>
            <w:tcBorders>
              <w:top w:val="single" w:sz="4" w:space="0" w:color="auto"/>
              <w:left w:val="nil"/>
              <w:right w:val="nil"/>
            </w:tcBorders>
            <w:noWrap/>
            <w:vAlign w:val="center"/>
            <w:hideMark/>
          </w:tcPr>
          <w:p w14:paraId="06D28F7F" w14:textId="77777777" w:rsidR="005D218F" w:rsidRPr="005D218F" w:rsidRDefault="005D218F" w:rsidP="00740FB8">
            <w:pP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Bray-Curtis Distance</w:t>
            </w:r>
          </w:p>
        </w:tc>
      </w:tr>
      <w:tr w:rsidR="005D218F" w:rsidRPr="005D218F" w14:paraId="4EE0B0B9" w14:textId="77777777" w:rsidTr="00740FB8">
        <w:trPr>
          <w:trHeight w:val="300"/>
        </w:trPr>
        <w:tc>
          <w:tcPr>
            <w:tcW w:w="1412" w:type="pct"/>
            <w:tcBorders>
              <w:left w:val="nil"/>
              <w:bottom w:val="nil"/>
              <w:right w:val="nil"/>
            </w:tcBorders>
            <w:noWrap/>
            <w:vAlign w:val="bottom"/>
            <w:hideMark/>
          </w:tcPr>
          <w:p w14:paraId="2C91A05A"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Summer</w:t>
            </w:r>
          </w:p>
        </w:tc>
        <w:tc>
          <w:tcPr>
            <w:tcW w:w="744" w:type="pct"/>
            <w:tcBorders>
              <w:left w:val="nil"/>
              <w:bottom w:val="nil"/>
              <w:right w:val="nil"/>
            </w:tcBorders>
            <w:noWrap/>
            <w:vAlign w:val="bottom"/>
            <w:hideMark/>
          </w:tcPr>
          <w:p w14:paraId="69C1790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left w:val="nil"/>
              <w:bottom w:val="nil"/>
              <w:right w:val="nil"/>
            </w:tcBorders>
            <w:noWrap/>
            <w:vAlign w:val="bottom"/>
            <w:hideMark/>
          </w:tcPr>
          <w:p w14:paraId="3E4C132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23.086</w:t>
            </w:r>
          </w:p>
        </w:tc>
        <w:tc>
          <w:tcPr>
            <w:tcW w:w="563" w:type="pct"/>
            <w:tcBorders>
              <w:left w:val="nil"/>
              <w:bottom w:val="nil"/>
              <w:right w:val="nil"/>
            </w:tcBorders>
            <w:noWrap/>
            <w:vAlign w:val="bottom"/>
            <w:hideMark/>
          </w:tcPr>
          <w:p w14:paraId="078869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0.11229</w:t>
            </w:r>
          </w:p>
        </w:tc>
        <w:tc>
          <w:tcPr>
            <w:tcW w:w="569" w:type="pct"/>
            <w:tcBorders>
              <w:left w:val="nil"/>
              <w:bottom w:val="nil"/>
              <w:right w:val="nil"/>
            </w:tcBorders>
            <w:noWrap/>
            <w:vAlign w:val="bottom"/>
            <w:hideMark/>
          </w:tcPr>
          <w:p w14:paraId="1750EAF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127.572</w:t>
            </w:r>
          </w:p>
        </w:tc>
        <w:tc>
          <w:tcPr>
            <w:tcW w:w="569" w:type="pct"/>
            <w:tcBorders>
              <w:left w:val="nil"/>
              <w:bottom w:val="nil"/>
              <w:right w:val="nil"/>
            </w:tcBorders>
            <w:noWrap/>
            <w:vAlign w:val="bottom"/>
            <w:hideMark/>
          </w:tcPr>
          <w:p w14:paraId="1652F6B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left w:val="nil"/>
              <w:bottom w:val="nil"/>
              <w:right w:val="nil"/>
            </w:tcBorders>
            <w:noWrap/>
            <w:vAlign w:val="bottom"/>
            <w:hideMark/>
          </w:tcPr>
          <w:p w14:paraId="07CFEDC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C83029F" w14:textId="77777777" w:rsidTr="00740FB8">
        <w:trPr>
          <w:trHeight w:val="300"/>
        </w:trPr>
        <w:tc>
          <w:tcPr>
            <w:tcW w:w="1412" w:type="pct"/>
            <w:tcBorders>
              <w:top w:val="nil"/>
              <w:left w:val="nil"/>
              <w:bottom w:val="nil"/>
              <w:right w:val="nil"/>
            </w:tcBorders>
            <w:noWrap/>
            <w:vAlign w:val="bottom"/>
            <w:hideMark/>
          </w:tcPr>
          <w:p w14:paraId="1CE8781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Water</w:t>
            </w:r>
          </w:p>
        </w:tc>
        <w:tc>
          <w:tcPr>
            <w:tcW w:w="744" w:type="pct"/>
            <w:tcBorders>
              <w:top w:val="nil"/>
              <w:left w:val="nil"/>
              <w:bottom w:val="nil"/>
              <w:right w:val="nil"/>
            </w:tcBorders>
            <w:noWrap/>
            <w:vAlign w:val="bottom"/>
            <w:hideMark/>
          </w:tcPr>
          <w:p w14:paraId="1D5487E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4EEEE94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15.828</w:t>
            </w:r>
          </w:p>
        </w:tc>
        <w:tc>
          <w:tcPr>
            <w:tcW w:w="563" w:type="pct"/>
            <w:tcBorders>
              <w:top w:val="nil"/>
              <w:left w:val="nil"/>
              <w:bottom w:val="nil"/>
              <w:right w:val="nil"/>
            </w:tcBorders>
            <w:noWrap/>
            <w:vAlign w:val="bottom"/>
            <w:hideMark/>
          </w:tcPr>
          <w:p w14:paraId="3E776D3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0.07699</w:t>
            </w:r>
          </w:p>
        </w:tc>
        <w:tc>
          <w:tcPr>
            <w:tcW w:w="569" w:type="pct"/>
            <w:tcBorders>
              <w:top w:val="nil"/>
              <w:left w:val="nil"/>
              <w:bottom w:val="nil"/>
              <w:right w:val="nil"/>
            </w:tcBorders>
            <w:noWrap/>
            <w:vAlign w:val="bottom"/>
            <w:hideMark/>
          </w:tcPr>
          <w:p w14:paraId="06A64BA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87.464</w:t>
            </w:r>
          </w:p>
        </w:tc>
        <w:tc>
          <w:tcPr>
            <w:tcW w:w="569" w:type="pct"/>
            <w:tcBorders>
              <w:top w:val="nil"/>
              <w:left w:val="nil"/>
              <w:bottom w:val="nil"/>
              <w:right w:val="nil"/>
            </w:tcBorders>
            <w:noWrap/>
            <w:vAlign w:val="bottom"/>
            <w:hideMark/>
          </w:tcPr>
          <w:p w14:paraId="34AFEEC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5C67FDD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295807F" w14:textId="77777777" w:rsidTr="00740FB8">
        <w:trPr>
          <w:trHeight w:val="300"/>
        </w:trPr>
        <w:tc>
          <w:tcPr>
            <w:tcW w:w="1412" w:type="pct"/>
            <w:tcBorders>
              <w:top w:val="nil"/>
              <w:left w:val="nil"/>
              <w:bottom w:val="nil"/>
              <w:right w:val="nil"/>
            </w:tcBorders>
            <w:noWrap/>
            <w:vAlign w:val="bottom"/>
            <w:hideMark/>
          </w:tcPr>
          <w:p w14:paraId="6908407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MainDistribution</w:t>
            </w:r>
          </w:p>
        </w:tc>
        <w:tc>
          <w:tcPr>
            <w:tcW w:w="744" w:type="pct"/>
            <w:tcBorders>
              <w:top w:val="nil"/>
              <w:left w:val="nil"/>
              <w:bottom w:val="nil"/>
              <w:right w:val="nil"/>
            </w:tcBorders>
            <w:noWrap/>
            <w:vAlign w:val="bottom"/>
            <w:hideMark/>
          </w:tcPr>
          <w:p w14:paraId="7C9ED41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743CABD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13.809</w:t>
            </w:r>
          </w:p>
        </w:tc>
        <w:tc>
          <w:tcPr>
            <w:tcW w:w="563" w:type="pct"/>
            <w:tcBorders>
              <w:top w:val="nil"/>
              <w:left w:val="nil"/>
              <w:bottom w:val="nil"/>
              <w:right w:val="nil"/>
            </w:tcBorders>
            <w:noWrap/>
            <w:vAlign w:val="bottom"/>
            <w:hideMark/>
          </w:tcPr>
          <w:p w14:paraId="569A07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0.06717</w:t>
            </w:r>
          </w:p>
        </w:tc>
        <w:tc>
          <w:tcPr>
            <w:tcW w:w="569" w:type="pct"/>
            <w:tcBorders>
              <w:top w:val="nil"/>
              <w:left w:val="nil"/>
              <w:bottom w:val="nil"/>
              <w:right w:val="nil"/>
            </w:tcBorders>
            <w:noWrap/>
            <w:vAlign w:val="bottom"/>
            <w:hideMark/>
          </w:tcPr>
          <w:p w14:paraId="6E2B92C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76.305</w:t>
            </w:r>
          </w:p>
        </w:tc>
        <w:tc>
          <w:tcPr>
            <w:tcW w:w="569" w:type="pct"/>
            <w:tcBorders>
              <w:top w:val="nil"/>
              <w:left w:val="nil"/>
              <w:bottom w:val="nil"/>
              <w:right w:val="nil"/>
            </w:tcBorders>
            <w:noWrap/>
            <w:vAlign w:val="bottom"/>
            <w:hideMark/>
          </w:tcPr>
          <w:p w14:paraId="18A9D32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46172FE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3F87FA68" w14:textId="77777777" w:rsidTr="00740FB8">
        <w:trPr>
          <w:trHeight w:val="300"/>
        </w:trPr>
        <w:tc>
          <w:tcPr>
            <w:tcW w:w="1412" w:type="pct"/>
            <w:tcBorders>
              <w:top w:val="nil"/>
              <w:left w:val="nil"/>
              <w:bottom w:val="nil"/>
              <w:right w:val="nil"/>
            </w:tcBorders>
            <w:noWrap/>
            <w:vAlign w:val="bottom"/>
            <w:hideMark/>
          </w:tcPr>
          <w:p w14:paraId="3C6F37DE"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Pre</w:t>
            </w:r>
          </w:p>
        </w:tc>
        <w:tc>
          <w:tcPr>
            <w:tcW w:w="744" w:type="pct"/>
            <w:tcBorders>
              <w:top w:val="nil"/>
              <w:left w:val="nil"/>
              <w:bottom w:val="nil"/>
              <w:right w:val="nil"/>
            </w:tcBorders>
            <w:noWrap/>
            <w:vAlign w:val="bottom"/>
            <w:hideMark/>
          </w:tcPr>
          <w:p w14:paraId="11BF0E2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98FAC9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11.888</w:t>
            </w:r>
          </w:p>
        </w:tc>
        <w:tc>
          <w:tcPr>
            <w:tcW w:w="563" w:type="pct"/>
            <w:tcBorders>
              <w:top w:val="nil"/>
              <w:left w:val="nil"/>
              <w:bottom w:val="nil"/>
              <w:right w:val="nil"/>
            </w:tcBorders>
            <w:noWrap/>
            <w:vAlign w:val="bottom"/>
            <w:hideMark/>
          </w:tcPr>
          <w:p w14:paraId="47DDDBD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0.05783</w:t>
            </w:r>
          </w:p>
        </w:tc>
        <w:tc>
          <w:tcPr>
            <w:tcW w:w="569" w:type="pct"/>
            <w:tcBorders>
              <w:top w:val="nil"/>
              <w:left w:val="nil"/>
              <w:bottom w:val="nil"/>
              <w:right w:val="nil"/>
            </w:tcBorders>
            <w:noWrap/>
            <w:vAlign w:val="bottom"/>
            <w:hideMark/>
          </w:tcPr>
          <w:p w14:paraId="254710D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65.693</w:t>
            </w:r>
          </w:p>
        </w:tc>
        <w:tc>
          <w:tcPr>
            <w:tcW w:w="569" w:type="pct"/>
            <w:tcBorders>
              <w:top w:val="nil"/>
              <w:left w:val="nil"/>
              <w:bottom w:val="nil"/>
              <w:right w:val="nil"/>
            </w:tcBorders>
            <w:noWrap/>
            <w:vAlign w:val="bottom"/>
            <w:hideMark/>
          </w:tcPr>
          <w:p w14:paraId="325E8E4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7085292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7DEAF4C" w14:textId="77777777" w:rsidTr="00740FB8">
        <w:trPr>
          <w:trHeight w:val="300"/>
        </w:trPr>
        <w:tc>
          <w:tcPr>
            <w:tcW w:w="1412" w:type="pct"/>
            <w:tcBorders>
              <w:top w:val="nil"/>
              <w:left w:val="nil"/>
              <w:bottom w:val="nil"/>
              <w:right w:val="nil"/>
            </w:tcBorders>
            <w:noWrap/>
            <w:vAlign w:val="bottom"/>
            <w:hideMark/>
          </w:tcPr>
          <w:p w14:paraId="5E9E47C3" w14:textId="77777777" w:rsidR="005D218F" w:rsidRPr="005D218F" w:rsidRDefault="005D218F" w:rsidP="00740FB8">
            <w:pPr>
              <w:jc w:val="right"/>
              <w:rPr>
                <w:rFonts w:ascii="Arial" w:eastAsia="Times New Roman" w:hAnsi="Arial" w:cs="Arial"/>
                <w:b/>
                <w:bCs/>
                <w:i/>
                <w:iCs/>
                <w:color w:val="000000"/>
                <w:kern w:val="0"/>
                <w:sz w:val="20"/>
                <w:szCs w:val="20"/>
                <w:lang w:eastAsia="es-AR"/>
                <w14:ligatures w14:val="none"/>
              </w:rPr>
            </w:pPr>
            <w:r w:rsidRPr="005D218F">
              <w:rPr>
                <w:rFonts w:ascii="Arial" w:eastAsia="Times New Roman" w:hAnsi="Arial" w:cs="Arial"/>
                <w:b/>
                <w:bCs/>
                <w:i/>
                <w:iCs/>
                <w:color w:val="000000"/>
                <w:kern w:val="0"/>
                <w:sz w:val="20"/>
                <w:szCs w:val="20"/>
                <w:lang w:eastAsia="es-AR"/>
                <w14:ligatures w14:val="none"/>
              </w:rPr>
              <w:t>Escherichi coli</w:t>
            </w:r>
          </w:p>
        </w:tc>
        <w:tc>
          <w:tcPr>
            <w:tcW w:w="744" w:type="pct"/>
            <w:tcBorders>
              <w:top w:val="nil"/>
              <w:left w:val="nil"/>
              <w:bottom w:val="nil"/>
              <w:right w:val="nil"/>
            </w:tcBorders>
            <w:noWrap/>
            <w:vAlign w:val="bottom"/>
            <w:hideMark/>
          </w:tcPr>
          <w:p w14:paraId="7933F7D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59B760B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11.058</w:t>
            </w:r>
          </w:p>
        </w:tc>
        <w:tc>
          <w:tcPr>
            <w:tcW w:w="563" w:type="pct"/>
            <w:tcBorders>
              <w:top w:val="nil"/>
              <w:left w:val="nil"/>
              <w:bottom w:val="nil"/>
              <w:right w:val="nil"/>
            </w:tcBorders>
            <w:noWrap/>
            <w:vAlign w:val="bottom"/>
            <w:hideMark/>
          </w:tcPr>
          <w:p w14:paraId="6B076C6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0.05379</w:t>
            </w:r>
          </w:p>
        </w:tc>
        <w:tc>
          <w:tcPr>
            <w:tcW w:w="569" w:type="pct"/>
            <w:tcBorders>
              <w:top w:val="nil"/>
              <w:left w:val="nil"/>
              <w:bottom w:val="nil"/>
              <w:right w:val="nil"/>
            </w:tcBorders>
            <w:noWrap/>
            <w:vAlign w:val="bottom"/>
            <w:hideMark/>
          </w:tcPr>
          <w:p w14:paraId="16D6B6A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61.107</w:t>
            </w:r>
          </w:p>
        </w:tc>
        <w:tc>
          <w:tcPr>
            <w:tcW w:w="569" w:type="pct"/>
            <w:tcBorders>
              <w:top w:val="nil"/>
              <w:left w:val="nil"/>
              <w:bottom w:val="nil"/>
              <w:right w:val="nil"/>
            </w:tcBorders>
            <w:noWrap/>
            <w:vAlign w:val="bottom"/>
            <w:hideMark/>
          </w:tcPr>
          <w:p w14:paraId="4629519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3A2B3D6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3FFF230" w14:textId="77777777" w:rsidTr="00740FB8">
        <w:trPr>
          <w:trHeight w:val="300"/>
        </w:trPr>
        <w:tc>
          <w:tcPr>
            <w:tcW w:w="1412" w:type="pct"/>
            <w:tcBorders>
              <w:top w:val="nil"/>
              <w:left w:val="nil"/>
              <w:bottom w:val="nil"/>
              <w:right w:val="nil"/>
            </w:tcBorders>
            <w:noWrap/>
            <w:vAlign w:val="bottom"/>
            <w:hideMark/>
          </w:tcPr>
          <w:p w14:paraId="24F7B028"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Polyethylene</w:t>
            </w:r>
          </w:p>
        </w:tc>
        <w:tc>
          <w:tcPr>
            <w:tcW w:w="744" w:type="pct"/>
            <w:tcBorders>
              <w:top w:val="nil"/>
              <w:left w:val="nil"/>
              <w:bottom w:val="nil"/>
              <w:right w:val="nil"/>
            </w:tcBorders>
            <w:noWrap/>
            <w:vAlign w:val="bottom"/>
            <w:hideMark/>
          </w:tcPr>
          <w:p w14:paraId="4D2DB53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D8CD74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10.836</w:t>
            </w:r>
          </w:p>
        </w:tc>
        <w:tc>
          <w:tcPr>
            <w:tcW w:w="563" w:type="pct"/>
            <w:tcBorders>
              <w:top w:val="nil"/>
              <w:left w:val="nil"/>
              <w:bottom w:val="nil"/>
              <w:right w:val="nil"/>
            </w:tcBorders>
            <w:noWrap/>
            <w:vAlign w:val="bottom"/>
            <w:hideMark/>
          </w:tcPr>
          <w:p w14:paraId="4F2C1E7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0.05271</w:t>
            </w:r>
          </w:p>
        </w:tc>
        <w:tc>
          <w:tcPr>
            <w:tcW w:w="569" w:type="pct"/>
            <w:tcBorders>
              <w:top w:val="nil"/>
              <w:left w:val="nil"/>
              <w:bottom w:val="nil"/>
              <w:right w:val="nil"/>
            </w:tcBorders>
            <w:noWrap/>
            <w:vAlign w:val="bottom"/>
            <w:hideMark/>
          </w:tcPr>
          <w:p w14:paraId="6A99299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59.877</w:t>
            </w:r>
          </w:p>
        </w:tc>
        <w:tc>
          <w:tcPr>
            <w:tcW w:w="569" w:type="pct"/>
            <w:tcBorders>
              <w:top w:val="nil"/>
              <w:left w:val="nil"/>
              <w:bottom w:val="nil"/>
              <w:right w:val="nil"/>
            </w:tcBorders>
            <w:noWrap/>
            <w:vAlign w:val="bottom"/>
            <w:hideMark/>
          </w:tcPr>
          <w:p w14:paraId="10DE9EA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4779BAC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416FDE1" w14:textId="77777777" w:rsidTr="00740FB8">
        <w:trPr>
          <w:trHeight w:val="300"/>
        </w:trPr>
        <w:tc>
          <w:tcPr>
            <w:tcW w:w="1412" w:type="pct"/>
            <w:tcBorders>
              <w:top w:val="nil"/>
              <w:left w:val="nil"/>
              <w:bottom w:val="nil"/>
              <w:right w:val="nil"/>
            </w:tcBorders>
            <w:noWrap/>
            <w:vAlign w:val="bottom"/>
            <w:hideMark/>
          </w:tcPr>
          <w:p w14:paraId="2CFAD941"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Concrete Coupon</w:t>
            </w:r>
          </w:p>
        </w:tc>
        <w:tc>
          <w:tcPr>
            <w:tcW w:w="744" w:type="pct"/>
            <w:tcBorders>
              <w:top w:val="nil"/>
              <w:left w:val="nil"/>
              <w:bottom w:val="nil"/>
              <w:right w:val="nil"/>
            </w:tcBorders>
            <w:noWrap/>
            <w:vAlign w:val="bottom"/>
            <w:hideMark/>
          </w:tcPr>
          <w:p w14:paraId="2E6D66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60ED98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0.8469</w:t>
            </w:r>
          </w:p>
        </w:tc>
        <w:tc>
          <w:tcPr>
            <w:tcW w:w="563" w:type="pct"/>
            <w:tcBorders>
              <w:top w:val="nil"/>
              <w:left w:val="nil"/>
              <w:bottom w:val="nil"/>
              <w:right w:val="nil"/>
            </w:tcBorders>
            <w:noWrap/>
            <w:vAlign w:val="bottom"/>
            <w:hideMark/>
          </w:tcPr>
          <w:p w14:paraId="72BB522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0.04119</w:t>
            </w:r>
          </w:p>
        </w:tc>
        <w:tc>
          <w:tcPr>
            <w:tcW w:w="569" w:type="pct"/>
            <w:tcBorders>
              <w:top w:val="nil"/>
              <w:left w:val="nil"/>
              <w:bottom w:val="nil"/>
              <w:right w:val="nil"/>
            </w:tcBorders>
            <w:noWrap/>
            <w:vAlign w:val="bottom"/>
            <w:hideMark/>
          </w:tcPr>
          <w:p w14:paraId="174B7AA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46.796</w:t>
            </w:r>
          </w:p>
        </w:tc>
        <w:tc>
          <w:tcPr>
            <w:tcW w:w="569" w:type="pct"/>
            <w:tcBorders>
              <w:top w:val="nil"/>
              <w:left w:val="nil"/>
              <w:bottom w:val="nil"/>
              <w:right w:val="nil"/>
            </w:tcBorders>
            <w:noWrap/>
            <w:vAlign w:val="bottom"/>
            <w:hideMark/>
          </w:tcPr>
          <w:p w14:paraId="45AD6CC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2933D24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8273723" w14:textId="77777777" w:rsidTr="00740FB8">
        <w:trPr>
          <w:trHeight w:val="300"/>
        </w:trPr>
        <w:tc>
          <w:tcPr>
            <w:tcW w:w="1412" w:type="pct"/>
            <w:tcBorders>
              <w:top w:val="nil"/>
              <w:left w:val="nil"/>
              <w:bottom w:val="nil"/>
              <w:right w:val="nil"/>
            </w:tcBorders>
            <w:noWrap/>
            <w:vAlign w:val="bottom"/>
            <w:hideMark/>
          </w:tcPr>
          <w:p w14:paraId="411685E4"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Winter</w:t>
            </w:r>
          </w:p>
        </w:tc>
        <w:tc>
          <w:tcPr>
            <w:tcW w:w="744" w:type="pct"/>
            <w:tcBorders>
              <w:top w:val="nil"/>
              <w:left w:val="nil"/>
              <w:bottom w:val="nil"/>
              <w:right w:val="nil"/>
            </w:tcBorders>
            <w:noWrap/>
            <w:vAlign w:val="bottom"/>
            <w:hideMark/>
          </w:tcPr>
          <w:p w14:paraId="181B5DE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CEE849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0.6765</w:t>
            </w:r>
          </w:p>
        </w:tc>
        <w:tc>
          <w:tcPr>
            <w:tcW w:w="563" w:type="pct"/>
            <w:tcBorders>
              <w:top w:val="nil"/>
              <w:left w:val="nil"/>
              <w:bottom w:val="nil"/>
              <w:right w:val="nil"/>
            </w:tcBorders>
            <w:noWrap/>
            <w:vAlign w:val="bottom"/>
            <w:hideMark/>
          </w:tcPr>
          <w:p w14:paraId="15608F1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0.03290</w:t>
            </w:r>
          </w:p>
        </w:tc>
        <w:tc>
          <w:tcPr>
            <w:tcW w:w="569" w:type="pct"/>
            <w:tcBorders>
              <w:top w:val="nil"/>
              <w:left w:val="nil"/>
              <w:bottom w:val="nil"/>
              <w:right w:val="nil"/>
            </w:tcBorders>
            <w:noWrap/>
            <w:vAlign w:val="bottom"/>
            <w:hideMark/>
          </w:tcPr>
          <w:p w14:paraId="345EF65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37.380</w:t>
            </w:r>
          </w:p>
        </w:tc>
        <w:tc>
          <w:tcPr>
            <w:tcW w:w="569" w:type="pct"/>
            <w:tcBorders>
              <w:top w:val="nil"/>
              <w:left w:val="nil"/>
              <w:bottom w:val="nil"/>
              <w:right w:val="nil"/>
            </w:tcBorders>
            <w:noWrap/>
            <w:vAlign w:val="bottom"/>
            <w:hideMark/>
          </w:tcPr>
          <w:p w14:paraId="3A1C76C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710501E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A2C28BF" w14:textId="77777777" w:rsidTr="00740FB8">
        <w:trPr>
          <w:trHeight w:val="300"/>
        </w:trPr>
        <w:tc>
          <w:tcPr>
            <w:tcW w:w="1412" w:type="pct"/>
            <w:tcBorders>
              <w:top w:val="nil"/>
              <w:left w:val="nil"/>
              <w:bottom w:val="nil"/>
              <w:right w:val="nil"/>
            </w:tcBorders>
            <w:noWrap/>
            <w:vAlign w:val="bottom"/>
            <w:hideMark/>
          </w:tcPr>
          <w:p w14:paraId="437B1E58"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Concrete Wall</w:t>
            </w:r>
          </w:p>
        </w:tc>
        <w:tc>
          <w:tcPr>
            <w:tcW w:w="744" w:type="pct"/>
            <w:tcBorders>
              <w:top w:val="nil"/>
              <w:left w:val="nil"/>
              <w:bottom w:val="nil"/>
              <w:right w:val="nil"/>
            </w:tcBorders>
            <w:noWrap/>
            <w:vAlign w:val="bottom"/>
            <w:hideMark/>
          </w:tcPr>
          <w:p w14:paraId="6547EDA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3744DA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0.6456</w:t>
            </w:r>
          </w:p>
        </w:tc>
        <w:tc>
          <w:tcPr>
            <w:tcW w:w="563" w:type="pct"/>
            <w:tcBorders>
              <w:top w:val="nil"/>
              <w:left w:val="nil"/>
              <w:bottom w:val="nil"/>
              <w:right w:val="nil"/>
            </w:tcBorders>
            <w:noWrap/>
            <w:vAlign w:val="bottom"/>
            <w:hideMark/>
          </w:tcPr>
          <w:p w14:paraId="6FD2AA9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0.03140</w:t>
            </w:r>
          </w:p>
        </w:tc>
        <w:tc>
          <w:tcPr>
            <w:tcW w:w="569" w:type="pct"/>
            <w:tcBorders>
              <w:top w:val="nil"/>
              <w:left w:val="nil"/>
              <w:bottom w:val="nil"/>
              <w:right w:val="nil"/>
            </w:tcBorders>
            <w:noWrap/>
            <w:vAlign w:val="bottom"/>
            <w:hideMark/>
          </w:tcPr>
          <w:p w14:paraId="7FE68CC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35.673</w:t>
            </w:r>
          </w:p>
        </w:tc>
        <w:tc>
          <w:tcPr>
            <w:tcW w:w="569" w:type="pct"/>
            <w:tcBorders>
              <w:top w:val="nil"/>
              <w:left w:val="nil"/>
              <w:bottom w:val="nil"/>
              <w:right w:val="nil"/>
            </w:tcBorders>
            <w:noWrap/>
            <w:vAlign w:val="bottom"/>
            <w:hideMark/>
          </w:tcPr>
          <w:p w14:paraId="4AB2FA1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4F30474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5C3EFF9C" w14:textId="77777777" w:rsidTr="00740FB8">
        <w:trPr>
          <w:trHeight w:val="300"/>
        </w:trPr>
        <w:tc>
          <w:tcPr>
            <w:tcW w:w="1412" w:type="pct"/>
            <w:tcBorders>
              <w:top w:val="nil"/>
              <w:left w:val="nil"/>
              <w:bottom w:val="nil"/>
              <w:right w:val="nil"/>
            </w:tcBorders>
            <w:noWrap/>
            <w:vAlign w:val="bottom"/>
            <w:hideMark/>
          </w:tcPr>
          <w:p w14:paraId="5B23DDB5"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Total Coliforms</w:t>
            </w:r>
          </w:p>
        </w:tc>
        <w:tc>
          <w:tcPr>
            <w:tcW w:w="744" w:type="pct"/>
            <w:tcBorders>
              <w:top w:val="nil"/>
              <w:left w:val="nil"/>
              <w:bottom w:val="nil"/>
              <w:right w:val="nil"/>
            </w:tcBorders>
            <w:noWrap/>
            <w:vAlign w:val="bottom"/>
            <w:hideMark/>
          </w:tcPr>
          <w:p w14:paraId="09FD5D0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57E7453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0.5764</w:t>
            </w:r>
          </w:p>
        </w:tc>
        <w:tc>
          <w:tcPr>
            <w:tcW w:w="563" w:type="pct"/>
            <w:tcBorders>
              <w:top w:val="nil"/>
              <w:left w:val="nil"/>
              <w:bottom w:val="nil"/>
              <w:right w:val="nil"/>
            </w:tcBorders>
            <w:noWrap/>
            <w:vAlign w:val="bottom"/>
            <w:hideMark/>
          </w:tcPr>
          <w:p w14:paraId="5E58119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0.02804</w:t>
            </w:r>
          </w:p>
        </w:tc>
        <w:tc>
          <w:tcPr>
            <w:tcW w:w="569" w:type="pct"/>
            <w:tcBorders>
              <w:top w:val="nil"/>
              <w:left w:val="nil"/>
              <w:bottom w:val="nil"/>
              <w:right w:val="nil"/>
            </w:tcBorders>
            <w:noWrap/>
            <w:vAlign w:val="bottom"/>
            <w:hideMark/>
          </w:tcPr>
          <w:p w14:paraId="73A8E02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31.850</w:t>
            </w:r>
          </w:p>
        </w:tc>
        <w:tc>
          <w:tcPr>
            <w:tcW w:w="569" w:type="pct"/>
            <w:tcBorders>
              <w:top w:val="nil"/>
              <w:left w:val="nil"/>
              <w:bottom w:val="nil"/>
              <w:right w:val="nil"/>
            </w:tcBorders>
            <w:noWrap/>
            <w:vAlign w:val="bottom"/>
            <w:hideMark/>
          </w:tcPr>
          <w:p w14:paraId="30ABCE0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w:t>
            </w:r>
          </w:p>
        </w:tc>
        <w:tc>
          <w:tcPr>
            <w:tcW w:w="567" w:type="pct"/>
            <w:tcBorders>
              <w:top w:val="nil"/>
              <w:left w:val="nil"/>
              <w:bottom w:val="nil"/>
              <w:right w:val="nil"/>
            </w:tcBorders>
            <w:noWrap/>
            <w:vAlign w:val="bottom"/>
            <w:hideMark/>
          </w:tcPr>
          <w:p w14:paraId="4A0C7DB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4923B16" w14:textId="77777777" w:rsidTr="00740FB8">
        <w:trPr>
          <w:trHeight w:val="300"/>
        </w:trPr>
        <w:tc>
          <w:tcPr>
            <w:tcW w:w="1412" w:type="pct"/>
            <w:tcBorders>
              <w:top w:val="nil"/>
              <w:left w:val="nil"/>
              <w:bottom w:val="nil"/>
              <w:right w:val="nil"/>
            </w:tcBorders>
            <w:noWrap/>
            <w:vAlign w:val="bottom"/>
            <w:hideMark/>
          </w:tcPr>
          <w:p w14:paraId="77E0FDBA" w14:textId="77777777" w:rsidR="005D218F" w:rsidRPr="005D218F" w:rsidRDefault="005D218F" w:rsidP="00740FB8">
            <w:pPr>
              <w:jc w:val="right"/>
              <w:rPr>
                <w:rFonts w:ascii="Arial" w:eastAsia="Times New Roman" w:hAnsi="Arial" w:cs="Arial"/>
                <w:b/>
                <w:bCs/>
                <w:i/>
                <w:iCs/>
                <w:color w:val="000000"/>
                <w:kern w:val="0"/>
                <w:sz w:val="20"/>
                <w:szCs w:val="20"/>
                <w:lang w:eastAsia="es-AR"/>
                <w14:ligatures w14:val="none"/>
              </w:rPr>
            </w:pPr>
            <w:r w:rsidRPr="005D218F">
              <w:rPr>
                <w:rFonts w:ascii="Arial" w:eastAsia="Times New Roman" w:hAnsi="Arial" w:cs="Arial"/>
                <w:b/>
                <w:bCs/>
                <w:i/>
                <w:iCs/>
                <w:color w:val="000000"/>
                <w:kern w:val="0"/>
                <w:sz w:val="20"/>
                <w:szCs w:val="20"/>
                <w:lang w:eastAsia="es-AR"/>
                <w14:ligatures w14:val="none"/>
              </w:rPr>
              <w:t>Pseudomonas aeruginosa</w:t>
            </w:r>
          </w:p>
        </w:tc>
        <w:tc>
          <w:tcPr>
            <w:tcW w:w="744" w:type="pct"/>
            <w:tcBorders>
              <w:top w:val="nil"/>
              <w:left w:val="nil"/>
              <w:bottom w:val="nil"/>
              <w:right w:val="nil"/>
            </w:tcBorders>
            <w:noWrap/>
            <w:vAlign w:val="bottom"/>
            <w:hideMark/>
          </w:tcPr>
          <w:p w14:paraId="0D72C4A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6EF0CB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0.4583</w:t>
            </w:r>
          </w:p>
        </w:tc>
        <w:tc>
          <w:tcPr>
            <w:tcW w:w="563" w:type="pct"/>
            <w:tcBorders>
              <w:top w:val="nil"/>
              <w:left w:val="nil"/>
              <w:bottom w:val="nil"/>
              <w:right w:val="nil"/>
            </w:tcBorders>
            <w:noWrap/>
            <w:vAlign w:val="bottom"/>
            <w:hideMark/>
          </w:tcPr>
          <w:p w14:paraId="1BC79E5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0.02229</w:t>
            </w:r>
          </w:p>
        </w:tc>
        <w:tc>
          <w:tcPr>
            <w:tcW w:w="569" w:type="pct"/>
            <w:tcBorders>
              <w:top w:val="nil"/>
              <w:left w:val="nil"/>
              <w:bottom w:val="nil"/>
              <w:right w:val="nil"/>
            </w:tcBorders>
            <w:noWrap/>
            <w:vAlign w:val="bottom"/>
            <w:hideMark/>
          </w:tcPr>
          <w:p w14:paraId="54129C5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25.323</w:t>
            </w:r>
          </w:p>
        </w:tc>
        <w:tc>
          <w:tcPr>
            <w:tcW w:w="569" w:type="pct"/>
            <w:tcBorders>
              <w:top w:val="nil"/>
              <w:left w:val="nil"/>
              <w:bottom w:val="nil"/>
              <w:right w:val="nil"/>
            </w:tcBorders>
            <w:noWrap/>
            <w:vAlign w:val="bottom"/>
            <w:hideMark/>
          </w:tcPr>
          <w:p w14:paraId="69039D0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4AACDC7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6163822" w14:textId="77777777" w:rsidTr="00740FB8">
        <w:trPr>
          <w:trHeight w:val="300"/>
        </w:trPr>
        <w:tc>
          <w:tcPr>
            <w:tcW w:w="1412" w:type="pct"/>
            <w:tcBorders>
              <w:top w:val="nil"/>
              <w:left w:val="nil"/>
              <w:bottom w:val="nil"/>
              <w:right w:val="nil"/>
            </w:tcBorders>
            <w:noWrap/>
            <w:vAlign w:val="bottom"/>
            <w:hideMark/>
          </w:tcPr>
          <w:p w14:paraId="58F198E0"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Year 2023</w:t>
            </w:r>
          </w:p>
        </w:tc>
        <w:tc>
          <w:tcPr>
            <w:tcW w:w="744" w:type="pct"/>
            <w:tcBorders>
              <w:top w:val="nil"/>
              <w:left w:val="nil"/>
              <w:bottom w:val="nil"/>
              <w:right w:val="nil"/>
            </w:tcBorders>
            <w:noWrap/>
            <w:vAlign w:val="bottom"/>
            <w:hideMark/>
          </w:tcPr>
          <w:p w14:paraId="4782BA1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7D28FF3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0.8355</w:t>
            </w:r>
          </w:p>
        </w:tc>
        <w:tc>
          <w:tcPr>
            <w:tcW w:w="563" w:type="pct"/>
            <w:tcBorders>
              <w:top w:val="nil"/>
              <w:left w:val="nil"/>
              <w:bottom w:val="nil"/>
              <w:right w:val="nil"/>
            </w:tcBorders>
            <w:noWrap/>
            <w:vAlign w:val="bottom"/>
            <w:hideMark/>
          </w:tcPr>
          <w:p w14:paraId="28D376B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0.04064</w:t>
            </w:r>
          </w:p>
        </w:tc>
        <w:tc>
          <w:tcPr>
            <w:tcW w:w="569" w:type="pct"/>
            <w:tcBorders>
              <w:top w:val="nil"/>
              <w:left w:val="nil"/>
              <w:bottom w:val="nil"/>
              <w:right w:val="nil"/>
            </w:tcBorders>
            <w:noWrap/>
            <w:vAlign w:val="bottom"/>
            <w:hideMark/>
          </w:tcPr>
          <w:p w14:paraId="537DF1A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46.171</w:t>
            </w:r>
          </w:p>
        </w:tc>
        <w:tc>
          <w:tcPr>
            <w:tcW w:w="569" w:type="pct"/>
            <w:tcBorders>
              <w:top w:val="nil"/>
              <w:left w:val="nil"/>
              <w:bottom w:val="nil"/>
              <w:right w:val="nil"/>
            </w:tcBorders>
            <w:noWrap/>
            <w:vAlign w:val="bottom"/>
            <w:hideMark/>
          </w:tcPr>
          <w:p w14:paraId="21AD06E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05EDFD2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FDFD48B" w14:textId="77777777" w:rsidTr="00740FB8">
        <w:trPr>
          <w:trHeight w:val="300"/>
        </w:trPr>
        <w:tc>
          <w:tcPr>
            <w:tcW w:w="1412" w:type="pct"/>
            <w:tcBorders>
              <w:top w:val="nil"/>
              <w:left w:val="nil"/>
              <w:bottom w:val="nil"/>
              <w:right w:val="nil"/>
            </w:tcBorders>
            <w:noWrap/>
            <w:vAlign w:val="bottom"/>
            <w:hideMark/>
          </w:tcPr>
          <w:p w14:paraId="6D743E33"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Six Months</w:t>
            </w:r>
          </w:p>
        </w:tc>
        <w:tc>
          <w:tcPr>
            <w:tcW w:w="744" w:type="pct"/>
            <w:tcBorders>
              <w:top w:val="nil"/>
              <w:left w:val="nil"/>
              <w:bottom w:val="nil"/>
              <w:right w:val="nil"/>
            </w:tcBorders>
            <w:noWrap/>
            <w:vAlign w:val="bottom"/>
            <w:hideMark/>
          </w:tcPr>
          <w:p w14:paraId="1F83202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475CBF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0.4474</w:t>
            </w:r>
          </w:p>
        </w:tc>
        <w:tc>
          <w:tcPr>
            <w:tcW w:w="563" w:type="pct"/>
            <w:tcBorders>
              <w:top w:val="nil"/>
              <w:left w:val="nil"/>
              <w:bottom w:val="nil"/>
              <w:right w:val="nil"/>
            </w:tcBorders>
            <w:noWrap/>
            <w:vAlign w:val="bottom"/>
            <w:hideMark/>
          </w:tcPr>
          <w:p w14:paraId="361F95D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0.02176</w:t>
            </w:r>
          </w:p>
        </w:tc>
        <w:tc>
          <w:tcPr>
            <w:tcW w:w="569" w:type="pct"/>
            <w:tcBorders>
              <w:top w:val="nil"/>
              <w:left w:val="nil"/>
              <w:bottom w:val="nil"/>
              <w:right w:val="nil"/>
            </w:tcBorders>
            <w:noWrap/>
            <w:vAlign w:val="bottom"/>
            <w:hideMark/>
          </w:tcPr>
          <w:p w14:paraId="74C4D07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24.724</w:t>
            </w:r>
          </w:p>
        </w:tc>
        <w:tc>
          <w:tcPr>
            <w:tcW w:w="569" w:type="pct"/>
            <w:tcBorders>
              <w:top w:val="nil"/>
              <w:left w:val="nil"/>
              <w:bottom w:val="nil"/>
              <w:right w:val="nil"/>
            </w:tcBorders>
            <w:noWrap/>
            <w:vAlign w:val="bottom"/>
            <w:hideMark/>
          </w:tcPr>
          <w:p w14:paraId="3D7D6FB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w:t>
            </w:r>
          </w:p>
        </w:tc>
        <w:tc>
          <w:tcPr>
            <w:tcW w:w="567" w:type="pct"/>
            <w:tcBorders>
              <w:top w:val="nil"/>
              <w:left w:val="nil"/>
              <w:bottom w:val="nil"/>
              <w:right w:val="nil"/>
            </w:tcBorders>
            <w:noWrap/>
            <w:vAlign w:val="bottom"/>
            <w:hideMark/>
          </w:tcPr>
          <w:p w14:paraId="1034AD0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7FA373B" w14:textId="77777777" w:rsidTr="00740FB8">
        <w:trPr>
          <w:trHeight w:val="300"/>
        </w:trPr>
        <w:tc>
          <w:tcPr>
            <w:tcW w:w="1412" w:type="pct"/>
            <w:tcBorders>
              <w:top w:val="nil"/>
              <w:left w:val="nil"/>
              <w:bottom w:val="nil"/>
              <w:right w:val="nil"/>
            </w:tcBorders>
            <w:noWrap/>
            <w:vAlign w:val="bottom"/>
            <w:hideMark/>
          </w:tcPr>
          <w:p w14:paraId="58E9A5E5"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Autumn</w:t>
            </w:r>
          </w:p>
        </w:tc>
        <w:tc>
          <w:tcPr>
            <w:tcW w:w="744" w:type="pct"/>
            <w:tcBorders>
              <w:top w:val="nil"/>
              <w:left w:val="nil"/>
              <w:bottom w:val="nil"/>
              <w:right w:val="nil"/>
            </w:tcBorders>
            <w:noWrap/>
            <w:vAlign w:val="bottom"/>
            <w:hideMark/>
          </w:tcPr>
          <w:p w14:paraId="168E346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87C668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0.3639</w:t>
            </w:r>
          </w:p>
        </w:tc>
        <w:tc>
          <w:tcPr>
            <w:tcW w:w="563" w:type="pct"/>
            <w:tcBorders>
              <w:top w:val="nil"/>
              <w:left w:val="nil"/>
              <w:bottom w:val="nil"/>
              <w:right w:val="nil"/>
            </w:tcBorders>
            <w:noWrap/>
            <w:vAlign w:val="bottom"/>
            <w:hideMark/>
          </w:tcPr>
          <w:p w14:paraId="0776E5A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0.01770</w:t>
            </w:r>
          </w:p>
        </w:tc>
        <w:tc>
          <w:tcPr>
            <w:tcW w:w="569" w:type="pct"/>
            <w:tcBorders>
              <w:top w:val="nil"/>
              <w:left w:val="nil"/>
              <w:bottom w:val="nil"/>
              <w:right w:val="nil"/>
            </w:tcBorders>
            <w:noWrap/>
            <w:vAlign w:val="bottom"/>
            <w:hideMark/>
          </w:tcPr>
          <w:p w14:paraId="7753D9A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20.110</w:t>
            </w:r>
          </w:p>
        </w:tc>
        <w:tc>
          <w:tcPr>
            <w:tcW w:w="569" w:type="pct"/>
            <w:tcBorders>
              <w:top w:val="nil"/>
              <w:left w:val="nil"/>
              <w:bottom w:val="nil"/>
              <w:right w:val="nil"/>
            </w:tcBorders>
            <w:noWrap/>
            <w:vAlign w:val="bottom"/>
            <w:hideMark/>
          </w:tcPr>
          <w:p w14:paraId="66D1D42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0.011</w:t>
            </w:r>
          </w:p>
        </w:tc>
        <w:tc>
          <w:tcPr>
            <w:tcW w:w="567" w:type="pct"/>
            <w:tcBorders>
              <w:top w:val="nil"/>
              <w:left w:val="nil"/>
              <w:bottom w:val="nil"/>
              <w:right w:val="nil"/>
            </w:tcBorders>
            <w:noWrap/>
            <w:vAlign w:val="bottom"/>
            <w:hideMark/>
          </w:tcPr>
          <w:p w14:paraId="1AC4B90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C2A56AB" w14:textId="77777777" w:rsidTr="00740FB8">
        <w:trPr>
          <w:trHeight w:val="300"/>
        </w:trPr>
        <w:tc>
          <w:tcPr>
            <w:tcW w:w="1412" w:type="pct"/>
            <w:tcBorders>
              <w:top w:val="nil"/>
              <w:left w:val="nil"/>
              <w:bottom w:val="nil"/>
              <w:right w:val="nil"/>
            </w:tcBorders>
            <w:noWrap/>
            <w:vAlign w:val="bottom"/>
            <w:hideMark/>
          </w:tcPr>
          <w:p w14:paraId="25257A13"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Residual</w:t>
            </w:r>
          </w:p>
        </w:tc>
        <w:tc>
          <w:tcPr>
            <w:tcW w:w="744" w:type="pct"/>
            <w:tcBorders>
              <w:top w:val="nil"/>
              <w:left w:val="nil"/>
              <w:bottom w:val="nil"/>
              <w:right w:val="nil"/>
            </w:tcBorders>
            <w:noWrap/>
            <w:vAlign w:val="bottom"/>
            <w:hideMark/>
          </w:tcPr>
          <w:p w14:paraId="29C8E1C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39</w:t>
            </w:r>
          </w:p>
        </w:tc>
        <w:tc>
          <w:tcPr>
            <w:tcW w:w="575" w:type="pct"/>
            <w:tcBorders>
              <w:top w:val="nil"/>
              <w:left w:val="nil"/>
              <w:bottom w:val="nil"/>
              <w:right w:val="nil"/>
            </w:tcBorders>
            <w:noWrap/>
            <w:vAlign w:val="bottom"/>
            <w:hideMark/>
          </w:tcPr>
          <w:p w14:paraId="1A895B1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70.577</w:t>
            </w:r>
          </w:p>
        </w:tc>
        <w:tc>
          <w:tcPr>
            <w:tcW w:w="563" w:type="pct"/>
            <w:tcBorders>
              <w:top w:val="nil"/>
              <w:left w:val="nil"/>
              <w:bottom w:val="nil"/>
              <w:right w:val="nil"/>
            </w:tcBorders>
            <w:noWrap/>
            <w:vAlign w:val="bottom"/>
            <w:hideMark/>
          </w:tcPr>
          <w:p w14:paraId="2278611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0.34330</w:t>
            </w:r>
          </w:p>
        </w:tc>
        <w:tc>
          <w:tcPr>
            <w:tcW w:w="569" w:type="pct"/>
            <w:tcBorders>
              <w:top w:val="nil"/>
              <w:left w:val="nil"/>
              <w:bottom w:val="nil"/>
              <w:right w:val="nil"/>
            </w:tcBorders>
            <w:noWrap/>
            <w:vAlign w:val="bottom"/>
            <w:hideMark/>
          </w:tcPr>
          <w:p w14:paraId="7F32749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nil"/>
              <w:right w:val="nil"/>
            </w:tcBorders>
            <w:noWrap/>
            <w:vAlign w:val="bottom"/>
            <w:hideMark/>
          </w:tcPr>
          <w:p w14:paraId="4DB0BE7E"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bottom w:val="nil"/>
              <w:right w:val="nil"/>
            </w:tcBorders>
            <w:noWrap/>
            <w:vAlign w:val="bottom"/>
            <w:hideMark/>
          </w:tcPr>
          <w:p w14:paraId="1088D399"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09806877" w14:textId="77777777" w:rsidTr="00740FB8">
        <w:trPr>
          <w:trHeight w:val="300"/>
        </w:trPr>
        <w:tc>
          <w:tcPr>
            <w:tcW w:w="1412" w:type="pct"/>
            <w:tcBorders>
              <w:top w:val="nil"/>
              <w:left w:val="nil"/>
              <w:bottom w:val="nil"/>
              <w:right w:val="nil"/>
            </w:tcBorders>
            <w:noWrap/>
            <w:vAlign w:val="bottom"/>
            <w:hideMark/>
          </w:tcPr>
          <w:p w14:paraId="2F4BBFE7"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Total</w:t>
            </w:r>
          </w:p>
        </w:tc>
        <w:tc>
          <w:tcPr>
            <w:tcW w:w="744" w:type="pct"/>
            <w:tcBorders>
              <w:top w:val="nil"/>
              <w:left w:val="nil"/>
              <w:bottom w:val="nil"/>
              <w:right w:val="nil"/>
            </w:tcBorders>
            <w:noWrap/>
            <w:vAlign w:val="bottom"/>
            <w:hideMark/>
          </w:tcPr>
          <w:p w14:paraId="080DDC6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53</w:t>
            </w:r>
          </w:p>
        </w:tc>
        <w:tc>
          <w:tcPr>
            <w:tcW w:w="575" w:type="pct"/>
            <w:tcBorders>
              <w:top w:val="nil"/>
              <w:left w:val="nil"/>
              <w:bottom w:val="nil"/>
              <w:right w:val="nil"/>
            </w:tcBorders>
            <w:noWrap/>
            <w:vAlign w:val="bottom"/>
            <w:hideMark/>
          </w:tcPr>
          <w:p w14:paraId="16CD534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205.587</w:t>
            </w:r>
          </w:p>
        </w:tc>
        <w:tc>
          <w:tcPr>
            <w:tcW w:w="563" w:type="pct"/>
            <w:tcBorders>
              <w:top w:val="nil"/>
              <w:left w:val="nil"/>
              <w:bottom w:val="nil"/>
              <w:right w:val="nil"/>
            </w:tcBorders>
            <w:noWrap/>
            <w:vAlign w:val="bottom"/>
            <w:hideMark/>
          </w:tcPr>
          <w:p w14:paraId="5E01A2C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100.000</w:t>
            </w:r>
          </w:p>
        </w:tc>
        <w:tc>
          <w:tcPr>
            <w:tcW w:w="569" w:type="pct"/>
            <w:tcBorders>
              <w:top w:val="nil"/>
              <w:left w:val="nil"/>
              <w:bottom w:val="nil"/>
              <w:right w:val="nil"/>
            </w:tcBorders>
            <w:noWrap/>
            <w:vAlign w:val="bottom"/>
            <w:hideMark/>
          </w:tcPr>
          <w:p w14:paraId="7FCEF5D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nil"/>
              <w:right w:val="nil"/>
            </w:tcBorders>
            <w:noWrap/>
            <w:vAlign w:val="bottom"/>
            <w:hideMark/>
          </w:tcPr>
          <w:p w14:paraId="41BA7733"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bottom w:val="nil"/>
              <w:right w:val="nil"/>
            </w:tcBorders>
            <w:noWrap/>
            <w:vAlign w:val="bottom"/>
            <w:hideMark/>
          </w:tcPr>
          <w:p w14:paraId="297BB2A0"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560F1830" w14:textId="77777777" w:rsidTr="00740FB8">
        <w:trPr>
          <w:trHeight w:val="300"/>
        </w:trPr>
        <w:tc>
          <w:tcPr>
            <w:tcW w:w="5000" w:type="pct"/>
            <w:gridSpan w:val="7"/>
            <w:tcBorders>
              <w:left w:val="nil"/>
              <w:right w:val="nil"/>
            </w:tcBorders>
            <w:noWrap/>
            <w:vAlign w:val="center"/>
            <w:hideMark/>
          </w:tcPr>
          <w:p w14:paraId="1E344385" w14:textId="77777777" w:rsidR="005D218F" w:rsidRPr="005D218F" w:rsidRDefault="005D218F" w:rsidP="00740FB8">
            <w:pP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Unweighted Uni-Frac</w:t>
            </w:r>
          </w:p>
        </w:tc>
      </w:tr>
      <w:tr w:rsidR="005D218F" w:rsidRPr="005D218F" w14:paraId="22FFA162" w14:textId="77777777" w:rsidTr="00740FB8">
        <w:trPr>
          <w:trHeight w:val="300"/>
        </w:trPr>
        <w:tc>
          <w:tcPr>
            <w:tcW w:w="1412" w:type="pct"/>
            <w:tcBorders>
              <w:left w:val="nil"/>
              <w:bottom w:val="nil"/>
              <w:right w:val="nil"/>
            </w:tcBorders>
            <w:noWrap/>
            <w:vAlign w:val="bottom"/>
            <w:hideMark/>
          </w:tcPr>
          <w:p w14:paraId="1C1FBF3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Summer</w:t>
            </w:r>
          </w:p>
        </w:tc>
        <w:tc>
          <w:tcPr>
            <w:tcW w:w="744" w:type="pct"/>
            <w:tcBorders>
              <w:left w:val="nil"/>
              <w:bottom w:val="nil"/>
              <w:right w:val="nil"/>
            </w:tcBorders>
            <w:noWrap/>
            <w:vAlign w:val="bottom"/>
            <w:hideMark/>
          </w:tcPr>
          <w:p w14:paraId="08F8137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left w:val="nil"/>
              <w:bottom w:val="nil"/>
              <w:right w:val="nil"/>
            </w:tcBorders>
            <w:noWrap/>
            <w:vAlign w:val="bottom"/>
            <w:hideMark/>
          </w:tcPr>
          <w:p w14:paraId="300EF48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17.951</w:t>
            </w:r>
          </w:p>
        </w:tc>
        <w:tc>
          <w:tcPr>
            <w:tcW w:w="563" w:type="pct"/>
            <w:tcBorders>
              <w:left w:val="nil"/>
              <w:bottom w:val="nil"/>
              <w:right w:val="nil"/>
            </w:tcBorders>
            <w:noWrap/>
            <w:vAlign w:val="bottom"/>
            <w:hideMark/>
          </w:tcPr>
          <w:p w14:paraId="48C7990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0.15303</w:t>
            </w:r>
          </w:p>
        </w:tc>
        <w:tc>
          <w:tcPr>
            <w:tcW w:w="569" w:type="pct"/>
            <w:tcBorders>
              <w:left w:val="nil"/>
              <w:bottom w:val="nil"/>
              <w:right w:val="nil"/>
            </w:tcBorders>
            <w:noWrap/>
            <w:vAlign w:val="bottom"/>
            <w:hideMark/>
          </w:tcPr>
          <w:p w14:paraId="2C46DEB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160.734</w:t>
            </w:r>
          </w:p>
        </w:tc>
        <w:tc>
          <w:tcPr>
            <w:tcW w:w="569" w:type="pct"/>
            <w:tcBorders>
              <w:left w:val="nil"/>
              <w:bottom w:val="nil"/>
              <w:right w:val="nil"/>
            </w:tcBorders>
            <w:noWrap/>
            <w:vAlign w:val="bottom"/>
            <w:hideMark/>
          </w:tcPr>
          <w:p w14:paraId="35DBC4C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left w:val="nil"/>
              <w:bottom w:val="nil"/>
              <w:right w:val="nil"/>
            </w:tcBorders>
            <w:noWrap/>
            <w:vAlign w:val="bottom"/>
            <w:hideMark/>
          </w:tcPr>
          <w:p w14:paraId="4B1941D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980219F" w14:textId="77777777" w:rsidTr="00740FB8">
        <w:trPr>
          <w:trHeight w:val="300"/>
        </w:trPr>
        <w:tc>
          <w:tcPr>
            <w:tcW w:w="1412" w:type="pct"/>
            <w:tcBorders>
              <w:top w:val="nil"/>
              <w:left w:val="nil"/>
              <w:bottom w:val="nil"/>
              <w:right w:val="nil"/>
            </w:tcBorders>
            <w:noWrap/>
            <w:vAlign w:val="bottom"/>
            <w:hideMark/>
          </w:tcPr>
          <w:p w14:paraId="43DF02FE"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Main Distribution</w:t>
            </w:r>
          </w:p>
        </w:tc>
        <w:tc>
          <w:tcPr>
            <w:tcW w:w="744" w:type="pct"/>
            <w:tcBorders>
              <w:top w:val="nil"/>
              <w:left w:val="nil"/>
              <w:bottom w:val="nil"/>
              <w:right w:val="nil"/>
            </w:tcBorders>
            <w:noWrap/>
            <w:vAlign w:val="bottom"/>
            <w:hideMark/>
          </w:tcPr>
          <w:p w14:paraId="5D82B4A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7A5A019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12.338</w:t>
            </w:r>
          </w:p>
        </w:tc>
        <w:tc>
          <w:tcPr>
            <w:tcW w:w="563" w:type="pct"/>
            <w:tcBorders>
              <w:top w:val="nil"/>
              <w:left w:val="nil"/>
              <w:bottom w:val="nil"/>
              <w:right w:val="nil"/>
            </w:tcBorders>
            <w:noWrap/>
            <w:vAlign w:val="bottom"/>
            <w:hideMark/>
          </w:tcPr>
          <w:p w14:paraId="69FD3A7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0.10518</w:t>
            </w:r>
          </w:p>
        </w:tc>
        <w:tc>
          <w:tcPr>
            <w:tcW w:w="569" w:type="pct"/>
            <w:tcBorders>
              <w:top w:val="nil"/>
              <w:left w:val="nil"/>
              <w:bottom w:val="nil"/>
              <w:right w:val="nil"/>
            </w:tcBorders>
            <w:noWrap/>
            <w:vAlign w:val="bottom"/>
            <w:hideMark/>
          </w:tcPr>
          <w:p w14:paraId="32B9552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110.477</w:t>
            </w:r>
          </w:p>
        </w:tc>
        <w:tc>
          <w:tcPr>
            <w:tcW w:w="569" w:type="pct"/>
            <w:tcBorders>
              <w:top w:val="nil"/>
              <w:left w:val="nil"/>
              <w:bottom w:val="nil"/>
              <w:right w:val="nil"/>
            </w:tcBorders>
            <w:noWrap/>
            <w:vAlign w:val="bottom"/>
            <w:hideMark/>
          </w:tcPr>
          <w:p w14:paraId="0B03A1A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255DC5F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372F9BE0" w14:textId="77777777" w:rsidTr="00740FB8">
        <w:trPr>
          <w:trHeight w:val="300"/>
        </w:trPr>
        <w:tc>
          <w:tcPr>
            <w:tcW w:w="1412" w:type="pct"/>
            <w:tcBorders>
              <w:top w:val="nil"/>
              <w:left w:val="nil"/>
              <w:bottom w:val="nil"/>
              <w:right w:val="nil"/>
            </w:tcBorders>
            <w:noWrap/>
            <w:vAlign w:val="bottom"/>
            <w:hideMark/>
          </w:tcPr>
          <w:p w14:paraId="63968D87"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Water</w:t>
            </w:r>
          </w:p>
        </w:tc>
        <w:tc>
          <w:tcPr>
            <w:tcW w:w="744" w:type="pct"/>
            <w:tcBorders>
              <w:top w:val="nil"/>
              <w:left w:val="nil"/>
              <w:bottom w:val="nil"/>
              <w:right w:val="nil"/>
            </w:tcBorders>
            <w:noWrap/>
            <w:vAlign w:val="bottom"/>
            <w:hideMark/>
          </w:tcPr>
          <w:p w14:paraId="21C059C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B41B43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11.102</w:t>
            </w:r>
          </w:p>
        </w:tc>
        <w:tc>
          <w:tcPr>
            <w:tcW w:w="563" w:type="pct"/>
            <w:tcBorders>
              <w:top w:val="nil"/>
              <w:left w:val="nil"/>
              <w:bottom w:val="nil"/>
              <w:right w:val="nil"/>
            </w:tcBorders>
            <w:noWrap/>
            <w:vAlign w:val="bottom"/>
            <w:hideMark/>
          </w:tcPr>
          <w:p w14:paraId="52AB51E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0.09464</w:t>
            </w:r>
          </w:p>
        </w:tc>
        <w:tc>
          <w:tcPr>
            <w:tcW w:w="569" w:type="pct"/>
            <w:tcBorders>
              <w:top w:val="nil"/>
              <w:left w:val="nil"/>
              <w:bottom w:val="nil"/>
              <w:right w:val="nil"/>
            </w:tcBorders>
            <w:noWrap/>
            <w:vAlign w:val="bottom"/>
            <w:hideMark/>
          </w:tcPr>
          <w:p w14:paraId="1173214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99.405</w:t>
            </w:r>
          </w:p>
        </w:tc>
        <w:tc>
          <w:tcPr>
            <w:tcW w:w="569" w:type="pct"/>
            <w:tcBorders>
              <w:top w:val="nil"/>
              <w:left w:val="nil"/>
              <w:bottom w:val="nil"/>
              <w:right w:val="nil"/>
            </w:tcBorders>
            <w:noWrap/>
            <w:vAlign w:val="bottom"/>
            <w:hideMark/>
          </w:tcPr>
          <w:p w14:paraId="08CF95E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1EB5955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401D3E6" w14:textId="77777777" w:rsidTr="00740FB8">
        <w:trPr>
          <w:trHeight w:val="300"/>
        </w:trPr>
        <w:tc>
          <w:tcPr>
            <w:tcW w:w="1412" w:type="pct"/>
            <w:tcBorders>
              <w:top w:val="nil"/>
              <w:left w:val="nil"/>
              <w:bottom w:val="nil"/>
              <w:right w:val="nil"/>
            </w:tcBorders>
            <w:noWrap/>
            <w:vAlign w:val="bottom"/>
            <w:hideMark/>
          </w:tcPr>
          <w:p w14:paraId="387BB5B8"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Polyethylene</w:t>
            </w:r>
          </w:p>
        </w:tc>
        <w:tc>
          <w:tcPr>
            <w:tcW w:w="744" w:type="pct"/>
            <w:tcBorders>
              <w:top w:val="nil"/>
              <w:left w:val="nil"/>
              <w:bottom w:val="nil"/>
              <w:right w:val="nil"/>
            </w:tcBorders>
            <w:noWrap/>
            <w:vAlign w:val="bottom"/>
            <w:hideMark/>
          </w:tcPr>
          <w:p w14:paraId="7CF7296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0FC8B9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0.4627</w:t>
            </w:r>
          </w:p>
        </w:tc>
        <w:tc>
          <w:tcPr>
            <w:tcW w:w="563" w:type="pct"/>
            <w:tcBorders>
              <w:top w:val="nil"/>
              <w:left w:val="nil"/>
              <w:bottom w:val="nil"/>
              <w:right w:val="nil"/>
            </w:tcBorders>
            <w:noWrap/>
            <w:vAlign w:val="bottom"/>
            <w:hideMark/>
          </w:tcPr>
          <w:p w14:paraId="63850A9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0.03945</w:t>
            </w:r>
          </w:p>
        </w:tc>
        <w:tc>
          <w:tcPr>
            <w:tcW w:w="569" w:type="pct"/>
            <w:tcBorders>
              <w:top w:val="nil"/>
              <w:left w:val="nil"/>
              <w:bottom w:val="nil"/>
              <w:right w:val="nil"/>
            </w:tcBorders>
            <w:noWrap/>
            <w:vAlign w:val="bottom"/>
            <w:hideMark/>
          </w:tcPr>
          <w:p w14:paraId="01F3DC5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41.433</w:t>
            </w:r>
          </w:p>
        </w:tc>
        <w:tc>
          <w:tcPr>
            <w:tcW w:w="569" w:type="pct"/>
            <w:tcBorders>
              <w:top w:val="nil"/>
              <w:left w:val="nil"/>
              <w:bottom w:val="nil"/>
              <w:right w:val="nil"/>
            </w:tcBorders>
            <w:noWrap/>
            <w:vAlign w:val="bottom"/>
            <w:hideMark/>
          </w:tcPr>
          <w:p w14:paraId="0358796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74372E8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5052D84" w14:textId="77777777" w:rsidTr="00740FB8">
        <w:trPr>
          <w:trHeight w:val="300"/>
        </w:trPr>
        <w:tc>
          <w:tcPr>
            <w:tcW w:w="1412" w:type="pct"/>
            <w:tcBorders>
              <w:top w:val="nil"/>
              <w:left w:val="nil"/>
              <w:bottom w:val="nil"/>
              <w:right w:val="nil"/>
            </w:tcBorders>
            <w:noWrap/>
            <w:vAlign w:val="bottom"/>
            <w:hideMark/>
          </w:tcPr>
          <w:p w14:paraId="552ACC7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Sediment</w:t>
            </w:r>
          </w:p>
        </w:tc>
        <w:tc>
          <w:tcPr>
            <w:tcW w:w="744" w:type="pct"/>
            <w:tcBorders>
              <w:top w:val="nil"/>
              <w:left w:val="nil"/>
              <w:bottom w:val="nil"/>
              <w:right w:val="nil"/>
            </w:tcBorders>
            <w:noWrap/>
            <w:vAlign w:val="bottom"/>
            <w:hideMark/>
          </w:tcPr>
          <w:p w14:paraId="65F3982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4D20C13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0.3958</w:t>
            </w:r>
          </w:p>
        </w:tc>
        <w:tc>
          <w:tcPr>
            <w:tcW w:w="563" w:type="pct"/>
            <w:tcBorders>
              <w:top w:val="nil"/>
              <w:left w:val="nil"/>
              <w:bottom w:val="nil"/>
              <w:right w:val="nil"/>
            </w:tcBorders>
            <w:noWrap/>
            <w:vAlign w:val="bottom"/>
            <w:hideMark/>
          </w:tcPr>
          <w:p w14:paraId="7CA266C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0.03375</w:t>
            </w:r>
          </w:p>
        </w:tc>
        <w:tc>
          <w:tcPr>
            <w:tcW w:w="569" w:type="pct"/>
            <w:tcBorders>
              <w:top w:val="nil"/>
              <w:left w:val="nil"/>
              <w:bottom w:val="nil"/>
              <w:right w:val="nil"/>
            </w:tcBorders>
            <w:noWrap/>
            <w:vAlign w:val="bottom"/>
            <w:hideMark/>
          </w:tcPr>
          <w:p w14:paraId="7D4CBDE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35.443</w:t>
            </w:r>
          </w:p>
        </w:tc>
        <w:tc>
          <w:tcPr>
            <w:tcW w:w="569" w:type="pct"/>
            <w:tcBorders>
              <w:top w:val="nil"/>
              <w:left w:val="nil"/>
              <w:bottom w:val="nil"/>
              <w:right w:val="nil"/>
            </w:tcBorders>
            <w:noWrap/>
            <w:vAlign w:val="bottom"/>
            <w:hideMark/>
          </w:tcPr>
          <w:p w14:paraId="041EEF6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31D35F8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DC2ADE3" w14:textId="77777777" w:rsidTr="00740FB8">
        <w:trPr>
          <w:trHeight w:val="300"/>
        </w:trPr>
        <w:tc>
          <w:tcPr>
            <w:tcW w:w="1412" w:type="pct"/>
            <w:tcBorders>
              <w:top w:val="nil"/>
              <w:left w:val="nil"/>
              <w:bottom w:val="nil"/>
              <w:right w:val="nil"/>
            </w:tcBorders>
            <w:noWrap/>
            <w:vAlign w:val="bottom"/>
            <w:hideMark/>
          </w:tcPr>
          <w:p w14:paraId="02AFE884"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Winter</w:t>
            </w:r>
          </w:p>
        </w:tc>
        <w:tc>
          <w:tcPr>
            <w:tcW w:w="744" w:type="pct"/>
            <w:tcBorders>
              <w:top w:val="nil"/>
              <w:left w:val="nil"/>
              <w:bottom w:val="nil"/>
              <w:right w:val="nil"/>
            </w:tcBorders>
            <w:noWrap/>
            <w:vAlign w:val="bottom"/>
            <w:hideMark/>
          </w:tcPr>
          <w:p w14:paraId="3177AEF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578067F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0.3615</w:t>
            </w:r>
          </w:p>
        </w:tc>
        <w:tc>
          <w:tcPr>
            <w:tcW w:w="563" w:type="pct"/>
            <w:tcBorders>
              <w:top w:val="nil"/>
              <w:left w:val="nil"/>
              <w:bottom w:val="nil"/>
              <w:right w:val="nil"/>
            </w:tcBorders>
            <w:noWrap/>
            <w:vAlign w:val="bottom"/>
            <w:hideMark/>
          </w:tcPr>
          <w:p w14:paraId="74205F1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0.03082</w:t>
            </w:r>
          </w:p>
        </w:tc>
        <w:tc>
          <w:tcPr>
            <w:tcW w:w="569" w:type="pct"/>
            <w:tcBorders>
              <w:top w:val="nil"/>
              <w:left w:val="nil"/>
              <w:bottom w:val="nil"/>
              <w:right w:val="nil"/>
            </w:tcBorders>
            <w:noWrap/>
            <w:vAlign w:val="bottom"/>
            <w:hideMark/>
          </w:tcPr>
          <w:p w14:paraId="18ECEDB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32.373</w:t>
            </w:r>
          </w:p>
        </w:tc>
        <w:tc>
          <w:tcPr>
            <w:tcW w:w="569" w:type="pct"/>
            <w:tcBorders>
              <w:top w:val="nil"/>
              <w:left w:val="nil"/>
              <w:bottom w:val="nil"/>
              <w:right w:val="nil"/>
            </w:tcBorders>
            <w:noWrap/>
            <w:vAlign w:val="bottom"/>
            <w:hideMark/>
          </w:tcPr>
          <w:p w14:paraId="54676E5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w:t>
            </w:r>
          </w:p>
        </w:tc>
        <w:tc>
          <w:tcPr>
            <w:tcW w:w="567" w:type="pct"/>
            <w:tcBorders>
              <w:top w:val="nil"/>
              <w:left w:val="nil"/>
              <w:bottom w:val="nil"/>
              <w:right w:val="nil"/>
            </w:tcBorders>
            <w:noWrap/>
            <w:vAlign w:val="bottom"/>
            <w:hideMark/>
          </w:tcPr>
          <w:p w14:paraId="1F013E6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19E0477" w14:textId="77777777" w:rsidTr="00740FB8">
        <w:trPr>
          <w:trHeight w:val="300"/>
        </w:trPr>
        <w:tc>
          <w:tcPr>
            <w:tcW w:w="1412" w:type="pct"/>
            <w:tcBorders>
              <w:top w:val="nil"/>
              <w:left w:val="nil"/>
              <w:bottom w:val="nil"/>
              <w:right w:val="nil"/>
            </w:tcBorders>
            <w:noWrap/>
            <w:vAlign w:val="bottom"/>
            <w:hideMark/>
          </w:tcPr>
          <w:p w14:paraId="00959C1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Total Coliforms</w:t>
            </w:r>
          </w:p>
        </w:tc>
        <w:tc>
          <w:tcPr>
            <w:tcW w:w="744" w:type="pct"/>
            <w:tcBorders>
              <w:top w:val="nil"/>
              <w:left w:val="nil"/>
              <w:bottom w:val="nil"/>
              <w:right w:val="nil"/>
            </w:tcBorders>
            <w:noWrap/>
            <w:vAlign w:val="bottom"/>
            <w:hideMark/>
          </w:tcPr>
          <w:p w14:paraId="06928BF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F0FE8C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0.3461</w:t>
            </w:r>
          </w:p>
        </w:tc>
        <w:tc>
          <w:tcPr>
            <w:tcW w:w="563" w:type="pct"/>
            <w:tcBorders>
              <w:top w:val="nil"/>
              <w:left w:val="nil"/>
              <w:bottom w:val="nil"/>
              <w:right w:val="nil"/>
            </w:tcBorders>
            <w:noWrap/>
            <w:vAlign w:val="bottom"/>
            <w:hideMark/>
          </w:tcPr>
          <w:p w14:paraId="6063120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0.02950</w:t>
            </w:r>
          </w:p>
        </w:tc>
        <w:tc>
          <w:tcPr>
            <w:tcW w:w="569" w:type="pct"/>
            <w:tcBorders>
              <w:top w:val="nil"/>
              <w:left w:val="nil"/>
              <w:bottom w:val="nil"/>
              <w:right w:val="nil"/>
            </w:tcBorders>
            <w:noWrap/>
            <w:vAlign w:val="bottom"/>
            <w:hideMark/>
          </w:tcPr>
          <w:p w14:paraId="53B7029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30.987</w:t>
            </w:r>
          </w:p>
        </w:tc>
        <w:tc>
          <w:tcPr>
            <w:tcW w:w="569" w:type="pct"/>
            <w:tcBorders>
              <w:top w:val="nil"/>
              <w:left w:val="nil"/>
              <w:bottom w:val="nil"/>
              <w:right w:val="nil"/>
            </w:tcBorders>
            <w:noWrap/>
            <w:vAlign w:val="bottom"/>
            <w:hideMark/>
          </w:tcPr>
          <w:p w14:paraId="2EEC0EB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0.005</w:t>
            </w:r>
          </w:p>
        </w:tc>
        <w:tc>
          <w:tcPr>
            <w:tcW w:w="567" w:type="pct"/>
            <w:tcBorders>
              <w:top w:val="nil"/>
              <w:left w:val="nil"/>
              <w:bottom w:val="nil"/>
              <w:right w:val="nil"/>
            </w:tcBorders>
            <w:noWrap/>
            <w:vAlign w:val="bottom"/>
            <w:hideMark/>
          </w:tcPr>
          <w:p w14:paraId="30FE2A0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7F7E9DB7" w14:textId="77777777" w:rsidTr="00740FB8">
        <w:trPr>
          <w:trHeight w:val="300"/>
        </w:trPr>
        <w:tc>
          <w:tcPr>
            <w:tcW w:w="1412" w:type="pct"/>
            <w:tcBorders>
              <w:top w:val="nil"/>
              <w:left w:val="nil"/>
              <w:bottom w:val="nil"/>
              <w:right w:val="nil"/>
            </w:tcBorders>
            <w:noWrap/>
            <w:vAlign w:val="bottom"/>
            <w:hideMark/>
          </w:tcPr>
          <w:p w14:paraId="461E0120"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Three Months</w:t>
            </w:r>
          </w:p>
        </w:tc>
        <w:tc>
          <w:tcPr>
            <w:tcW w:w="744" w:type="pct"/>
            <w:tcBorders>
              <w:top w:val="nil"/>
              <w:left w:val="nil"/>
              <w:bottom w:val="nil"/>
              <w:right w:val="nil"/>
            </w:tcBorders>
            <w:noWrap/>
            <w:vAlign w:val="bottom"/>
            <w:hideMark/>
          </w:tcPr>
          <w:p w14:paraId="081E15C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536FF8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0.2856</w:t>
            </w:r>
          </w:p>
        </w:tc>
        <w:tc>
          <w:tcPr>
            <w:tcW w:w="563" w:type="pct"/>
            <w:tcBorders>
              <w:top w:val="nil"/>
              <w:left w:val="nil"/>
              <w:bottom w:val="nil"/>
              <w:right w:val="nil"/>
            </w:tcBorders>
            <w:noWrap/>
            <w:vAlign w:val="bottom"/>
            <w:hideMark/>
          </w:tcPr>
          <w:p w14:paraId="29F60F1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0.02435</w:t>
            </w:r>
          </w:p>
        </w:tc>
        <w:tc>
          <w:tcPr>
            <w:tcW w:w="569" w:type="pct"/>
            <w:tcBorders>
              <w:top w:val="nil"/>
              <w:left w:val="nil"/>
              <w:bottom w:val="nil"/>
              <w:right w:val="nil"/>
            </w:tcBorders>
            <w:noWrap/>
            <w:vAlign w:val="bottom"/>
            <w:hideMark/>
          </w:tcPr>
          <w:p w14:paraId="5FAE143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25.576</w:t>
            </w:r>
          </w:p>
        </w:tc>
        <w:tc>
          <w:tcPr>
            <w:tcW w:w="569" w:type="pct"/>
            <w:tcBorders>
              <w:top w:val="nil"/>
              <w:left w:val="nil"/>
              <w:bottom w:val="nil"/>
              <w:right w:val="nil"/>
            </w:tcBorders>
            <w:noWrap/>
            <w:vAlign w:val="bottom"/>
            <w:hideMark/>
          </w:tcPr>
          <w:p w14:paraId="344B400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0.012</w:t>
            </w:r>
          </w:p>
        </w:tc>
        <w:tc>
          <w:tcPr>
            <w:tcW w:w="567" w:type="pct"/>
            <w:tcBorders>
              <w:top w:val="nil"/>
              <w:left w:val="nil"/>
              <w:bottom w:val="nil"/>
              <w:right w:val="nil"/>
            </w:tcBorders>
            <w:noWrap/>
            <w:vAlign w:val="bottom"/>
            <w:hideMark/>
          </w:tcPr>
          <w:p w14:paraId="45E50F0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A19D2FC" w14:textId="77777777" w:rsidTr="00740FB8">
        <w:trPr>
          <w:trHeight w:val="300"/>
        </w:trPr>
        <w:tc>
          <w:tcPr>
            <w:tcW w:w="1412" w:type="pct"/>
            <w:tcBorders>
              <w:top w:val="nil"/>
              <w:left w:val="nil"/>
              <w:bottom w:val="nil"/>
              <w:right w:val="nil"/>
            </w:tcBorders>
            <w:noWrap/>
            <w:vAlign w:val="bottom"/>
            <w:hideMark/>
          </w:tcPr>
          <w:p w14:paraId="37756054"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Concrete Wall</w:t>
            </w:r>
          </w:p>
        </w:tc>
        <w:tc>
          <w:tcPr>
            <w:tcW w:w="744" w:type="pct"/>
            <w:tcBorders>
              <w:top w:val="nil"/>
              <w:left w:val="nil"/>
              <w:bottom w:val="nil"/>
              <w:right w:val="nil"/>
            </w:tcBorders>
            <w:noWrap/>
            <w:vAlign w:val="bottom"/>
            <w:hideMark/>
          </w:tcPr>
          <w:p w14:paraId="2CFD514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D23032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0.2791</w:t>
            </w:r>
          </w:p>
        </w:tc>
        <w:tc>
          <w:tcPr>
            <w:tcW w:w="563" w:type="pct"/>
            <w:tcBorders>
              <w:top w:val="nil"/>
              <w:left w:val="nil"/>
              <w:bottom w:val="nil"/>
              <w:right w:val="nil"/>
            </w:tcBorders>
            <w:noWrap/>
            <w:vAlign w:val="bottom"/>
            <w:hideMark/>
          </w:tcPr>
          <w:p w14:paraId="133DCA0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0.02379</w:t>
            </w:r>
          </w:p>
        </w:tc>
        <w:tc>
          <w:tcPr>
            <w:tcW w:w="569" w:type="pct"/>
            <w:tcBorders>
              <w:top w:val="nil"/>
              <w:left w:val="nil"/>
              <w:bottom w:val="nil"/>
              <w:right w:val="nil"/>
            </w:tcBorders>
            <w:noWrap/>
            <w:vAlign w:val="bottom"/>
            <w:hideMark/>
          </w:tcPr>
          <w:p w14:paraId="447BA7D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24.990</w:t>
            </w:r>
          </w:p>
        </w:tc>
        <w:tc>
          <w:tcPr>
            <w:tcW w:w="569" w:type="pct"/>
            <w:tcBorders>
              <w:top w:val="nil"/>
              <w:left w:val="nil"/>
              <w:bottom w:val="nil"/>
              <w:right w:val="nil"/>
            </w:tcBorders>
            <w:noWrap/>
            <w:vAlign w:val="bottom"/>
            <w:hideMark/>
          </w:tcPr>
          <w:p w14:paraId="56E19E6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0.019</w:t>
            </w:r>
          </w:p>
        </w:tc>
        <w:tc>
          <w:tcPr>
            <w:tcW w:w="567" w:type="pct"/>
            <w:tcBorders>
              <w:top w:val="nil"/>
              <w:left w:val="nil"/>
              <w:bottom w:val="nil"/>
              <w:right w:val="nil"/>
            </w:tcBorders>
            <w:noWrap/>
            <w:vAlign w:val="bottom"/>
            <w:hideMark/>
          </w:tcPr>
          <w:p w14:paraId="2887502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0113B98" w14:textId="77777777" w:rsidTr="00740FB8">
        <w:trPr>
          <w:trHeight w:val="300"/>
        </w:trPr>
        <w:tc>
          <w:tcPr>
            <w:tcW w:w="1412" w:type="pct"/>
            <w:tcBorders>
              <w:top w:val="nil"/>
              <w:left w:val="nil"/>
              <w:bottom w:val="nil"/>
              <w:right w:val="nil"/>
            </w:tcBorders>
            <w:noWrap/>
            <w:vAlign w:val="bottom"/>
            <w:hideMark/>
          </w:tcPr>
          <w:p w14:paraId="7BBFF4F2"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Twelve Months</w:t>
            </w:r>
          </w:p>
        </w:tc>
        <w:tc>
          <w:tcPr>
            <w:tcW w:w="744" w:type="pct"/>
            <w:tcBorders>
              <w:top w:val="nil"/>
              <w:left w:val="nil"/>
              <w:bottom w:val="nil"/>
              <w:right w:val="nil"/>
            </w:tcBorders>
            <w:noWrap/>
            <w:vAlign w:val="bottom"/>
            <w:hideMark/>
          </w:tcPr>
          <w:p w14:paraId="0E24DB3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6FB2EE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0.2376</w:t>
            </w:r>
          </w:p>
        </w:tc>
        <w:tc>
          <w:tcPr>
            <w:tcW w:w="563" w:type="pct"/>
            <w:tcBorders>
              <w:top w:val="nil"/>
              <w:left w:val="nil"/>
              <w:bottom w:val="nil"/>
              <w:right w:val="nil"/>
            </w:tcBorders>
            <w:noWrap/>
            <w:vAlign w:val="bottom"/>
            <w:hideMark/>
          </w:tcPr>
          <w:p w14:paraId="5D42AD1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0.02026</w:t>
            </w:r>
          </w:p>
        </w:tc>
        <w:tc>
          <w:tcPr>
            <w:tcW w:w="569" w:type="pct"/>
            <w:tcBorders>
              <w:top w:val="nil"/>
              <w:left w:val="nil"/>
              <w:bottom w:val="nil"/>
              <w:right w:val="nil"/>
            </w:tcBorders>
            <w:noWrap/>
            <w:vAlign w:val="bottom"/>
            <w:hideMark/>
          </w:tcPr>
          <w:p w14:paraId="61F7BB3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21.277</w:t>
            </w:r>
          </w:p>
        </w:tc>
        <w:tc>
          <w:tcPr>
            <w:tcW w:w="569" w:type="pct"/>
            <w:tcBorders>
              <w:top w:val="nil"/>
              <w:left w:val="nil"/>
              <w:bottom w:val="nil"/>
              <w:right w:val="nil"/>
            </w:tcBorders>
            <w:noWrap/>
            <w:vAlign w:val="bottom"/>
            <w:hideMark/>
          </w:tcPr>
          <w:p w14:paraId="77D57DE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0.026</w:t>
            </w:r>
          </w:p>
        </w:tc>
        <w:tc>
          <w:tcPr>
            <w:tcW w:w="567" w:type="pct"/>
            <w:tcBorders>
              <w:top w:val="nil"/>
              <w:left w:val="nil"/>
              <w:bottom w:val="nil"/>
              <w:right w:val="nil"/>
            </w:tcBorders>
            <w:noWrap/>
            <w:vAlign w:val="bottom"/>
            <w:hideMark/>
          </w:tcPr>
          <w:p w14:paraId="544CC43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B7E1C8C" w14:textId="77777777" w:rsidTr="00740FB8">
        <w:trPr>
          <w:trHeight w:val="300"/>
        </w:trPr>
        <w:tc>
          <w:tcPr>
            <w:tcW w:w="1412" w:type="pct"/>
            <w:tcBorders>
              <w:top w:val="nil"/>
              <w:left w:val="nil"/>
              <w:bottom w:val="nil"/>
              <w:right w:val="nil"/>
            </w:tcBorders>
            <w:noWrap/>
            <w:vAlign w:val="bottom"/>
            <w:hideMark/>
          </w:tcPr>
          <w:p w14:paraId="5027EB1E"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Six Months</w:t>
            </w:r>
          </w:p>
        </w:tc>
        <w:tc>
          <w:tcPr>
            <w:tcW w:w="744" w:type="pct"/>
            <w:tcBorders>
              <w:top w:val="nil"/>
              <w:left w:val="nil"/>
              <w:bottom w:val="nil"/>
              <w:right w:val="nil"/>
            </w:tcBorders>
            <w:noWrap/>
            <w:vAlign w:val="bottom"/>
            <w:hideMark/>
          </w:tcPr>
          <w:p w14:paraId="2673C0E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41BB4F8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0.2511</w:t>
            </w:r>
          </w:p>
        </w:tc>
        <w:tc>
          <w:tcPr>
            <w:tcW w:w="563" w:type="pct"/>
            <w:tcBorders>
              <w:top w:val="nil"/>
              <w:left w:val="nil"/>
              <w:bottom w:val="nil"/>
              <w:right w:val="nil"/>
            </w:tcBorders>
            <w:noWrap/>
            <w:vAlign w:val="bottom"/>
            <w:hideMark/>
          </w:tcPr>
          <w:p w14:paraId="49E7CFE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0.02141</w:t>
            </w:r>
          </w:p>
        </w:tc>
        <w:tc>
          <w:tcPr>
            <w:tcW w:w="569" w:type="pct"/>
            <w:tcBorders>
              <w:top w:val="nil"/>
              <w:left w:val="nil"/>
              <w:bottom w:val="nil"/>
              <w:right w:val="nil"/>
            </w:tcBorders>
            <w:noWrap/>
            <w:vAlign w:val="bottom"/>
            <w:hideMark/>
          </w:tcPr>
          <w:p w14:paraId="5D20B30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22.486</w:t>
            </w:r>
          </w:p>
        </w:tc>
        <w:tc>
          <w:tcPr>
            <w:tcW w:w="569" w:type="pct"/>
            <w:tcBorders>
              <w:top w:val="nil"/>
              <w:left w:val="nil"/>
              <w:bottom w:val="nil"/>
              <w:right w:val="nil"/>
            </w:tcBorders>
            <w:noWrap/>
            <w:vAlign w:val="bottom"/>
            <w:hideMark/>
          </w:tcPr>
          <w:p w14:paraId="4A80FE0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0.036</w:t>
            </w:r>
          </w:p>
        </w:tc>
        <w:tc>
          <w:tcPr>
            <w:tcW w:w="567" w:type="pct"/>
            <w:tcBorders>
              <w:top w:val="nil"/>
              <w:left w:val="nil"/>
              <w:bottom w:val="nil"/>
              <w:right w:val="nil"/>
            </w:tcBorders>
            <w:noWrap/>
            <w:vAlign w:val="bottom"/>
            <w:hideMark/>
          </w:tcPr>
          <w:p w14:paraId="519DBD9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B8FDD65" w14:textId="77777777" w:rsidTr="00740FB8">
        <w:trPr>
          <w:trHeight w:val="300"/>
        </w:trPr>
        <w:tc>
          <w:tcPr>
            <w:tcW w:w="1412" w:type="pct"/>
            <w:tcBorders>
              <w:top w:val="nil"/>
              <w:left w:val="nil"/>
              <w:bottom w:val="nil"/>
              <w:right w:val="nil"/>
            </w:tcBorders>
            <w:noWrap/>
            <w:vAlign w:val="bottom"/>
            <w:hideMark/>
          </w:tcPr>
          <w:p w14:paraId="2019FB88" w14:textId="77777777" w:rsidR="005D218F" w:rsidRPr="005D218F" w:rsidRDefault="005D218F" w:rsidP="00740FB8">
            <w:pPr>
              <w:jc w:val="right"/>
              <w:rPr>
                <w:rFonts w:ascii="Arial" w:eastAsia="Times New Roman" w:hAnsi="Arial" w:cs="Arial"/>
                <w:i/>
                <w:iCs/>
                <w:color w:val="000000"/>
                <w:kern w:val="0"/>
                <w:sz w:val="20"/>
                <w:szCs w:val="20"/>
                <w:lang w:eastAsia="es-AR"/>
                <w14:ligatures w14:val="none"/>
              </w:rPr>
            </w:pPr>
            <w:r w:rsidRPr="005D218F">
              <w:rPr>
                <w:rFonts w:ascii="Arial" w:eastAsia="Times New Roman" w:hAnsi="Arial" w:cs="Arial"/>
                <w:i/>
                <w:iCs/>
                <w:color w:val="000000"/>
                <w:kern w:val="0"/>
                <w:sz w:val="20"/>
                <w:szCs w:val="20"/>
                <w:lang w:eastAsia="es-AR"/>
                <w14:ligatures w14:val="none"/>
              </w:rPr>
              <w:t>Pseudomonas aeruginosa</w:t>
            </w:r>
          </w:p>
        </w:tc>
        <w:tc>
          <w:tcPr>
            <w:tcW w:w="744" w:type="pct"/>
            <w:tcBorders>
              <w:top w:val="nil"/>
              <w:left w:val="nil"/>
              <w:bottom w:val="nil"/>
              <w:right w:val="nil"/>
            </w:tcBorders>
            <w:noWrap/>
            <w:vAlign w:val="bottom"/>
            <w:hideMark/>
          </w:tcPr>
          <w:p w14:paraId="1FD34DA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855B5F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0.1776</w:t>
            </w:r>
          </w:p>
        </w:tc>
        <w:tc>
          <w:tcPr>
            <w:tcW w:w="563" w:type="pct"/>
            <w:tcBorders>
              <w:top w:val="nil"/>
              <w:left w:val="nil"/>
              <w:bottom w:val="nil"/>
              <w:right w:val="nil"/>
            </w:tcBorders>
            <w:noWrap/>
            <w:vAlign w:val="bottom"/>
            <w:hideMark/>
          </w:tcPr>
          <w:p w14:paraId="5B32791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0.01514</w:t>
            </w:r>
          </w:p>
        </w:tc>
        <w:tc>
          <w:tcPr>
            <w:tcW w:w="569" w:type="pct"/>
            <w:tcBorders>
              <w:top w:val="nil"/>
              <w:left w:val="nil"/>
              <w:bottom w:val="nil"/>
              <w:right w:val="nil"/>
            </w:tcBorders>
            <w:noWrap/>
            <w:vAlign w:val="bottom"/>
            <w:hideMark/>
          </w:tcPr>
          <w:p w14:paraId="3A5CD96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15.902</w:t>
            </w:r>
          </w:p>
        </w:tc>
        <w:tc>
          <w:tcPr>
            <w:tcW w:w="569" w:type="pct"/>
            <w:tcBorders>
              <w:top w:val="nil"/>
              <w:left w:val="nil"/>
              <w:bottom w:val="nil"/>
              <w:right w:val="nil"/>
            </w:tcBorders>
            <w:noWrap/>
            <w:vAlign w:val="bottom"/>
            <w:hideMark/>
          </w:tcPr>
          <w:p w14:paraId="170C062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0.107</w:t>
            </w:r>
          </w:p>
        </w:tc>
        <w:tc>
          <w:tcPr>
            <w:tcW w:w="567" w:type="pct"/>
            <w:tcBorders>
              <w:top w:val="nil"/>
              <w:left w:val="nil"/>
              <w:bottom w:val="nil"/>
              <w:right w:val="nil"/>
            </w:tcBorders>
            <w:noWrap/>
            <w:vAlign w:val="bottom"/>
            <w:hideMark/>
          </w:tcPr>
          <w:p w14:paraId="4355BF1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r>
      <w:tr w:rsidR="005D218F" w:rsidRPr="005D218F" w14:paraId="062E98D3" w14:textId="77777777" w:rsidTr="00740FB8">
        <w:trPr>
          <w:trHeight w:val="300"/>
        </w:trPr>
        <w:tc>
          <w:tcPr>
            <w:tcW w:w="1412" w:type="pct"/>
            <w:tcBorders>
              <w:top w:val="nil"/>
              <w:left w:val="nil"/>
              <w:bottom w:val="nil"/>
              <w:right w:val="nil"/>
            </w:tcBorders>
            <w:noWrap/>
            <w:vAlign w:val="bottom"/>
            <w:hideMark/>
          </w:tcPr>
          <w:p w14:paraId="692D4CF2"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Year 2023</w:t>
            </w:r>
          </w:p>
        </w:tc>
        <w:tc>
          <w:tcPr>
            <w:tcW w:w="744" w:type="pct"/>
            <w:tcBorders>
              <w:top w:val="nil"/>
              <w:left w:val="nil"/>
              <w:bottom w:val="nil"/>
              <w:right w:val="nil"/>
            </w:tcBorders>
            <w:noWrap/>
            <w:vAlign w:val="bottom"/>
            <w:hideMark/>
          </w:tcPr>
          <w:p w14:paraId="09EDD74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4687F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0.1836</w:t>
            </w:r>
          </w:p>
        </w:tc>
        <w:tc>
          <w:tcPr>
            <w:tcW w:w="563" w:type="pct"/>
            <w:tcBorders>
              <w:top w:val="nil"/>
              <w:left w:val="nil"/>
              <w:bottom w:val="nil"/>
              <w:right w:val="nil"/>
            </w:tcBorders>
            <w:noWrap/>
            <w:vAlign w:val="bottom"/>
            <w:hideMark/>
          </w:tcPr>
          <w:p w14:paraId="37FCDB5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0.01565</w:t>
            </w:r>
          </w:p>
        </w:tc>
        <w:tc>
          <w:tcPr>
            <w:tcW w:w="569" w:type="pct"/>
            <w:tcBorders>
              <w:top w:val="nil"/>
              <w:left w:val="nil"/>
              <w:bottom w:val="nil"/>
              <w:right w:val="nil"/>
            </w:tcBorders>
            <w:noWrap/>
            <w:vAlign w:val="bottom"/>
            <w:hideMark/>
          </w:tcPr>
          <w:p w14:paraId="7A77144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16.440</w:t>
            </w:r>
          </w:p>
        </w:tc>
        <w:tc>
          <w:tcPr>
            <w:tcW w:w="569" w:type="pct"/>
            <w:tcBorders>
              <w:top w:val="nil"/>
              <w:left w:val="nil"/>
              <w:bottom w:val="nil"/>
              <w:right w:val="nil"/>
            </w:tcBorders>
            <w:noWrap/>
            <w:vAlign w:val="bottom"/>
            <w:hideMark/>
          </w:tcPr>
          <w:p w14:paraId="455113A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0.088</w:t>
            </w:r>
          </w:p>
        </w:tc>
        <w:tc>
          <w:tcPr>
            <w:tcW w:w="567" w:type="pct"/>
            <w:tcBorders>
              <w:top w:val="nil"/>
              <w:left w:val="nil"/>
              <w:bottom w:val="nil"/>
              <w:right w:val="nil"/>
            </w:tcBorders>
            <w:noWrap/>
            <w:vAlign w:val="bottom"/>
            <w:hideMark/>
          </w:tcPr>
          <w:p w14:paraId="526BA1E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E8D6263" w14:textId="77777777" w:rsidTr="00740FB8">
        <w:trPr>
          <w:trHeight w:val="300"/>
        </w:trPr>
        <w:tc>
          <w:tcPr>
            <w:tcW w:w="1412" w:type="pct"/>
            <w:tcBorders>
              <w:top w:val="nil"/>
              <w:left w:val="nil"/>
              <w:bottom w:val="nil"/>
              <w:right w:val="nil"/>
            </w:tcBorders>
            <w:noWrap/>
            <w:vAlign w:val="bottom"/>
            <w:hideMark/>
          </w:tcPr>
          <w:p w14:paraId="44A986D5" w14:textId="77777777" w:rsidR="005D218F" w:rsidRPr="005D218F" w:rsidRDefault="005D218F" w:rsidP="00740FB8">
            <w:pPr>
              <w:jc w:val="right"/>
              <w:rPr>
                <w:rFonts w:ascii="Arial" w:eastAsia="Times New Roman" w:hAnsi="Arial" w:cs="Arial"/>
                <w:b/>
                <w:bCs/>
                <w:i/>
                <w:iCs/>
                <w:color w:val="000000"/>
                <w:kern w:val="0"/>
                <w:sz w:val="20"/>
                <w:szCs w:val="20"/>
                <w:lang w:eastAsia="es-AR"/>
                <w14:ligatures w14:val="none"/>
              </w:rPr>
            </w:pPr>
            <w:r w:rsidRPr="005D218F">
              <w:rPr>
                <w:rFonts w:ascii="Arial" w:eastAsia="Times New Roman" w:hAnsi="Arial" w:cs="Arial"/>
                <w:b/>
                <w:bCs/>
                <w:i/>
                <w:iCs/>
                <w:color w:val="000000"/>
                <w:kern w:val="0"/>
                <w:sz w:val="20"/>
                <w:szCs w:val="20"/>
                <w:lang w:eastAsia="es-AR"/>
                <w14:ligatures w14:val="none"/>
              </w:rPr>
              <w:t>Escherichia coli</w:t>
            </w:r>
          </w:p>
        </w:tc>
        <w:tc>
          <w:tcPr>
            <w:tcW w:w="744" w:type="pct"/>
            <w:tcBorders>
              <w:top w:val="nil"/>
              <w:left w:val="nil"/>
              <w:bottom w:val="nil"/>
              <w:right w:val="nil"/>
            </w:tcBorders>
            <w:noWrap/>
            <w:vAlign w:val="bottom"/>
            <w:hideMark/>
          </w:tcPr>
          <w:p w14:paraId="36A66B5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29712A9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0.2545</w:t>
            </w:r>
          </w:p>
        </w:tc>
        <w:tc>
          <w:tcPr>
            <w:tcW w:w="563" w:type="pct"/>
            <w:tcBorders>
              <w:top w:val="nil"/>
              <w:left w:val="nil"/>
              <w:bottom w:val="nil"/>
              <w:right w:val="nil"/>
            </w:tcBorders>
            <w:noWrap/>
            <w:vAlign w:val="bottom"/>
            <w:hideMark/>
          </w:tcPr>
          <w:p w14:paraId="757BED5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0.02170</w:t>
            </w:r>
          </w:p>
        </w:tc>
        <w:tc>
          <w:tcPr>
            <w:tcW w:w="569" w:type="pct"/>
            <w:tcBorders>
              <w:top w:val="nil"/>
              <w:left w:val="nil"/>
              <w:bottom w:val="nil"/>
              <w:right w:val="nil"/>
            </w:tcBorders>
            <w:noWrap/>
            <w:vAlign w:val="bottom"/>
            <w:hideMark/>
          </w:tcPr>
          <w:p w14:paraId="2E4C566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22.788</w:t>
            </w:r>
          </w:p>
        </w:tc>
        <w:tc>
          <w:tcPr>
            <w:tcW w:w="569" w:type="pct"/>
            <w:tcBorders>
              <w:top w:val="nil"/>
              <w:left w:val="nil"/>
              <w:bottom w:val="nil"/>
              <w:right w:val="nil"/>
            </w:tcBorders>
            <w:noWrap/>
            <w:vAlign w:val="bottom"/>
            <w:hideMark/>
          </w:tcPr>
          <w:p w14:paraId="419B91B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0.024</w:t>
            </w:r>
          </w:p>
        </w:tc>
        <w:tc>
          <w:tcPr>
            <w:tcW w:w="567" w:type="pct"/>
            <w:tcBorders>
              <w:top w:val="nil"/>
              <w:left w:val="nil"/>
              <w:bottom w:val="nil"/>
              <w:right w:val="nil"/>
            </w:tcBorders>
            <w:noWrap/>
            <w:vAlign w:val="bottom"/>
            <w:hideMark/>
          </w:tcPr>
          <w:p w14:paraId="08332E8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D8B8AB7" w14:textId="77777777" w:rsidTr="00740FB8">
        <w:trPr>
          <w:trHeight w:val="300"/>
        </w:trPr>
        <w:tc>
          <w:tcPr>
            <w:tcW w:w="1412" w:type="pct"/>
            <w:tcBorders>
              <w:top w:val="nil"/>
              <w:left w:val="nil"/>
              <w:bottom w:val="nil"/>
              <w:right w:val="nil"/>
            </w:tcBorders>
            <w:noWrap/>
            <w:vAlign w:val="bottom"/>
            <w:hideMark/>
          </w:tcPr>
          <w:p w14:paraId="01044C48"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Residual</w:t>
            </w:r>
          </w:p>
        </w:tc>
        <w:tc>
          <w:tcPr>
            <w:tcW w:w="744" w:type="pct"/>
            <w:tcBorders>
              <w:top w:val="nil"/>
              <w:left w:val="nil"/>
              <w:bottom w:val="nil"/>
              <w:right w:val="nil"/>
            </w:tcBorders>
            <w:noWrap/>
            <w:vAlign w:val="bottom"/>
            <w:hideMark/>
          </w:tcPr>
          <w:p w14:paraId="1CEF113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39</w:t>
            </w:r>
          </w:p>
        </w:tc>
        <w:tc>
          <w:tcPr>
            <w:tcW w:w="575" w:type="pct"/>
            <w:tcBorders>
              <w:top w:val="nil"/>
              <w:left w:val="nil"/>
              <w:bottom w:val="nil"/>
              <w:right w:val="nil"/>
            </w:tcBorders>
            <w:noWrap/>
            <w:vAlign w:val="bottom"/>
            <w:hideMark/>
          </w:tcPr>
          <w:p w14:paraId="1A753C0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43.556</w:t>
            </w:r>
          </w:p>
        </w:tc>
        <w:tc>
          <w:tcPr>
            <w:tcW w:w="563" w:type="pct"/>
            <w:tcBorders>
              <w:top w:val="nil"/>
              <w:left w:val="nil"/>
              <w:bottom w:val="nil"/>
              <w:right w:val="nil"/>
            </w:tcBorders>
            <w:noWrap/>
            <w:vAlign w:val="bottom"/>
            <w:hideMark/>
          </w:tcPr>
          <w:p w14:paraId="1E8BFED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0.37132</w:t>
            </w:r>
          </w:p>
        </w:tc>
        <w:tc>
          <w:tcPr>
            <w:tcW w:w="569" w:type="pct"/>
            <w:tcBorders>
              <w:top w:val="nil"/>
              <w:left w:val="nil"/>
              <w:bottom w:val="nil"/>
              <w:right w:val="nil"/>
            </w:tcBorders>
            <w:noWrap/>
            <w:vAlign w:val="bottom"/>
            <w:hideMark/>
          </w:tcPr>
          <w:p w14:paraId="7BBB713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nil"/>
              <w:right w:val="nil"/>
            </w:tcBorders>
            <w:noWrap/>
            <w:vAlign w:val="bottom"/>
            <w:hideMark/>
          </w:tcPr>
          <w:p w14:paraId="60F2AED8"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bottom w:val="nil"/>
              <w:right w:val="nil"/>
            </w:tcBorders>
            <w:noWrap/>
            <w:vAlign w:val="bottom"/>
            <w:hideMark/>
          </w:tcPr>
          <w:p w14:paraId="592A79B2"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437B8183" w14:textId="77777777" w:rsidTr="00740FB8">
        <w:trPr>
          <w:trHeight w:val="300"/>
        </w:trPr>
        <w:tc>
          <w:tcPr>
            <w:tcW w:w="1412" w:type="pct"/>
            <w:tcBorders>
              <w:top w:val="nil"/>
              <w:left w:val="nil"/>
              <w:right w:val="nil"/>
            </w:tcBorders>
            <w:noWrap/>
            <w:vAlign w:val="bottom"/>
            <w:hideMark/>
          </w:tcPr>
          <w:p w14:paraId="7D555B47"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Total</w:t>
            </w:r>
          </w:p>
        </w:tc>
        <w:tc>
          <w:tcPr>
            <w:tcW w:w="744" w:type="pct"/>
            <w:tcBorders>
              <w:top w:val="nil"/>
              <w:left w:val="nil"/>
              <w:right w:val="nil"/>
            </w:tcBorders>
            <w:noWrap/>
            <w:vAlign w:val="bottom"/>
            <w:hideMark/>
          </w:tcPr>
          <w:p w14:paraId="4E9BB9F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53</w:t>
            </w:r>
          </w:p>
        </w:tc>
        <w:tc>
          <w:tcPr>
            <w:tcW w:w="575" w:type="pct"/>
            <w:tcBorders>
              <w:top w:val="nil"/>
              <w:left w:val="nil"/>
              <w:right w:val="nil"/>
            </w:tcBorders>
            <w:noWrap/>
            <w:vAlign w:val="bottom"/>
            <w:hideMark/>
          </w:tcPr>
          <w:p w14:paraId="473A064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117.300</w:t>
            </w:r>
          </w:p>
        </w:tc>
        <w:tc>
          <w:tcPr>
            <w:tcW w:w="563" w:type="pct"/>
            <w:tcBorders>
              <w:top w:val="nil"/>
              <w:left w:val="nil"/>
              <w:right w:val="nil"/>
            </w:tcBorders>
            <w:noWrap/>
            <w:vAlign w:val="bottom"/>
            <w:hideMark/>
          </w:tcPr>
          <w:p w14:paraId="180FD1E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100.000</w:t>
            </w:r>
          </w:p>
        </w:tc>
        <w:tc>
          <w:tcPr>
            <w:tcW w:w="569" w:type="pct"/>
            <w:tcBorders>
              <w:top w:val="nil"/>
              <w:left w:val="nil"/>
              <w:right w:val="nil"/>
            </w:tcBorders>
            <w:noWrap/>
            <w:vAlign w:val="bottom"/>
            <w:hideMark/>
          </w:tcPr>
          <w:p w14:paraId="31F5157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right w:val="nil"/>
            </w:tcBorders>
            <w:noWrap/>
            <w:vAlign w:val="bottom"/>
            <w:hideMark/>
          </w:tcPr>
          <w:p w14:paraId="22444733"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right w:val="nil"/>
            </w:tcBorders>
            <w:noWrap/>
            <w:vAlign w:val="bottom"/>
            <w:hideMark/>
          </w:tcPr>
          <w:p w14:paraId="306C3D61"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3263F9FF" w14:textId="77777777" w:rsidTr="00740FB8">
        <w:trPr>
          <w:trHeight w:val="300"/>
        </w:trPr>
        <w:tc>
          <w:tcPr>
            <w:tcW w:w="5000" w:type="pct"/>
            <w:gridSpan w:val="7"/>
            <w:tcBorders>
              <w:left w:val="nil"/>
              <w:right w:val="nil"/>
            </w:tcBorders>
            <w:noWrap/>
            <w:vAlign w:val="center"/>
            <w:hideMark/>
          </w:tcPr>
          <w:p w14:paraId="74245F2B" w14:textId="77777777" w:rsidR="005D218F" w:rsidRPr="005D218F" w:rsidRDefault="005D218F" w:rsidP="00740FB8">
            <w:pP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Weighted UniFrac</w:t>
            </w:r>
          </w:p>
        </w:tc>
      </w:tr>
      <w:tr w:rsidR="005D218F" w:rsidRPr="005D218F" w14:paraId="30DEB52D" w14:textId="77777777" w:rsidTr="00740FB8">
        <w:trPr>
          <w:trHeight w:val="300"/>
        </w:trPr>
        <w:tc>
          <w:tcPr>
            <w:tcW w:w="1412" w:type="pct"/>
            <w:tcBorders>
              <w:left w:val="nil"/>
              <w:bottom w:val="nil"/>
              <w:right w:val="nil"/>
            </w:tcBorders>
            <w:noWrap/>
            <w:vAlign w:val="bottom"/>
            <w:hideMark/>
          </w:tcPr>
          <w:p w14:paraId="407A6B67"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Total Coliforms</w:t>
            </w:r>
          </w:p>
        </w:tc>
        <w:tc>
          <w:tcPr>
            <w:tcW w:w="744" w:type="pct"/>
            <w:tcBorders>
              <w:left w:val="nil"/>
              <w:bottom w:val="nil"/>
              <w:right w:val="nil"/>
            </w:tcBorders>
            <w:noWrap/>
            <w:vAlign w:val="bottom"/>
            <w:hideMark/>
          </w:tcPr>
          <w:p w14:paraId="3377180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left w:val="nil"/>
              <w:bottom w:val="nil"/>
              <w:right w:val="nil"/>
            </w:tcBorders>
            <w:noWrap/>
            <w:vAlign w:val="bottom"/>
            <w:hideMark/>
          </w:tcPr>
          <w:p w14:paraId="7AE079B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0.022898</w:t>
            </w:r>
          </w:p>
        </w:tc>
        <w:tc>
          <w:tcPr>
            <w:tcW w:w="563" w:type="pct"/>
            <w:tcBorders>
              <w:left w:val="nil"/>
              <w:bottom w:val="nil"/>
              <w:right w:val="nil"/>
            </w:tcBorders>
            <w:noWrap/>
            <w:vAlign w:val="bottom"/>
            <w:hideMark/>
          </w:tcPr>
          <w:p w14:paraId="10AA206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0.19862</w:t>
            </w:r>
          </w:p>
        </w:tc>
        <w:tc>
          <w:tcPr>
            <w:tcW w:w="569" w:type="pct"/>
            <w:tcBorders>
              <w:left w:val="nil"/>
              <w:bottom w:val="nil"/>
              <w:right w:val="nil"/>
            </w:tcBorders>
            <w:noWrap/>
            <w:vAlign w:val="bottom"/>
            <w:hideMark/>
          </w:tcPr>
          <w:p w14:paraId="69AA98E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212.214</w:t>
            </w:r>
          </w:p>
        </w:tc>
        <w:tc>
          <w:tcPr>
            <w:tcW w:w="569" w:type="pct"/>
            <w:tcBorders>
              <w:left w:val="nil"/>
              <w:bottom w:val="nil"/>
              <w:right w:val="nil"/>
            </w:tcBorders>
            <w:noWrap/>
            <w:vAlign w:val="bottom"/>
            <w:hideMark/>
          </w:tcPr>
          <w:p w14:paraId="50B82B8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left w:val="nil"/>
              <w:bottom w:val="nil"/>
              <w:right w:val="nil"/>
            </w:tcBorders>
            <w:noWrap/>
            <w:vAlign w:val="bottom"/>
            <w:hideMark/>
          </w:tcPr>
          <w:p w14:paraId="4469FB6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A76CF46" w14:textId="77777777" w:rsidTr="00740FB8">
        <w:trPr>
          <w:trHeight w:val="300"/>
        </w:trPr>
        <w:tc>
          <w:tcPr>
            <w:tcW w:w="1412" w:type="pct"/>
            <w:tcBorders>
              <w:top w:val="nil"/>
              <w:left w:val="nil"/>
              <w:bottom w:val="nil"/>
              <w:right w:val="nil"/>
            </w:tcBorders>
            <w:noWrap/>
            <w:vAlign w:val="bottom"/>
            <w:hideMark/>
          </w:tcPr>
          <w:p w14:paraId="6AD94481"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Polyethylene</w:t>
            </w:r>
          </w:p>
        </w:tc>
        <w:tc>
          <w:tcPr>
            <w:tcW w:w="744" w:type="pct"/>
            <w:tcBorders>
              <w:top w:val="nil"/>
              <w:left w:val="nil"/>
              <w:bottom w:val="nil"/>
              <w:right w:val="nil"/>
            </w:tcBorders>
            <w:noWrap/>
            <w:vAlign w:val="bottom"/>
            <w:hideMark/>
          </w:tcPr>
          <w:p w14:paraId="2C25FBC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4839D9E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0.009734</w:t>
            </w:r>
          </w:p>
        </w:tc>
        <w:tc>
          <w:tcPr>
            <w:tcW w:w="563" w:type="pct"/>
            <w:tcBorders>
              <w:top w:val="nil"/>
              <w:left w:val="nil"/>
              <w:bottom w:val="nil"/>
              <w:right w:val="nil"/>
            </w:tcBorders>
            <w:noWrap/>
            <w:vAlign w:val="bottom"/>
            <w:hideMark/>
          </w:tcPr>
          <w:p w14:paraId="6E68C15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0.08443</w:t>
            </w:r>
          </w:p>
        </w:tc>
        <w:tc>
          <w:tcPr>
            <w:tcW w:w="569" w:type="pct"/>
            <w:tcBorders>
              <w:top w:val="nil"/>
              <w:left w:val="nil"/>
              <w:bottom w:val="nil"/>
              <w:right w:val="nil"/>
            </w:tcBorders>
            <w:noWrap/>
            <w:vAlign w:val="bottom"/>
            <w:hideMark/>
          </w:tcPr>
          <w:p w14:paraId="43CD10D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90.213</w:t>
            </w:r>
          </w:p>
        </w:tc>
        <w:tc>
          <w:tcPr>
            <w:tcW w:w="569" w:type="pct"/>
            <w:tcBorders>
              <w:top w:val="nil"/>
              <w:left w:val="nil"/>
              <w:bottom w:val="nil"/>
              <w:right w:val="nil"/>
            </w:tcBorders>
            <w:noWrap/>
            <w:vAlign w:val="bottom"/>
            <w:hideMark/>
          </w:tcPr>
          <w:p w14:paraId="2D0B44B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245921E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4288E7E" w14:textId="77777777" w:rsidTr="00740FB8">
        <w:trPr>
          <w:trHeight w:val="300"/>
        </w:trPr>
        <w:tc>
          <w:tcPr>
            <w:tcW w:w="1412" w:type="pct"/>
            <w:tcBorders>
              <w:top w:val="nil"/>
              <w:left w:val="nil"/>
              <w:bottom w:val="nil"/>
              <w:right w:val="nil"/>
            </w:tcBorders>
            <w:noWrap/>
            <w:vAlign w:val="bottom"/>
            <w:hideMark/>
          </w:tcPr>
          <w:p w14:paraId="0AFA6BED"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lastRenderedPageBreak/>
              <w:t>Concrete Wall</w:t>
            </w:r>
          </w:p>
        </w:tc>
        <w:tc>
          <w:tcPr>
            <w:tcW w:w="744" w:type="pct"/>
            <w:tcBorders>
              <w:top w:val="nil"/>
              <w:left w:val="nil"/>
              <w:bottom w:val="nil"/>
              <w:right w:val="nil"/>
            </w:tcBorders>
            <w:noWrap/>
            <w:vAlign w:val="bottom"/>
            <w:hideMark/>
          </w:tcPr>
          <w:p w14:paraId="440B1F1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79B5885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0.006350</w:t>
            </w:r>
          </w:p>
        </w:tc>
        <w:tc>
          <w:tcPr>
            <w:tcW w:w="563" w:type="pct"/>
            <w:tcBorders>
              <w:top w:val="nil"/>
              <w:left w:val="nil"/>
              <w:bottom w:val="nil"/>
              <w:right w:val="nil"/>
            </w:tcBorders>
            <w:noWrap/>
            <w:vAlign w:val="bottom"/>
            <w:hideMark/>
          </w:tcPr>
          <w:p w14:paraId="443BF4D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0.05508</w:t>
            </w:r>
          </w:p>
        </w:tc>
        <w:tc>
          <w:tcPr>
            <w:tcW w:w="569" w:type="pct"/>
            <w:tcBorders>
              <w:top w:val="nil"/>
              <w:left w:val="nil"/>
              <w:bottom w:val="nil"/>
              <w:right w:val="nil"/>
            </w:tcBorders>
            <w:noWrap/>
            <w:vAlign w:val="bottom"/>
            <w:hideMark/>
          </w:tcPr>
          <w:p w14:paraId="4B2C3BA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58.850</w:t>
            </w:r>
          </w:p>
        </w:tc>
        <w:tc>
          <w:tcPr>
            <w:tcW w:w="569" w:type="pct"/>
            <w:tcBorders>
              <w:top w:val="nil"/>
              <w:left w:val="nil"/>
              <w:bottom w:val="nil"/>
              <w:right w:val="nil"/>
            </w:tcBorders>
            <w:noWrap/>
            <w:vAlign w:val="bottom"/>
            <w:hideMark/>
          </w:tcPr>
          <w:p w14:paraId="7AF9A9A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56EE045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5385549" w14:textId="77777777" w:rsidTr="00740FB8">
        <w:trPr>
          <w:trHeight w:val="300"/>
        </w:trPr>
        <w:tc>
          <w:tcPr>
            <w:tcW w:w="1412" w:type="pct"/>
            <w:tcBorders>
              <w:top w:val="nil"/>
              <w:left w:val="nil"/>
              <w:bottom w:val="nil"/>
              <w:right w:val="nil"/>
            </w:tcBorders>
            <w:noWrap/>
            <w:vAlign w:val="bottom"/>
            <w:hideMark/>
          </w:tcPr>
          <w:p w14:paraId="22EF1CF1"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Water</w:t>
            </w:r>
          </w:p>
        </w:tc>
        <w:tc>
          <w:tcPr>
            <w:tcW w:w="744" w:type="pct"/>
            <w:tcBorders>
              <w:top w:val="nil"/>
              <w:left w:val="nil"/>
              <w:bottom w:val="nil"/>
              <w:right w:val="nil"/>
            </w:tcBorders>
            <w:noWrap/>
            <w:vAlign w:val="bottom"/>
            <w:hideMark/>
          </w:tcPr>
          <w:p w14:paraId="4A36009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4C2C10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0.005181</w:t>
            </w:r>
          </w:p>
        </w:tc>
        <w:tc>
          <w:tcPr>
            <w:tcW w:w="563" w:type="pct"/>
            <w:tcBorders>
              <w:top w:val="nil"/>
              <w:left w:val="nil"/>
              <w:bottom w:val="nil"/>
              <w:right w:val="nil"/>
            </w:tcBorders>
            <w:noWrap/>
            <w:vAlign w:val="bottom"/>
            <w:hideMark/>
          </w:tcPr>
          <w:p w14:paraId="0E733D2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0.04494</w:t>
            </w:r>
          </w:p>
        </w:tc>
        <w:tc>
          <w:tcPr>
            <w:tcW w:w="569" w:type="pct"/>
            <w:tcBorders>
              <w:top w:val="nil"/>
              <w:left w:val="nil"/>
              <w:bottom w:val="nil"/>
              <w:right w:val="nil"/>
            </w:tcBorders>
            <w:noWrap/>
            <w:vAlign w:val="bottom"/>
            <w:hideMark/>
          </w:tcPr>
          <w:p w14:paraId="75FCAE7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48.017</w:t>
            </w:r>
          </w:p>
        </w:tc>
        <w:tc>
          <w:tcPr>
            <w:tcW w:w="569" w:type="pct"/>
            <w:tcBorders>
              <w:top w:val="nil"/>
              <w:left w:val="nil"/>
              <w:bottom w:val="nil"/>
              <w:right w:val="nil"/>
            </w:tcBorders>
            <w:noWrap/>
            <w:vAlign w:val="bottom"/>
            <w:hideMark/>
          </w:tcPr>
          <w:p w14:paraId="79BE141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0C16E41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4681971" w14:textId="77777777" w:rsidTr="00740FB8">
        <w:trPr>
          <w:trHeight w:val="300"/>
        </w:trPr>
        <w:tc>
          <w:tcPr>
            <w:tcW w:w="1412" w:type="pct"/>
            <w:tcBorders>
              <w:top w:val="nil"/>
              <w:left w:val="nil"/>
              <w:bottom w:val="nil"/>
              <w:right w:val="nil"/>
            </w:tcBorders>
            <w:noWrap/>
            <w:vAlign w:val="bottom"/>
            <w:hideMark/>
          </w:tcPr>
          <w:p w14:paraId="3D2CCE0D"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Tank</w:t>
            </w:r>
          </w:p>
        </w:tc>
        <w:tc>
          <w:tcPr>
            <w:tcW w:w="744" w:type="pct"/>
            <w:tcBorders>
              <w:top w:val="nil"/>
              <w:left w:val="nil"/>
              <w:bottom w:val="nil"/>
              <w:right w:val="nil"/>
            </w:tcBorders>
            <w:noWrap/>
            <w:vAlign w:val="bottom"/>
            <w:hideMark/>
          </w:tcPr>
          <w:p w14:paraId="7AE99E3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F67877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0.004478</w:t>
            </w:r>
          </w:p>
        </w:tc>
        <w:tc>
          <w:tcPr>
            <w:tcW w:w="563" w:type="pct"/>
            <w:tcBorders>
              <w:top w:val="nil"/>
              <w:left w:val="nil"/>
              <w:bottom w:val="nil"/>
              <w:right w:val="nil"/>
            </w:tcBorders>
            <w:noWrap/>
            <w:vAlign w:val="bottom"/>
            <w:hideMark/>
          </w:tcPr>
          <w:p w14:paraId="71C5824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0.03884</w:t>
            </w:r>
          </w:p>
        </w:tc>
        <w:tc>
          <w:tcPr>
            <w:tcW w:w="569" w:type="pct"/>
            <w:tcBorders>
              <w:top w:val="nil"/>
              <w:left w:val="nil"/>
              <w:bottom w:val="nil"/>
              <w:right w:val="nil"/>
            </w:tcBorders>
            <w:noWrap/>
            <w:vAlign w:val="bottom"/>
            <w:hideMark/>
          </w:tcPr>
          <w:p w14:paraId="4123BCB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41.503</w:t>
            </w:r>
          </w:p>
        </w:tc>
        <w:tc>
          <w:tcPr>
            <w:tcW w:w="569" w:type="pct"/>
            <w:tcBorders>
              <w:top w:val="nil"/>
              <w:left w:val="nil"/>
              <w:bottom w:val="nil"/>
              <w:right w:val="nil"/>
            </w:tcBorders>
            <w:noWrap/>
            <w:vAlign w:val="bottom"/>
            <w:hideMark/>
          </w:tcPr>
          <w:p w14:paraId="130C0AC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w:t>
            </w:r>
          </w:p>
        </w:tc>
        <w:tc>
          <w:tcPr>
            <w:tcW w:w="567" w:type="pct"/>
            <w:tcBorders>
              <w:top w:val="nil"/>
              <w:left w:val="nil"/>
              <w:bottom w:val="nil"/>
              <w:right w:val="nil"/>
            </w:tcBorders>
            <w:noWrap/>
            <w:vAlign w:val="bottom"/>
            <w:hideMark/>
          </w:tcPr>
          <w:p w14:paraId="5007558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617D367E" w14:textId="77777777" w:rsidTr="00740FB8">
        <w:trPr>
          <w:trHeight w:val="300"/>
        </w:trPr>
        <w:tc>
          <w:tcPr>
            <w:tcW w:w="1412" w:type="pct"/>
            <w:tcBorders>
              <w:top w:val="nil"/>
              <w:left w:val="nil"/>
              <w:bottom w:val="nil"/>
              <w:right w:val="nil"/>
            </w:tcBorders>
            <w:noWrap/>
            <w:vAlign w:val="bottom"/>
            <w:hideMark/>
          </w:tcPr>
          <w:p w14:paraId="68A4ED3F"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Summer</w:t>
            </w:r>
          </w:p>
        </w:tc>
        <w:tc>
          <w:tcPr>
            <w:tcW w:w="744" w:type="pct"/>
            <w:tcBorders>
              <w:top w:val="nil"/>
              <w:left w:val="nil"/>
              <w:bottom w:val="nil"/>
              <w:right w:val="nil"/>
            </w:tcBorders>
            <w:noWrap/>
            <w:vAlign w:val="bottom"/>
            <w:hideMark/>
          </w:tcPr>
          <w:p w14:paraId="1A2E8AF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696E47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0.003908</w:t>
            </w:r>
          </w:p>
        </w:tc>
        <w:tc>
          <w:tcPr>
            <w:tcW w:w="563" w:type="pct"/>
            <w:tcBorders>
              <w:top w:val="nil"/>
              <w:left w:val="nil"/>
              <w:bottom w:val="nil"/>
              <w:right w:val="nil"/>
            </w:tcBorders>
            <w:noWrap/>
            <w:vAlign w:val="bottom"/>
            <w:hideMark/>
          </w:tcPr>
          <w:p w14:paraId="65C7EA9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0.03390</w:t>
            </w:r>
          </w:p>
        </w:tc>
        <w:tc>
          <w:tcPr>
            <w:tcW w:w="569" w:type="pct"/>
            <w:tcBorders>
              <w:top w:val="nil"/>
              <w:left w:val="nil"/>
              <w:bottom w:val="nil"/>
              <w:right w:val="nil"/>
            </w:tcBorders>
            <w:noWrap/>
            <w:vAlign w:val="bottom"/>
            <w:hideMark/>
          </w:tcPr>
          <w:p w14:paraId="4180A87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36.220</w:t>
            </w:r>
          </w:p>
        </w:tc>
        <w:tc>
          <w:tcPr>
            <w:tcW w:w="569" w:type="pct"/>
            <w:tcBorders>
              <w:top w:val="nil"/>
              <w:left w:val="nil"/>
              <w:bottom w:val="nil"/>
              <w:right w:val="nil"/>
            </w:tcBorders>
            <w:noWrap/>
            <w:vAlign w:val="bottom"/>
            <w:hideMark/>
          </w:tcPr>
          <w:p w14:paraId="7FCC64E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0.005</w:t>
            </w:r>
          </w:p>
        </w:tc>
        <w:tc>
          <w:tcPr>
            <w:tcW w:w="567" w:type="pct"/>
            <w:tcBorders>
              <w:top w:val="nil"/>
              <w:left w:val="nil"/>
              <w:bottom w:val="nil"/>
              <w:right w:val="nil"/>
            </w:tcBorders>
            <w:noWrap/>
            <w:vAlign w:val="bottom"/>
            <w:hideMark/>
          </w:tcPr>
          <w:p w14:paraId="5F47D32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C09F102" w14:textId="77777777" w:rsidTr="00740FB8">
        <w:trPr>
          <w:trHeight w:val="300"/>
        </w:trPr>
        <w:tc>
          <w:tcPr>
            <w:tcW w:w="1412" w:type="pct"/>
            <w:tcBorders>
              <w:top w:val="nil"/>
              <w:left w:val="nil"/>
              <w:bottom w:val="nil"/>
              <w:right w:val="nil"/>
            </w:tcBorders>
            <w:noWrap/>
            <w:vAlign w:val="bottom"/>
            <w:hideMark/>
          </w:tcPr>
          <w:p w14:paraId="1BA0751D"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Spring</w:t>
            </w:r>
          </w:p>
        </w:tc>
        <w:tc>
          <w:tcPr>
            <w:tcW w:w="744" w:type="pct"/>
            <w:tcBorders>
              <w:top w:val="nil"/>
              <w:left w:val="nil"/>
              <w:bottom w:val="nil"/>
              <w:right w:val="nil"/>
            </w:tcBorders>
            <w:noWrap/>
            <w:vAlign w:val="bottom"/>
            <w:hideMark/>
          </w:tcPr>
          <w:p w14:paraId="75B99E3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CF8A00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0.003572</w:t>
            </w:r>
          </w:p>
        </w:tc>
        <w:tc>
          <w:tcPr>
            <w:tcW w:w="563" w:type="pct"/>
            <w:tcBorders>
              <w:top w:val="nil"/>
              <w:left w:val="nil"/>
              <w:bottom w:val="nil"/>
              <w:right w:val="nil"/>
            </w:tcBorders>
            <w:noWrap/>
            <w:vAlign w:val="bottom"/>
            <w:hideMark/>
          </w:tcPr>
          <w:p w14:paraId="191F9E1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0.03098</w:t>
            </w:r>
          </w:p>
        </w:tc>
        <w:tc>
          <w:tcPr>
            <w:tcW w:w="569" w:type="pct"/>
            <w:tcBorders>
              <w:top w:val="nil"/>
              <w:left w:val="nil"/>
              <w:bottom w:val="nil"/>
              <w:right w:val="nil"/>
            </w:tcBorders>
            <w:noWrap/>
            <w:vAlign w:val="bottom"/>
            <w:hideMark/>
          </w:tcPr>
          <w:p w14:paraId="6D00635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33.103</w:t>
            </w:r>
          </w:p>
        </w:tc>
        <w:tc>
          <w:tcPr>
            <w:tcW w:w="569" w:type="pct"/>
            <w:tcBorders>
              <w:top w:val="nil"/>
              <w:left w:val="nil"/>
              <w:bottom w:val="nil"/>
              <w:right w:val="nil"/>
            </w:tcBorders>
            <w:noWrap/>
            <w:vAlign w:val="bottom"/>
            <w:hideMark/>
          </w:tcPr>
          <w:p w14:paraId="42F101E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0.011</w:t>
            </w:r>
          </w:p>
        </w:tc>
        <w:tc>
          <w:tcPr>
            <w:tcW w:w="567" w:type="pct"/>
            <w:tcBorders>
              <w:top w:val="nil"/>
              <w:left w:val="nil"/>
              <w:bottom w:val="nil"/>
              <w:right w:val="nil"/>
            </w:tcBorders>
            <w:noWrap/>
            <w:vAlign w:val="bottom"/>
            <w:hideMark/>
          </w:tcPr>
          <w:p w14:paraId="32E23B4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3EA599D6" w14:textId="77777777" w:rsidTr="00740FB8">
        <w:trPr>
          <w:trHeight w:val="300"/>
        </w:trPr>
        <w:tc>
          <w:tcPr>
            <w:tcW w:w="1412" w:type="pct"/>
            <w:tcBorders>
              <w:top w:val="nil"/>
              <w:left w:val="nil"/>
              <w:bottom w:val="nil"/>
              <w:right w:val="nil"/>
            </w:tcBorders>
            <w:noWrap/>
            <w:vAlign w:val="bottom"/>
            <w:hideMark/>
          </w:tcPr>
          <w:p w14:paraId="146FB31E"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Six Months</w:t>
            </w:r>
          </w:p>
        </w:tc>
        <w:tc>
          <w:tcPr>
            <w:tcW w:w="744" w:type="pct"/>
            <w:tcBorders>
              <w:top w:val="nil"/>
              <w:left w:val="nil"/>
              <w:bottom w:val="nil"/>
              <w:right w:val="nil"/>
            </w:tcBorders>
            <w:noWrap/>
            <w:vAlign w:val="bottom"/>
            <w:hideMark/>
          </w:tcPr>
          <w:p w14:paraId="1C37542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1A31B6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0.002535</w:t>
            </w:r>
          </w:p>
        </w:tc>
        <w:tc>
          <w:tcPr>
            <w:tcW w:w="563" w:type="pct"/>
            <w:tcBorders>
              <w:top w:val="nil"/>
              <w:left w:val="nil"/>
              <w:bottom w:val="nil"/>
              <w:right w:val="nil"/>
            </w:tcBorders>
            <w:noWrap/>
            <w:vAlign w:val="bottom"/>
            <w:hideMark/>
          </w:tcPr>
          <w:p w14:paraId="395E243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0.02199</w:t>
            </w:r>
          </w:p>
        </w:tc>
        <w:tc>
          <w:tcPr>
            <w:tcW w:w="569" w:type="pct"/>
            <w:tcBorders>
              <w:top w:val="nil"/>
              <w:left w:val="nil"/>
              <w:bottom w:val="nil"/>
              <w:right w:val="nil"/>
            </w:tcBorders>
            <w:noWrap/>
            <w:vAlign w:val="bottom"/>
            <w:hideMark/>
          </w:tcPr>
          <w:p w14:paraId="6BA032D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23.498</w:t>
            </w:r>
          </w:p>
        </w:tc>
        <w:tc>
          <w:tcPr>
            <w:tcW w:w="569" w:type="pct"/>
            <w:tcBorders>
              <w:top w:val="nil"/>
              <w:left w:val="nil"/>
              <w:bottom w:val="nil"/>
              <w:right w:val="nil"/>
            </w:tcBorders>
            <w:noWrap/>
            <w:vAlign w:val="bottom"/>
            <w:hideMark/>
          </w:tcPr>
          <w:p w14:paraId="7BCC1CC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0.046</w:t>
            </w:r>
          </w:p>
        </w:tc>
        <w:tc>
          <w:tcPr>
            <w:tcW w:w="567" w:type="pct"/>
            <w:tcBorders>
              <w:top w:val="nil"/>
              <w:left w:val="nil"/>
              <w:bottom w:val="nil"/>
              <w:right w:val="nil"/>
            </w:tcBorders>
            <w:noWrap/>
            <w:vAlign w:val="bottom"/>
            <w:hideMark/>
          </w:tcPr>
          <w:p w14:paraId="6079E07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C47234F" w14:textId="77777777" w:rsidTr="00740FB8">
        <w:trPr>
          <w:trHeight w:val="300"/>
        </w:trPr>
        <w:tc>
          <w:tcPr>
            <w:tcW w:w="1412" w:type="pct"/>
            <w:tcBorders>
              <w:top w:val="nil"/>
              <w:left w:val="nil"/>
              <w:bottom w:val="nil"/>
              <w:right w:val="nil"/>
            </w:tcBorders>
            <w:noWrap/>
            <w:vAlign w:val="bottom"/>
            <w:hideMark/>
          </w:tcPr>
          <w:p w14:paraId="720B87B2"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Biofilm</w:t>
            </w:r>
          </w:p>
        </w:tc>
        <w:tc>
          <w:tcPr>
            <w:tcW w:w="744" w:type="pct"/>
            <w:tcBorders>
              <w:top w:val="nil"/>
              <w:left w:val="nil"/>
              <w:bottom w:val="nil"/>
              <w:right w:val="nil"/>
            </w:tcBorders>
            <w:noWrap/>
            <w:vAlign w:val="bottom"/>
            <w:hideMark/>
          </w:tcPr>
          <w:p w14:paraId="3F61B98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2316CE8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0.003357</w:t>
            </w:r>
          </w:p>
        </w:tc>
        <w:tc>
          <w:tcPr>
            <w:tcW w:w="563" w:type="pct"/>
            <w:tcBorders>
              <w:top w:val="nil"/>
              <w:left w:val="nil"/>
              <w:bottom w:val="nil"/>
              <w:right w:val="nil"/>
            </w:tcBorders>
            <w:noWrap/>
            <w:vAlign w:val="bottom"/>
            <w:hideMark/>
          </w:tcPr>
          <w:p w14:paraId="3CFEC9A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0.02912</w:t>
            </w:r>
          </w:p>
        </w:tc>
        <w:tc>
          <w:tcPr>
            <w:tcW w:w="569" w:type="pct"/>
            <w:tcBorders>
              <w:top w:val="nil"/>
              <w:left w:val="nil"/>
              <w:bottom w:val="nil"/>
              <w:right w:val="nil"/>
            </w:tcBorders>
            <w:noWrap/>
            <w:vAlign w:val="bottom"/>
            <w:hideMark/>
          </w:tcPr>
          <w:p w14:paraId="158A914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31.117</w:t>
            </w:r>
          </w:p>
        </w:tc>
        <w:tc>
          <w:tcPr>
            <w:tcW w:w="569" w:type="pct"/>
            <w:tcBorders>
              <w:top w:val="nil"/>
              <w:left w:val="nil"/>
              <w:bottom w:val="nil"/>
              <w:right w:val="nil"/>
            </w:tcBorders>
            <w:noWrap/>
            <w:vAlign w:val="bottom"/>
            <w:hideMark/>
          </w:tcPr>
          <w:p w14:paraId="7FF48F4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0.012</w:t>
            </w:r>
          </w:p>
        </w:tc>
        <w:tc>
          <w:tcPr>
            <w:tcW w:w="567" w:type="pct"/>
            <w:tcBorders>
              <w:top w:val="nil"/>
              <w:left w:val="nil"/>
              <w:bottom w:val="nil"/>
              <w:right w:val="nil"/>
            </w:tcBorders>
            <w:noWrap/>
            <w:vAlign w:val="bottom"/>
            <w:hideMark/>
          </w:tcPr>
          <w:p w14:paraId="6428CC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792D6253" w14:textId="77777777" w:rsidTr="00740FB8">
        <w:trPr>
          <w:trHeight w:val="300"/>
        </w:trPr>
        <w:tc>
          <w:tcPr>
            <w:tcW w:w="1412" w:type="pct"/>
            <w:tcBorders>
              <w:top w:val="nil"/>
              <w:left w:val="nil"/>
              <w:bottom w:val="nil"/>
              <w:right w:val="nil"/>
            </w:tcBorders>
            <w:noWrap/>
            <w:vAlign w:val="bottom"/>
            <w:hideMark/>
          </w:tcPr>
          <w:p w14:paraId="202240F4" w14:textId="77777777" w:rsidR="005D218F" w:rsidRPr="005D218F" w:rsidRDefault="005D218F" w:rsidP="00740FB8">
            <w:pPr>
              <w:jc w:val="right"/>
              <w:rPr>
                <w:rFonts w:ascii="Arial" w:eastAsia="Times New Roman" w:hAnsi="Arial" w:cs="Arial"/>
                <w:b/>
                <w:bCs/>
                <w:i/>
                <w:iCs/>
                <w:color w:val="000000"/>
                <w:kern w:val="0"/>
                <w:sz w:val="20"/>
                <w:szCs w:val="20"/>
                <w:lang w:eastAsia="es-AR"/>
                <w14:ligatures w14:val="none"/>
              </w:rPr>
            </w:pPr>
            <w:r w:rsidRPr="005D218F">
              <w:rPr>
                <w:rFonts w:ascii="Arial" w:eastAsia="Times New Roman" w:hAnsi="Arial" w:cs="Arial"/>
                <w:b/>
                <w:bCs/>
                <w:i/>
                <w:iCs/>
                <w:color w:val="000000"/>
                <w:kern w:val="0"/>
                <w:sz w:val="20"/>
                <w:szCs w:val="20"/>
                <w:lang w:eastAsia="es-AR"/>
                <w14:ligatures w14:val="none"/>
              </w:rPr>
              <w:t>Pseudomonas aeruginosa</w:t>
            </w:r>
          </w:p>
        </w:tc>
        <w:tc>
          <w:tcPr>
            <w:tcW w:w="744" w:type="pct"/>
            <w:tcBorders>
              <w:top w:val="nil"/>
              <w:left w:val="nil"/>
              <w:bottom w:val="nil"/>
              <w:right w:val="nil"/>
            </w:tcBorders>
            <w:noWrap/>
            <w:vAlign w:val="bottom"/>
            <w:hideMark/>
          </w:tcPr>
          <w:p w14:paraId="5D228D6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197B48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0.003124</w:t>
            </w:r>
          </w:p>
        </w:tc>
        <w:tc>
          <w:tcPr>
            <w:tcW w:w="563" w:type="pct"/>
            <w:tcBorders>
              <w:top w:val="nil"/>
              <w:left w:val="nil"/>
              <w:bottom w:val="nil"/>
              <w:right w:val="nil"/>
            </w:tcBorders>
            <w:noWrap/>
            <w:vAlign w:val="bottom"/>
            <w:hideMark/>
          </w:tcPr>
          <w:p w14:paraId="03F5B8E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0.02710</w:t>
            </w:r>
          </w:p>
        </w:tc>
        <w:tc>
          <w:tcPr>
            <w:tcW w:w="569" w:type="pct"/>
            <w:tcBorders>
              <w:top w:val="nil"/>
              <w:left w:val="nil"/>
              <w:bottom w:val="nil"/>
              <w:right w:val="nil"/>
            </w:tcBorders>
            <w:noWrap/>
            <w:vAlign w:val="bottom"/>
            <w:hideMark/>
          </w:tcPr>
          <w:p w14:paraId="04C2195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28.957</w:t>
            </w:r>
          </w:p>
        </w:tc>
        <w:tc>
          <w:tcPr>
            <w:tcW w:w="569" w:type="pct"/>
            <w:tcBorders>
              <w:top w:val="nil"/>
              <w:left w:val="nil"/>
              <w:bottom w:val="nil"/>
              <w:right w:val="nil"/>
            </w:tcBorders>
            <w:noWrap/>
            <w:vAlign w:val="bottom"/>
            <w:hideMark/>
          </w:tcPr>
          <w:p w14:paraId="25528EF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0.012</w:t>
            </w:r>
          </w:p>
        </w:tc>
        <w:tc>
          <w:tcPr>
            <w:tcW w:w="567" w:type="pct"/>
            <w:tcBorders>
              <w:top w:val="nil"/>
              <w:left w:val="nil"/>
              <w:bottom w:val="nil"/>
              <w:right w:val="nil"/>
            </w:tcBorders>
            <w:noWrap/>
            <w:vAlign w:val="bottom"/>
            <w:hideMark/>
          </w:tcPr>
          <w:p w14:paraId="6B42B52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AEA4C07" w14:textId="77777777" w:rsidTr="00740FB8">
        <w:trPr>
          <w:trHeight w:val="300"/>
        </w:trPr>
        <w:tc>
          <w:tcPr>
            <w:tcW w:w="1412" w:type="pct"/>
            <w:tcBorders>
              <w:top w:val="nil"/>
              <w:left w:val="nil"/>
              <w:bottom w:val="nil"/>
              <w:right w:val="nil"/>
            </w:tcBorders>
            <w:noWrap/>
            <w:vAlign w:val="bottom"/>
            <w:hideMark/>
          </w:tcPr>
          <w:p w14:paraId="5D220868"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Year 2023</w:t>
            </w:r>
          </w:p>
        </w:tc>
        <w:tc>
          <w:tcPr>
            <w:tcW w:w="744" w:type="pct"/>
            <w:tcBorders>
              <w:top w:val="nil"/>
              <w:left w:val="nil"/>
              <w:bottom w:val="nil"/>
              <w:right w:val="nil"/>
            </w:tcBorders>
            <w:noWrap/>
            <w:vAlign w:val="bottom"/>
            <w:hideMark/>
          </w:tcPr>
          <w:p w14:paraId="7DA95A2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4F4FC0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0.003922</w:t>
            </w:r>
          </w:p>
        </w:tc>
        <w:tc>
          <w:tcPr>
            <w:tcW w:w="563" w:type="pct"/>
            <w:tcBorders>
              <w:top w:val="nil"/>
              <w:left w:val="nil"/>
              <w:bottom w:val="nil"/>
              <w:right w:val="nil"/>
            </w:tcBorders>
            <w:noWrap/>
            <w:vAlign w:val="bottom"/>
            <w:hideMark/>
          </w:tcPr>
          <w:p w14:paraId="2575CC0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0.03402</w:t>
            </w:r>
          </w:p>
        </w:tc>
        <w:tc>
          <w:tcPr>
            <w:tcW w:w="569" w:type="pct"/>
            <w:tcBorders>
              <w:top w:val="nil"/>
              <w:left w:val="nil"/>
              <w:bottom w:val="nil"/>
              <w:right w:val="nil"/>
            </w:tcBorders>
            <w:noWrap/>
            <w:vAlign w:val="bottom"/>
            <w:hideMark/>
          </w:tcPr>
          <w:p w14:paraId="331FD09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36.349</w:t>
            </w:r>
          </w:p>
        </w:tc>
        <w:tc>
          <w:tcPr>
            <w:tcW w:w="569" w:type="pct"/>
            <w:tcBorders>
              <w:top w:val="nil"/>
              <w:left w:val="nil"/>
              <w:bottom w:val="nil"/>
              <w:right w:val="nil"/>
            </w:tcBorders>
            <w:noWrap/>
            <w:vAlign w:val="bottom"/>
            <w:hideMark/>
          </w:tcPr>
          <w:p w14:paraId="66926B0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0.007</w:t>
            </w:r>
          </w:p>
        </w:tc>
        <w:tc>
          <w:tcPr>
            <w:tcW w:w="567" w:type="pct"/>
            <w:tcBorders>
              <w:top w:val="nil"/>
              <w:left w:val="nil"/>
              <w:bottom w:val="nil"/>
              <w:right w:val="nil"/>
            </w:tcBorders>
            <w:noWrap/>
            <w:vAlign w:val="bottom"/>
            <w:hideMark/>
          </w:tcPr>
          <w:p w14:paraId="1A21BA0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251C1BF" w14:textId="77777777" w:rsidTr="00740FB8">
        <w:trPr>
          <w:trHeight w:val="300"/>
        </w:trPr>
        <w:tc>
          <w:tcPr>
            <w:tcW w:w="1412" w:type="pct"/>
            <w:tcBorders>
              <w:top w:val="nil"/>
              <w:left w:val="nil"/>
              <w:bottom w:val="nil"/>
              <w:right w:val="nil"/>
            </w:tcBorders>
            <w:noWrap/>
            <w:vAlign w:val="bottom"/>
            <w:hideMark/>
          </w:tcPr>
          <w:p w14:paraId="297365D6"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Autumn</w:t>
            </w:r>
          </w:p>
        </w:tc>
        <w:tc>
          <w:tcPr>
            <w:tcW w:w="744" w:type="pct"/>
            <w:tcBorders>
              <w:top w:val="nil"/>
              <w:left w:val="nil"/>
              <w:bottom w:val="nil"/>
              <w:right w:val="nil"/>
            </w:tcBorders>
            <w:noWrap/>
            <w:vAlign w:val="bottom"/>
            <w:hideMark/>
          </w:tcPr>
          <w:p w14:paraId="4B168C8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B1AAD7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0.001986</w:t>
            </w:r>
          </w:p>
        </w:tc>
        <w:tc>
          <w:tcPr>
            <w:tcW w:w="563" w:type="pct"/>
            <w:tcBorders>
              <w:top w:val="nil"/>
              <w:left w:val="nil"/>
              <w:bottom w:val="nil"/>
              <w:right w:val="nil"/>
            </w:tcBorders>
            <w:noWrap/>
            <w:vAlign w:val="bottom"/>
            <w:hideMark/>
          </w:tcPr>
          <w:p w14:paraId="097DFA4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0.01722</w:t>
            </w:r>
          </w:p>
        </w:tc>
        <w:tc>
          <w:tcPr>
            <w:tcW w:w="569" w:type="pct"/>
            <w:tcBorders>
              <w:top w:val="nil"/>
              <w:left w:val="nil"/>
              <w:bottom w:val="nil"/>
              <w:right w:val="nil"/>
            </w:tcBorders>
            <w:noWrap/>
            <w:vAlign w:val="bottom"/>
            <w:hideMark/>
          </w:tcPr>
          <w:p w14:paraId="40F6A71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18.403</w:t>
            </w:r>
          </w:p>
        </w:tc>
        <w:tc>
          <w:tcPr>
            <w:tcW w:w="569" w:type="pct"/>
            <w:tcBorders>
              <w:top w:val="nil"/>
              <w:left w:val="nil"/>
              <w:bottom w:val="nil"/>
              <w:right w:val="nil"/>
            </w:tcBorders>
            <w:noWrap/>
            <w:vAlign w:val="bottom"/>
            <w:hideMark/>
          </w:tcPr>
          <w:p w14:paraId="51760E6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0.081</w:t>
            </w:r>
          </w:p>
        </w:tc>
        <w:tc>
          <w:tcPr>
            <w:tcW w:w="567" w:type="pct"/>
            <w:tcBorders>
              <w:top w:val="nil"/>
              <w:left w:val="nil"/>
              <w:bottom w:val="nil"/>
              <w:right w:val="nil"/>
            </w:tcBorders>
            <w:noWrap/>
            <w:vAlign w:val="bottom"/>
            <w:hideMark/>
          </w:tcPr>
          <w:p w14:paraId="391268F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5D4A993A" w14:textId="77777777" w:rsidTr="00740FB8">
        <w:trPr>
          <w:trHeight w:val="300"/>
        </w:trPr>
        <w:tc>
          <w:tcPr>
            <w:tcW w:w="1412" w:type="pct"/>
            <w:tcBorders>
              <w:top w:val="nil"/>
              <w:left w:val="nil"/>
              <w:bottom w:val="nil"/>
              <w:right w:val="nil"/>
            </w:tcBorders>
            <w:noWrap/>
            <w:vAlign w:val="bottom"/>
            <w:hideMark/>
          </w:tcPr>
          <w:p w14:paraId="65827315"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Residual</w:t>
            </w:r>
          </w:p>
        </w:tc>
        <w:tc>
          <w:tcPr>
            <w:tcW w:w="744" w:type="pct"/>
            <w:tcBorders>
              <w:top w:val="nil"/>
              <w:left w:val="nil"/>
              <w:bottom w:val="nil"/>
              <w:right w:val="nil"/>
            </w:tcBorders>
            <w:noWrap/>
            <w:vAlign w:val="bottom"/>
            <w:hideMark/>
          </w:tcPr>
          <w:p w14:paraId="5885DD6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41</w:t>
            </w:r>
          </w:p>
        </w:tc>
        <w:tc>
          <w:tcPr>
            <w:tcW w:w="575" w:type="pct"/>
            <w:tcBorders>
              <w:top w:val="nil"/>
              <w:left w:val="nil"/>
              <w:bottom w:val="nil"/>
              <w:right w:val="nil"/>
            </w:tcBorders>
            <w:noWrap/>
            <w:vAlign w:val="bottom"/>
            <w:hideMark/>
          </w:tcPr>
          <w:p w14:paraId="228B53B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0.044238</w:t>
            </w:r>
          </w:p>
        </w:tc>
        <w:tc>
          <w:tcPr>
            <w:tcW w:w="563" w:type="pct"/>
            <w:tcBorders>
              <w:top w:val="nil"/>
              <w:left w:val="nil"/>
              <w:bottom w:val="nil"/>
              <w:right w:val="nil"/>
            </w:tcBorders>
            <w:noWrap/>
            <w:vAlign w:val="bottom"/>
            <w:hideMark/>
          </w:tcPr>
          <w:p w14:paraId="56168BA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0.38374</w:t>
            </w:r>
          </w:p>
        </w:tc>
        <w:tc>
          <w:tcPr>
            <w:tcW w:w="569" w:type="pct"/>
            <w:tcBorders>
              <w:top w:val="nil"/>
              <w:left w:val="nil"/>
              <w:bottom w:val="nil"/>
              <w:right w:val="nil"/>
            </w:tcBorders>
            <w:noWrap/>
            <w:vAlign w:val="bottom"/>
            <w:hideMark/>
          </w:tcPr>
          <w:p w14:paraId="39F7B9F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nil"/>
              <w:right w:val="nil"/>
            </w:tcBorders>
            <w:noWrap/>
            <w:vAlign w:val="bottom"/>
            <w:hideMark/>
          </w:tcPr>
          <w:p w14:paraId="6FA70D94"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bottom w:val="nil"/>
              <w:right w:val="nil"/>
            </w:tcBorders>
            <w:noWrap/>
            <w:vAlign w:val="bottom"/>
            <w:hideMark/>
          </w:tcPr>
          <w:p w14:paraId="76C0CB77"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750FE64A" w14:textId="77777777" w:rsidTr="00740FB8">
        <w:trPr>
          <w:trHeight w:val="300"/>
        </w:trPr>
        <w:tc>
          <w:tcPr>
            <w:tcW w:w="1412" w:type="pct"/>
            <w:tcBorders>
              <w:top w:val="nil"/>
              <w:left w:val="nil"/>
              <w:right w:val="nil"/>
            </w:tcBorders>
            <w:noWrap/>
            <w:vAlign w:val="bottom"/>
            <w:hideMark/>
          </w:tcPr>
          <w:p w14:paraId="11E52FCC"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Total</w:t>
            </w:r>
          </w:p>
        </w:tc>
        <w:tc>
          <w:tcPr>
            <w:tcW w:w="744" w:type="pct"/>
            <w:tcBorders>
              <w:top w:val="nil"/>
              <w:left w:val="nil"/>
              <w:right w:val="nil"/>
            </w:tcBorders>
            <w:noWrap/>
            <w:vAlign w:val="bottom"/>
            <w:hideMark/>
          </w:tcPr>
          <w:p w14:paraId="206763E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53</w:t>
            </w:r>
          </w:p>
        </w:tc>
        <w:tc>
          <w:tcPr>
            <w:tcW w:w="575" w:type="pct"/>
            <w:tcBorders>
              <w:top w:val="nil"/>
              <w:left w:val="nil"/>
              <w:right w:val="nil"/>
            </w:tcBorders>
            <w:noWrap/>
            <w:vAlign w:val="bottom"/>
            <w:hideMark/>
          </w:tcPr>
          <w:p w14:paraId="397050A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0.115284</w:t>
            </w:r>
          </w:p>
        </w:tc>
        <w:tc>
          <w:tcPr>
            <w:tcW w:w="563" w:type="pct"/>
            <w:tcBorders>
              <w:top w:val="nil"/>
              <w:left w:val="nil"/>
              <w:right w:val="nil"/>
            </w:tcBorders>
            <w:noWrap/>
            <w:vAlign w:val="bottom"/>
            <w:hideMark/>
          </w:tcPr>
          <w:p w14:paraId="24D24E2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100.000</w:t>
            </w:r>
          </w:p>
        </w:tc>
        <w:tc>
          <w:tcPr>
            <w:tcW w:w="569" w:type="pct"/>
            <w:tcBorders>
              <w:top w:val="nil"/>
              <w:left w:val="nil"/>
              <w:right w:val="nil"/>
            </w:tcBorders>
            <w:noWrap/>
            <w:vAlign w:val="bottom"/>
            <w:hideMark/>
          </w:tcPr>
          <w:p w14:paraId="330C752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right w:val="nil"/>
            </w:tcBorders>
            <w:noWrap/>
            <w:vAlign w:val="bottom"/>
            <w:hideMark/>
          </w:tcPr>
          <w:p w14:paraId="7FF703E0"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right w:val="nil"/>
            </w:tcBorders>
            <w:noWrap/>
            <w:vAlign w:val="bottom"/>
            <w:hideMark/>
          </w:tcPr>
          <w:p w14:paraId="425C96BF"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45000020" w14:textId="77777777" w:rsidTr="00740FB8">
        <w:trPr>
          <w:trHeight w:val="300"/>
        </w:trPr>
        <w:tc>
          <w:tcPr>
            <w:tcW w:w="5000" w:type="pct"/>
            <w:gridSpan w:val="7"/>
            <w:tcBorders>
              <w:left w:val="nil"/>
              <w:right w:val="nil"/>
            </w:tcBorders>
            <w:noWrap/>
            <w:vAlign w:val="center"/>
            <w:hideMark/>
          </w:tcPr>
          <w:p w14:paraId="7E029AF7" w14:textId="77777777" w:rsidR="005D218F" w:rsidRPr="005D218F" w:rsidRDefault="005D218F" w:rsidP="00740FB8">
            <w:pP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Hierarchical Meta-Storms</w:t>
            </w:r>
          </w:p>
        </w:tc>
      </w:tr>
      <w:tr w:rsidR="005D218F" w:rsidRPr="005D218F" w14:paraId="7806D928" w14:textId="77777777" w:rsidTr="00740FB8">
        <w:trPr>
          <w:trHeight w:val="300"/>
        </w:trPr>
        <w:tc>
          <w:tcPr>
            <w:tcW w:w="1412" w:type="pct"/>
            <w:tcBorders>
              <w:left w:val="nil"/>
              <w:bottom w:val="nil"/>
              <w:right w:val="nil"/>
            </w:tcBorders>
            <w:noWrap/>
            <w:vAlign w:val="bottom"/>
            <w:hideMark/>
          </w:tcPr>
          <w:p w14:paraId="2C1191FC"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Total Coliforms</w:t>
            </w:r>
          </w:p>
        </w:tc>
        <w:tc>
          <w:tcPr>
            <w:tcW w:w="744" w:type="pct"/>
            <w:tcBorders>
              <w:left w:val="nil"/>
              <w:bottom w:val="nil"/>
              <w:right w:val="nil"/>
            </w:tcBorders>
            <w:noWrap/>
            <w:vAlign w:val="bottom"/>
            <w:hideMark/>
          </w:tcPr>
          <w:p w14:paraId="391A398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left w:val="nil"/>
              <w:bottom w:val="nil"/>
              <w:right w:val="nil"/>
            </w:tcBorders>
            <w:noWrap/>
            <w:vAlign w:val="bottom"/>
            <w:hideMark/>
          </w:tcPr>
          <w:p w14:paraId="3E1DC6B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0.06024</w:t>
            </w:r>
          </w:p>
        </w:tc>
        <w:tc>
          <w:tcPr>
            <w:tcW w:w="563" w:type="pct"/>
            <w:tcBorders>
              <w:left w:val="nil"/>
              <w:bottom w:val="nil"/>
              <w:right w:val="nil"/>
            </w:tcBorders>
            <w:noWrap/>
            <w:vAlign w:val="bottom"/>
            <w:hideMark/>
          </w:tcPr>
          <w:p w14:paraId="175DFA3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0.17245</w:t>
            </w:r>
          </w:p>
        </w:tc>
        <w:tc>
          <w:tcPr>
            <w:tcW w:w="569" w:type="pct"/>
            <w:tcBorders>
              <w:left w:val="nil"/>
              <w:bottom w:val="nil"/>
              <w:right w:val="nil"/>
            </w:tcBorders>
            <w:noWrap/>
            <w:vAlign w:val="bottom"/>
            <w:hideMark/>
          </w:tcPr>
          <w:p w14:paraId="0B5489E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166.322</w:t>
            </w:r>
          </w:p>
        </w:tc>
        <w:tc>
          <w:tcPr>
            <w:tcW w:w="569" w:type="pct"/>
            <w:tcBorders>
              <w:left w:val="nil"/>
              <w:bottom w:val="nil"/>
              <w:right w:val="nil"/>
            </w:tcBorders>
            <w:noWrap/>
            <w:vAlign w:val="bottom"/>
            <w:hideMark/>
          </w:tcPr>
          <w:p w14:paraId="453B947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left w:val="nil"/>
              <w:bottom w:val="nil"/>
              <w:right w:val="nil"/>
            </w:tcBorders>
            <w:noWrap/>
            <w:vAlign w:val="bottom"/>
            <w:hideMark/>
          </w:tcPr>
          <w:p w14:paraId="19BCB8B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1601ED7E" w14:textId="77777777" w:rsidTr="00740FB8">
        <w:trPr>
          <w:trHeight w:val="300"/>
        </w:trPr>
        <w:tc>
          <w:tcPr>
            <w:tcW w:w="1412" w:type="pct"/>
            <w:tcBorders>
              <w:top w:val="nil"/>
              <w:left w:val="nil"/>
              <w:bottom w:val="nil"/>
              <w:right w:val="nil"/>
            </w:tcBorders>
            <w:noWrap/>
            <w:vAlign w:val="bottom"/>
            <w:hideMark/>
          </w:tcPr>
          <w:p w14:paraId="39C5D8D4"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Water</w:t>
            </w:r>
          </w:p>
        </w:tc>
        <w:tc>
          <w:tcPr>
            <w:tcW w:w="744" w:type="pct"/>
            <w:tcBorders>
              <w:top w:val="nil"/>
              <w:left w:val="nil"/>
              <w:bottom w:val="nil"/>
              <w:right w:val="nil"/>
            </w:tcBorders>
            <w:noWrap/>
            <w:vAlign w:val="bottom"/>
            <w:hideMark/>
          </w:tcPr>
          <w:p w14:paraId="761C1C3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2F7497E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0.03816</w:t>
            </w:r>
          </w:p>
        </w:tc>
        <w:tc>
          <w:tcPr>
            <w:tcW w:w="563" w:type="pct"/>
            <w:tcBorders>
              <w:top w:val="nil"/>
              <w:left w:val="nil"/>
              <w:bottom w:val="nil"/>
              <w:right w:val="nil"/>
            </w:tcBorders>
            <w:noWrap/>
            <w:vAlign w:val="bottom"/>
            <w:hideMark/>
          </w:tcPr>
          <w:p w14:paraId="26F4F61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0.10925</w:t>
            </w:r>
          </w:p>
        </w:tc>
        <w:tc>
          <w:tcPr>
            <w:tcW w:w="569" w:type="pct"/>
            <w:tcBorders>
              <w:top w:val="nil"/>
              <w:left w:val="nil"/>
              <w:bottom w:val="nil"/>
              <w:right w:val="nil"/>
            </w:tcBorders>
            <w:noWrap/>
            <w:vAlign w:val="bottom"/>
            <w:hideMark/>
          </w:tcPr>
          <w:p w14:paraId="1E92143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105.367</w:t>
            </w:r>
          </w:p>
        </w:tc>
        <w:tc>
          <w:tcPr>
            <w:tcW w:w="569" w:type="pct"/>
            <w:tcBorders>
              <w:top w:val="nil"/>
              <w:left w:val="nil"/>
              <w:bottom w:val="nil"/>
              <w:right w:val="nil"/>
            </w:tcBorders>
            <w:noWrap/>
            <w:vAlign w:val="bottom"/>
            <w:hideMark/>
          </w:tcPr>
          <w:p w14:paraId="651E7AD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0.001</w:t>
            </w:r>
          </w:p>
        </w:tc>
        <w:tc>
          <w:tcPr>
            <w:tcW w:w="567" w:type="pct"/>
            <w:tcBorders>
              <w:top w:val="nil"/>
              <w:left w:val="nil"/>
              <w:bottom w:val="nil"/>
              <w:right w:val="nil"/>
            </w:tcBorders>
            <w:noWrap/>
            <w:vAlign w:val="bottom"/>
            <w:hideMark/>
          </w:tcPr>
          <w:p w14:paraId="5D5B636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EFC1A62" w14:textId="77777777" w:rsidTr="00740FB8">
        <w:trPr>
          <w:trHeight w:val="300"/>
        </w:trPr>
        <w:tc>
          <w:tcPr>
            <w:tcW w:w="1412" w:type="pct"/>
            <w:tcBorders>
              <w:top w:val="nil"/>
              <w:left w:val="nil"/>
              <w:bottom w:val="nil"/>
              <w:right w:val="nil"/>
            </w:tcBorders>
            <w:noWrap/>
            <w:vAlign w:val="bottom"/>
            <w:hideMark/>
          </w:tcPr>
          <w:p w14:paraId="6300CAA5"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Polyethylene</w:t>
            </w:r>
          </w:p>
        </w:tc>
        <w:tc>
          <w:tcPr>
            <w:tcW w:w="744" w:type="pct"/>
            <w:tcBorders>
              <w:top w:val="nil"/>
              <w:left w:val="nil"/>
              <w:bottom w:val="nil"/>
              <w:right w:val="nil"/>
            </w:tcBorders>
            <w:noWrap/>
            <w:vAlign w:val="bottom"/>
            <w:hideMark/>
          </w:tcPr>
          <w:p w14:paraId="306B0DE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60161B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0.02026</w:t>
            </w:r>
          </w:p>
        </w:tc>
        <w:tc>
          <w:tcPr>
            <w:tcW w:w="563" w:type="pct"/>
            <w:tcBorders>
              <w:top w:val="nil"/>
              <w:left w:val="nil"/>
              <w:bottom w:val="nil"/>
              <w:right w:val="nil"/>
            </w:tcBorders>
            <w:noWrap/>
            <w:vAlign w:val="bottom"/>
            <w:hideMark/>
          </w:tcPr>
          <w:p w14:paraId="4E0D5FB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0.05801</w:t>
            </w:r>
          </w:p>
        </w:tc>
        <w:tc>
          <w:tcPr>
            <w:tcW w:w="569" w:type="pct"/>
            <w:tcBorders>
              <w:top w:val="nil"/>
              <w:left w:val="nil"/>
              <w:bottom w:val="nil"/>
              <w:right w:val="nil"/>
            </w:tcBorders>
            <w:noWrap/>
            <w:vAlign w:val="bottom"/>
            <w:hideMark/>
          </w:tcPr>
          <w:p w14:paraId="721D29C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55.952</w:t>
            </w:r>
          </w:p>
        </w:tc>
        <w:tc>
          <w:tcPr>
            <w:tcW w:w="569" w:type="pct"/>
            <w:tcBorders>
              <w:top w:val="nil"/>
              <w:left w:val="nil"/>
              <w:bottom w:val="nil"/>
              <w:right w:val="nil"/>
            </w:tcBorders>
            <w:noWrap/>
            <w:vAlign w:val="bottom"/>
            <w:hideMark/>
          </w:tcPr>
          <w:p w14:paraId="63D953C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0.002</w:t>
            </w:r>
          </w:p>
        </w:tc>
        <w:tc>
          <w:tcPr>
            <w:tcW w:w="567" w:type="pct"/>
            <w:tcBorders>
              <w:top w:val="nil"/>
              <w:left w:val="nil"/>
              <w:bottom w:val="nil"/>
              <w:right w:val="nil"/>
            </w:tcBorders>
            <w:noWrap/>
            <w:vAlign w:val="bottom"/>
            <w:hideMark/>
          </w:tcPr>
          <w:p w14:paraId="2370871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5A0001BB" w14:textId="77777777" w:rsidTr="00740FB8">
        <w:trPr>
          <w:trHeight w:val="300"/>
        </w:trPr>
        <w:tc>
          <w:tcPr>
            <w:tcW w:w="1412" w:type="pct"/>
            <w:tcBorders>
              <w:top w:val="nil"/>
              <w:left w:val="nil"/>
              <w:bottom w:val="nil"/>
              <w:right w:val="nil"/>
            </w:tcBorders>
            <w:noWrap/>
            <w:vAlign w:val="bottom"/>
            <w:hideMark/>
          </w:tcPr>
          <w:p w14:paraId="188CF9F2"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Tank</w:t>
            </w:r>
          </w:p>
        </w:tc>
        <w:tc>
          <w:tcPr>
            <w:tcW w:w="744" w:type="pct"/>
            <w:tcBorders>
              <w:top w:val="nil"/>
              <w:left w:val="nil"/>
              <w:bottom w:val="nil"/>
              <w:right w:val="nil"/>
            </w:tcBorders>
            <w:noWrap/>
            <w:vAlign w:val="bottom"/>
            <w:hideMark/>
          </w:tcPr>
          <w:p w14:paraId="735D724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62F71FC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0.01877</w:t>
            </w:r>
          </w:p>
        </w:tc>
        <w:tc>
          <w:tcPr>
            <w:tcW w:w="563" w:type="pct"/>
            <w:tcBorders>
              <w:top w:val="nil"/>
              <w:left w:val="nil"/>
              <w:bottom w:val="nil"/>
              <w:right w:val="nil"/>
            </w:tcBorders>
            <w:noWrap/>
            <w:vAlign w:val="bottom"/>
            <w:hideMark/>
          </w:tcPr>
          <w:p w14:paraId="3D8B28D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0.05375</w:t>
            </w:r>
          </w:p>
        </w:tc>
        <w:tc>
          <w:tcPr>
            <w:tcW w:w="569" w:type="pct"/>
            <w:tcBorders>
              <w:top w:val="nil"/>
              <w:left w:val="nil"/>
              <w:bottom w:val="nil"/>
              <w:right w:val="nil"/>
            </w:tcBorders>
            <w:noWrap/>
            <w:vAlign w:val="bottom"/>
            <w:hideMark/>
          </w:tcPr>
          <w:p w14:paraId="1EAA197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51.837</w:t>
            </w:r>
          </w:p>
        </w:tc>
        <w:tc>
          <w:tcPr>
            <w:tcW w:w="569" w:type="pct"/>
            <w:tcBorders>
              <w:top w:val="nil"/>
              <w:left w:val="nil"/>
              <w:bottom w:val="nil"/>
              <w:right w:val="nil"/>
            </w:tcBorders>
            <w:noWrap/>
            <w:vAlign w:val="bottom"/>
            <w:hideMark/>
          </w:tcPr>
          <w:p w14:paraId="7E9EE86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0.003</w:t>
            </w:r>
          </w:p>
        </w:tc>
        <w:tc>
          <w:tcPr>
            <w:tcW w:w="567" w:type="pct"/>
            <w:tcBorders>
              <w:top w:val="nil"/>
              <w:left w:val="nil"/>
              <w:bottom w:val="nil"/>
              <w:right w:val="nil"/>
            </w:tcBorders>
            <w:noWrap/>
            <w:vAlign w:val="bottom"/>
            <w:hideMark/>
          </w:tcPr>
          <w:p w14:paraId="3145B36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51270597" w14:textId="77777777" w:rsidTr="00740FB8">
        <w:trPr>
          <w:trHeight w:val="300"/>
        </w:trPr>
        <w:tc>
          <w:tcPr>
            <w:tcW w:w="1412" w:type="pct"/>
            <w:tcBorders>
              <w:top w:val="nil"/>
              <w:left w:val="nil"/>
              <w:bottom w:val="nil"/>
              <w:right w:val="nil"/>
            </w:tcBorders>
            <w:noWrap/>
            <w:vAlign w:val="bottom"/>
            <w:hideMark/>
          </w:tcPr>
          <w:p w14:paraId="4D4F4D2E"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Concrete Wall</w:t>
            </w:r>
          </w:p>
        </w:tc>
        <w:tc>
          <w:tcPr>
            <w:tcW w:w="744" w:type="pct"/>
            <w:tcBorders>
              <w:top w:val="nil"/>
              <w:left w:val="nil"/>
              <w:bottom w:val="nil"/>
              <w:right w:val="nil"/>
            </w:tcBorders>
            <w:noWrap/>
            <w:vAlign w:val="bottom"/>
            <w:hideMark/>
          </w:tcPr>
          <w:p w14:paraId="7650CD4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4E0086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0.01471</w:t>
            </w:r>
          </w:p>
        </w:tc>
        <w:tc>
          <w:tcPr>
            <w:tcW w:w="563" w:type="pct"/>
            <w:tcBorders>
              <w:top w:val="nil"/>
              <w:left w:val="nil"/>
              <w:bottom w:val="nil"/>
              <w:right w:val="nil"/>
            </w:tcBorders>
            <w:noWrap/>
            <w:vAlign w:val="bottom"/>
            <w:hideMark/>
          </w:tcPr>
          <w:p w14:paraId="71AEB7D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0.04212</w:t>
            </w:r>
          </w:p>
        </w:tc>
        <w:tc>
          <w:tcPr>
            <w:tcW w:w="569" w:type="pct"/>
            <w:tcBorders>
              <w:top w:val="nil"/>
              <w:left w:val="nil"/>
              <w:bottom w:val="nil"/>
              <w:right w:val="nil"/>
            </w:tcBorders>
            <w:noWrap/>
            <w:vAlign w:val="bottom"/>
            <w:hideMark/>
          </w:tcPr>
          <w:p w14:paraId="56D0D42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40.624</w:t>
            </w:r>
          </w:p>
        </w:tc>
        <w:tc>
          <w:tcPr>
            <w:tcW w:w="569" w:type="pct"/>
            <w:tcBorders>
              <w:top w:val="nil"/>
              <w:left w:val="nil"/>
              <w:bottom w:val="nil"/>
              <w:right w:val="nil"/>
            </w:tcBorders>
            <w:noWrap/>
            <w:vAlign w:val="bottom"/>
            <w:hideMark/>
          </w:tcPr>
          <w:p w14:paraId="2467DCF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0.009</w:t>
            </w:r>
          </w:p>
        </w:tc>
        <w:tc>
          <w:tcPr>
            <w:tcW w:w="567" w:type="pct"/>
            <w:tcBorders>
              <w:top w:val="nil"/>
              <w:left w:val="nil"/>
              <w:bottom w:val="nil"/>
              <w:right w:val="nil"/>
            </w:tcBorders>
            <w:noWrap/>
            <w:vAlign w:val="bottom"/>
            <w:hideMark/>
          </w:tcPr>
          <w:p w14:paraId="3F94F92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28204E06" w14:textId="77777777" w:rsidTr="00740FB8">
        <w:trPr>
          <w:trHeight w:val="300"/>
        </w:trPr>
        <w:tc>
          <w:tcPr>
            <w:tcW w:w="1412" w:type="pct"/>
            <w:tcBorders>
              <w:top w:val="nil"/>
              <w:left w:val="nil"/>
              <w:bottom w:val="nil"/>
              <w:right w:val="nil"/>
            </w:tcBorders>
            <w:noWrap/>
            <w:vAlign w:val="bottom"/>
            <w:hideMark/>
          </w:tcPr>
          <w:p w14:paraId="610E4313" w14:textId="77777777" w:rsidR="005D218F" w:rsidRPr="005D218F" w:rsidRDefault="005D218F" w:rsidP="00740FB8">
            <w:pPr>
              <w:jc w:val="right"/>
              <w:rPr>
                <w:rFonts w:ascii="Arial" w:eastAsia="Times New Roman" w:hAnsi="Arial" w:cs="Arial"/>
                <w:b/>
                <w:bCs/>
                <w:color w:val="000000"/>
                <w:kern w:val="0"/>
                <w:sz w:val="20"/>
                <w:szCs w:val="20"/>
                <w:lang w:eastAsia="es-AR"/>
                <w14:ligatures w14:val="none"/>
              </w:rPr>
            </w:pPr>
            <w:r w:rsidRPr="005D218F">
              <w:rPr>
                <w:rFonts w:ascii="Arial" w:eastAsia="Times New Roman" w:hAnsi="Arial" w:cs="Arial"/>
                <w:b/>
                <w:bCs/>
                <w:color w:val="000000"/>
                <w:kern w:val="0"/>
                <w:sz w:val="20"/>
                <w:szCs w:val="20"/>
                <w:lang w:eastAsia="es-AR"/>
                <w14:ligatures w14:val="none"/>
              </w:rPr>
              <w:t>Three Months</w:t>
            </w:r>
          </w:p>
        </w:tc>
        <w:tc>
          <w:tcPr>
            <w:tcW w:w="744" w:type="pct"/>
            <w:tcBorders>
              <w:top w:val="nil"/>
              <w:left w:val="nil"/>
              <w:bottom w:val="nil"/>
              <w:right w:val="nil"/>
            </w:tcBorders>
            <w:noWrap/>
            <w:vAlign w:val="bottom"/>
            <w:hideMark/>
          </w:tcPr>
          <w:p w14:paraId="7B302C3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021CD43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0.01044</w:t>
            </w:r>
          </w:p>
        </w:tc>
        <w:tc>
          <w:tcPr>
            <w:tcW w:w="563" w:type="pct"/>
            <w:tcBorders>
              <w:top w:val="nil"/>
              <w:left w:val="nil"/>
              <w:bottom w:val="nil"/>
              <w:right w:val="nil"/>
            </w:tcBorders>
            <w:noWrap/>
            <w:vAlign w:val="bottom"/>
            <w:hideMark/>
          </w:tcPr>
          <w:p w14:paraId="2705BEE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0.02988</w:t>
            </w:r>
          </w:p>
        </w:tc>
        <w:tc>
          <w:tcPr>
            <w:tcW w:w="569" w:type="pct"/>
            <w:tcBorders>
              <w:top w:val="nil"/>
              <w:left w:val="nil"/>
              <w:bottom w:val="nil"/>
              <w:right w:val="nil"/>
            </w:tcBorders>
            <w:noWrap/>
            <w:vAlign w:val="bottom"/>
            <w:hideMark/>
          </w:tcPr>
          <w:p w14:paraId="2279B95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28.817</w:t>
            </w:r>
          </w:p>
        </w:tc>
        <w:tc>
          <w:tcPr>
            <w:tcW w:w="569" w:type="pct"/>
            <w:tcBorders>
              <w:top w:val="nil"/>
              <w:left w:val="nil"/>
              <w:bottom w:val="nil"/>
              <w:right w:val="nil"/>
            </w:tcBorders>
            <w:noWrap/>
            <w:vAlign w:val="bottom"/>
            <w:hideMark/>
          </w:tcPr>
          <w:p w14:paraId="32C79D5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0.027</w:t>
            </w:r>
          </w:p>
        </w:tc>
        <w:tc>
          <w:tcPr>
            <w:tcW w:w="567" w:type="pct"/>
            <w:tcBorders>
              <w:top w:val="nil"/>
              <w:left w:val="nil"/>
              <w:bottom w:val="nil"/>
              <w:right w:val="nil"/>
            </w:tcBorders>
            <w:noWrap/>
            <w:vAlign w:val="bottom"/>
            <w:hideMark/>
          </w:tcPr>
          <w:p w14:paraId="2EEBD39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0B0D5602" w14:textId="77777777" w:rsidTr="00740FB8">
        <w:trPr>
          <w:trHeight w:val="300"/>
        </w:trPr>
        <w:tc>
          <w:tcPr>
            <w:tcW w:w="1412" w:type="pct"/>
            <w:tcBorders>
              <w:top w:val="nil"/>
              <w:left w:val="nil"/>
              <w:bottom w:val="nil"/>
              <w:right w:val="nil"/>
            </w:tcBorders>
            <w:noWrap/>
            <w:vAlign w:val="bottom"/>
            <w:hideMark/>
          </w:tcPr>
          <w:p w14:paraId="7A5E08AE"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Spring</w:t>
            </w:r>
          </w:p>
        </w:tc>
        <w:tc>
          <w:tcPr>
            <w:tcW w:w="744" w:type="pct"/>
            <w:tcBorders>
              <w:top w:val="nil"/>
              <w:left w:val="nil"/>
              <w:bottom w:val="nil"/>
              <w:right w:val="nil"/>
            </w:tcBorders>
            <w:noWrap/>
            <w:vAlign w:val="bottom"/>
            <w:hideMark/>
          </w:tcPr>
          <w:p w14:paraId="047FE68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39BAE74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0.00865</w:t>
            </w:r>
          </w:p>
        </w:tc>
        <w:tc>
          <w:tcPr>
            <w:tcW w:w="563" w:type="pct"/>
            <w:tcBorders>
              <w:top w:val="nil"/>
              <w:left w:val="nil"/>
              <w:bottom w:val="nil"/>
              <w:right w:val="nil"/>
            </w:tcBorders>
            <w:noWrap/>
            <w:vAlign w:val="bottom"/>
            <w:hideMark/>
          </w:tcPr>
          <w:p w14:paraId="5246CD9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0.02477</w:t>
            </w:r>
          </w:p>
        </w:tc>
        <w:tc>
          <w:tcPr>
            <w:tcW w:w="569" w:type="pct"/>
            <w:tcBorders>
              <w:top w:val="nil"/>
              <w:left w:val="nil"/>
              <w:bottom w:val="nil"/>
              <w:right w:val="nil"/>
            </w:tcBorders>
            <w:noWrap/>
            <w:vAlign w:val="bottom"/>
            <w:hideMark/>
          </w:tcPr>
          <w:p w14:paraId="014A8C1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23.894</w:t>
            </w:r>
          </w:p>
        </w:tc>
        <w:tc>
          <w:tcPr>
            <w:tcW w:w="569" w:type="pct"/>
            <w:tcBorders>
              <w:top w:val="nil"/>
              <w:left w:val="nil"/>
              <w:bottom w:val="nil"/>
              <w:right w:val="nil"/>
            </w:tcBorders>
            <w:noWrap/>
            <w:vAlign w:val="bottom"/>
            <w:hideMark/>
          </w:tcPr>
          <w:p w14:paraId="23ED7E4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0.062</w:t>
            </w:r>
          </w:p>
        </w:tc>
        <w:tc>
          <w:tcPr>
            <w:tcW w:w="567" w:type="pct"/>
            <w:tcBorders>
              <w:top w:val="nil"/>
              <w:left w:val="nil"/>
              <w:bottom w:val="nil"/>
              <w:right w:val="nil"/>
            </w:tcBorders>
            <w:noWrap/>
            <w:vAlign w:val="bottom"/>
            <w:hideMark/>
          </w:tcPr>
          <w:p w14:paraId="6912A33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7962ACE7" w14:textId="77777777" w:rsidTr="00740FB8">
        <w:trPr>
          <w:trHeight w:val="300"/>
        </w:trPr>
        <w:tc>
          <w:tcPr>
            <w:tcW w:w="1412" w:type="pct"/>
            <w:tcBorders>
              <w:top w:val="nil"/>
              <w:left w:val="nil"/>
              <w:bottom w:val="nil"/>
              <w:right w:val="nil"/>
            </w:tcBorders>
            <w:noWrap/>
            <w:vAlign w:val="bottom"/>
            <w:hideMark/>
          </w:tcPr>
          <w:p w14:paraId="19A949AB"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Sediment</w:t>
            </w:r>
          </w:p>
        </w:tc>
        <w:tc>
          <w:tcPr>
            <w:tcW w:w="744" w:type="pct"/>
            <w:tcBorders>
              <w:top w:val="nil"/>
              <w:left w:val="nil"/>
              <w:bottom w:val="nil"/>
              <w:right w:val="nil"/>
            </w:tcBorders>
            <w:noWrap/>
            <w:vAlign w:val="bottom"/>
            <w:hideMark/>
          </w:tcPr>
          <w:p w14:paraId="0E7BEEC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438410F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0.00888</w:t>
            </w:r>
          </w:p>
        </w:tc>
        <w:tc>
          <w:tcPr>
            <w:tcW w:w="563" w:type="pct"/>
            <w:tcBorders>
              <w:top w:val="nil"/>
              <w:left w:val="nil"/>
              <w:bottom w:val="nil"/>
              <w:right w:val="nil"/>
            </w:tcBorders>
            <w:noWrap/>
            <w:vAlign w:val="bottom"/>
            <w:hideMark/>
          </w:tcPr>
          <w:p w14:paraId="3C8C01A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0.02541</w:t>
            </w:r>
          </w:p>
        </w:tc>
        <w:tc>
          <w:tcPr>
            <w:tcW w:w="569" w:type="pct"/>
            <w:tcBorders>
              <w:top w:val="nil"/>
              <w:left w:val="nil"/>
              <w:bottom w:val="nil"/>
              <w:right w:val="nil"/>
            </w:tcBorders>
            <w:noWrap/>
            <w:vAlign w:val="bottom"/>
            <w:hideMark/>
          </w:tcPr>
          <w:p w14:paraId="6227BA9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24.509</w:t>
            </w:r>
          </w:p>
        </w:tc>
        <w:tc>
          <w:tcPr>
            <w:tcW w:w="569" w:type="pct"/>
            <w:tcBorders>
              <w:top w:val="nil"/>
              <w:left w:val="nil"/>
              <w:bottom w:val="nil"/>
              <w:right w:val="nil"/>
            </w:tcBorders>
            <w:noWrap/>
            <w:vAlign w:val="bottom"/>
            <w:hideMark/>
          </w:tcPr>
          <w:p w14:paraId="292EB7D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0.052</w:t>
            </w:r>
          </w:p>
        </w:tc>
        <w:tc>
          <w:tcPr>
            <w:tcW w:w="567" w:type="pct"/>
            <w:tcBorders>
              <w:top w:val="nil"/>
              <w:left w:val="nil"/>
              <w:bottom w:val="nil"/>
              <w:right w:val="nil"/>
            </w:tcBorders>
            <w:noWrap/>
            <w:vAlign w:val="bottom"/>
            <w:hideMark/>
          </w:tcPr>
          <w:p w14:paraId="004F32F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t>
            </w:r>
          </w:p>
        </w:tc>
      </w:tr>
      <w:tr w:rsidR="005D218F" w:rsidRPr="005D218F" w14:paraId="4BF48D79" w14:textId="77777777" w:rsidTr="00740FB8">
        <w:trPr>
          <w:trHeight w:val="300"/>
        </w:trPr>
        <w:tc>
          <w:tcPr>
            <w:tcW w:w="1412" w:type="pct"/>
            <w:tcBorders>
              <w:top w:val="nil"/>
              <w:left w:val="nil"/>
              <w:bottom w:val="nil"/>
              <w:right w:val="nil"/>
            </w:tcBorders>
            <w:noWrap/>
            <w:vAlign w:val="bottom"/>
            <w:hideMark/>
          </w:tcPr>
          <w:p w14:paraId="59901A32"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Winter</w:t>
            </w:r>
          </w:p>
        </w:tc>
        <w:tc>
          <w:tcPr>
            <w:tcW w:w="744" w:type="pct"/>
            <w:tcBorders>
              <w:top w:val="nil"/>
              <w:left w:val="nil"/>
              <w:bottom w:val="nil"/>
              <w:right w:val="nil"/>
            </w:tcBorders>
            <w:noWrap/>
            <w:vAlign w:val="bottom"/>
            <w:hideMark/>
          </w:tcPr>
          <w:p w14:paraId="0849D732"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3D1434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0.00626</w:t>
            </w:r>
          </w:p>
        </w:tc>
        <w:tc>
          <w:tcPr>
            <w:tcW w:w="563" w:type="pct"/>
            <w:tcBorders>
              <w:top w:val="nil"/>
              <w:left w:val="nil"/>
              <w:bottom w:val="nil"/>
              <w:right w:val="nil"/>
            </w:tcBorders>
            <w:noWrap/>
            <w:vAlign w:val="bottom"/>
            <w:hideMark/>
          </w:tcPr>
          <w:p w14:paraId="5E0EB16A"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0.01792</w:t>
            </w:r>
          </w:p>
        </w:tc>
        <w:tc>
          <w:tcPr>
            <w:tcW w:w="569" w:type="pct"/>
            <w:tcBorders>
              <w:top w:val="nil"/>
              <w:left w:val="nil"/>
              <w:bottom w:val="nil"/>
              <w:right w:val="nil"/>
            </w:tcBorders>
            <w:noWrap/>
            <w:vAlign w:val="bottom"/>
            <w:hideMark/>
          </w:tcPr>
          <w:p w14:paraId="74B9194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17.286</w:t>
            </w:r>
          </w:p>
        </w:tc>
        <w:tc>
          <w:tcPr>
            <w:tcW w:w="569" w:type="pct"/>
            <w:tcBorders>
              <w:top w:val="nil"/>
              <w:left w:val="nil"/>
              <w:bottom w:val="nil"/>
              <w:right w:val="nil"/>
            </w:tcBorders>
            <w:noWrap/>
            <w:vAlign w:val="bottom"/>
            <w:hideMark/>
          </w:tcPr>
          <w:p w14:paraId="7C0CB17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0.129</w:t>
            </w:r>
          </w:p>
        </w:tc>
        <w:tc>
          <w:tcPr>
            <w:tcW w:w="567" w:type="pct"/>
            <w:tcBorders>
              <w:top w:val="nil"/>
              <w:left w:val="nil"/>
              <w:bottom w:val="nil"/>
              <w:right w:val="nil"/>
            </w:tcBorders>
            <w:noWrap/>
            <w:vAlign w:val="bottom"/>
            <w:hideMark/>
          </w:tcPr>
          <w:p w14:paraId="0E00B38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r>
      <w:tr w:rsidR="005D218F" w:rsidRPr="005D218F" w14:paraId="4ED3CD36" w14:textId="77777777" w:rsidTr="00740FB8">
        <w:trPr>
          <w:trHeight w:val="300"/>
        </w:trPr>
        <w:tc>
          <w:tcPr>
            <w:tcW w:w="1412" w:type="pct"/>
            <w:tcBorders>
              <w:top w:val="nil"/>
              <w:left w:val="nil"/>
              <w:bottom w:val="nil"/>
              <w:right w:val="nil"/>
            </w:tcBorders>
            <w:noWrap/>
            <w:vAlign w:val="bottom"/>
            <w:hideMark/>
          </w:tcPr>
          <w:p w14:paraId="7FE43AB6"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Autumn</w:t>
            </w:r>
          </w:p>
        </w:tc>
        <w:tc>
          <w:tcPr>
            <w:tcW w:w="744" w:type="pct"/>
            <w:tcBorders>
              <w:top w:val="nil"/>
              <w:left w:val="nil"/>
              <w:bottom w:val="nil"/>
              <w:right w:val="nil"/>
            </w:tcBorders>
            <w:noWrap/>
            <w:vAlign w:val="bottom"/>
            <w:hideMark/>
          </w:tcPr>
          <w:p w14:paraId="71AD5D90"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22EB4A7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0.00554</w:t>
            </w:r>
          </w:p>
        </w:tc>
        <w:tc>
          <w:tcPr>
            <w:tcW w:w="563" w:type="pct"/>
            <w:tcBorders>
              <w:top w:val="nil"/>
              <w:left w:val="nil"/>
              <w:bottom w:val="nil"/>
              <w:right w:val="nil"/>
            </w:tcBorders>
            <w:noWrap/>
            <w:vAlign w:val="bottom"/>
            <w:hideMark/>
          </w:tcPr>
          <w:p w14:paraId="3795438D"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0.01586</w:t>
            </w:r>
          </w:p>
        </w:tc>
        <w:tc>
          <w:tcPr>
            <w:tcW w:w="569" w:type="pct"/>
            <w:tcBorders>
              <w:top w:val="nil"/>
              <w:left w:val="nil"/>
              <w:bottom w:val="nil"/>
              <w:right w:val="nil"/>
            </w:tcBorders>
            <w:noWrap/>
            <w:vAlign w:val="bottom"/>
            <w:hideMark/>
          </w:tcPr>
          <w:p w14:paraId="744D3D2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15.296</w:t>
            </w:r>
          </w:p>
        </w:tc>
        <w:tc>
          <w:tcPr>
            <w:tcW w:w="569" w:type="pct"/>
            <w:tcBorders>
              <w:top w:val="nil"/>
              <w:left w:val="nil"/>
              <w:bottom w:val="nil"/>
              <w:right w:val="nil"/>
            </w:tcBorders>
            <w:noWrap/>
            <w:vAlign w:val="bottom"/>
            <w:hideMark/>
          </w:tcPr>
          <w:p w14:paraId="5230059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0.218</w:t>
            </w:r>
          </w:p>
        </w:tc>
        <w:tc>
          <w:tcPr>
            <w:tcW w:w="567" w:type="pct"/>
            <w:tcBorders>
              <w:top w:val="nil"/>
              <w:left w:val="nil"/>
              <w:bottom w:val="nil"/>
              <w:right w:val="nil"/>
            </w:tcBorders>
            <w:noWrap/>
            <w:vAlign w:val="bottom"/>
            <w:hideMark/>
          </w:tcPr>
          <w:p w14:paraId="1752640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r>
      <w:tr w:rsidR="005D218F" w:rsidRPr="005D218F" w14:paraId="14204CA0" w14:textId="77777777" w:rsidTr="00740FB8">
        <w:trPr>
          <w:trHeight w:val="300"/>
        </w:trPr>
        <w:tc>
          <w:tcPr>
            <w:tcW w:w="1412" w:type="pct"/>
            <w:tcBorders>
              <w:top w:val="nil"/>
              <w:left w:val="nil"/>
              <w:bottom w:val="nil"/>
              <w:right w:val="nil"/>
            </w:tcBorders>
            <w:noWrap/>
            <w:vAlign w:val="bottom"/>
            <w:hideMark/>
          </w:tcPr>
          <w:p w14:paraId="2E746FB4"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Pre</w:t>
            </w:r>
          </w:p>
        </w:tc>
        <w:tc>
          <w:tcPr>
            <w:tcW w:w="744" w:type="pct"/>
            <w:tcBorders>
              <w:top w:val="nil"/>
              <w:left w:val="nil"/>
              <w:bottom w:val="nil"/>
              <w:right w:val="nil"/>
            </w:tcBorders>
            <w:noWrap/>
            <w:vAlign w:val="bottom"/>
            <w:hideMark/>
          </w:tcPr>
          <w:p w14:paraId="43EE131F"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w:t>
            </w:r>
          </w:p>
        </w:tc>
        <w:tc>
          <w:tcPr>
            <w:tcW w:w="575" w:type="pct"/>
            <w:tcBorders>
              <w:top w:val="nil"/>
              <w:left w:val="nil"/>
              <w:bottom w:val="nil"/>
              <w:right w:val="nil"/>
            </w:tcBorders>
            <w:noWrap/>
            <w:vAlign w:val="bottom"/>
            <w:hideMark/>
          </w:tcPr>
          <w:p w14:paraId="1F60781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0.00528</w:t>
            </w:r>
          </w:p>
        </w:tc>
        <w:tc>
          <w:tcPr>
            <w:tcW w:w="563" w:type="pct"/>
            <w:tcBorders>
              <w:top w:val="nil"/>
              <w:left w:val="nil"/>
              <w:bottom w:val="nil"/>
              <w:right w:val="nil"/>
            </w:tcBorders>
            <w:noWrap/>
            <w:vAlign w:val="bottom"/>
            <w:hideMark/>
          </w:tcPr>
          <w:p w14:paraId="52EBA61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0.01511</w:t>
            </w:r>
          </w:p>
        </w:tc>
        <w:tc>
          <w:tcPr>
            <w:tcW w:w="569" w:type="pct"/>
            <w:tcBorders>
              <w:top w:val="nil"/>
              <w:left w:val="nil"/>
              <w:bottom w:val="nil"/>
              <w:right w:val="nil"/>
            </w:tcBorders>
            <w:noWrap/>
            <w:vAlign w:val="bottom"/>
            <w:hideMark/>
          </w:tcPr>
          <w:p w14:paraId="354F2F0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14.576</w:t>
            </w:r>
          </w:p>
        </w:tc>
        <w:tc>
          <w:tcPr>
            <w:tcW w:w="569" w:type="pct"/>
            <w:tcBorders>
              <w:top w:val="nil"/>
              <w:left w:val="nil"/>
              <w:bottom w:val="nil"/>
              <w:right w:val="nil"/>
            </w:tcBorders>
            <w:noWrap/>
            <w:vAlign w:val="bottom"/>
            <w:hideMark/>
          </w:tcPr>
          <w:p w14:paraId="39CCBAC6"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0.199</w:t>
            </w:r>
          </w:p>
        </w:tc>
        <w:tc>
          <w:tcPr>
            <w:tcW w:w="567" w:type="pct"/>
            <w:tcBorders>
              <w:top w:val="nil"/>
              <w:left w:val="nil"/>
              <w:bottom w:val="nil"/>
              <w:right w:val="nil"/>
            </w:tcBorders>
            <w:noWrap/>
            <w:vAlign w:val="bottom"/>
            <w:hideMark/>
          </w:tcPr>
          <w:p w14:paraId="7E26087B"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r>
      <w:tr w:rsidR="005D218F" w:rsidRPr="005D218F" w14:paraId="1E0450BB" w14:textId="77777777" w:rsidTr="00740FB8">
        <w:trPr>
          <w:trHeight w:val="300"/>
        </w:trPr>
        <w:tc>
          <w:tcPr>
            <w:tcW w:w="1412" w:type="pct"/>
            <w:tcBorders>
              <w:top w:val="nil"/>
              <w:left w:val="nil"/>
              <w:bottom w:val="nil"/>
              <w:right w:val="nil"/>
            </w:tcBorders>
            <w:noWrap/>
            <w:vAlign w:val="bottom"/>
            <w:hideMark/>
          </w:tcPr>
          <w:p w14:paraId="36284601"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Residual</w:t>
            </w:r>
          </w:p>
        </w:tc>
        <w:tc>
          <w:tcPr>
            <w:tcW w:w="744" w:type="pct"/>
            <w:tcBorders>
              <w:top w:val="nil"/>
              <w:left w:val="nil"/>
              <w:bottom w:val="nil"/>
              <w:right w:val="nil"/>
            </w:tcBorders>
            <w:noWrap/>
            <w:vAlign w:val="bottom"/>
            <w:hideMark/>
          </w:tcPr>
          <w:p w14:paraId="421270D3"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42</w:t>
            </w:r>
          </w:p>
        </w:tc>
        <w:tc>
          <w:tcPr>
            <w:tcW w:w="575" w:type="pct"/>
            <w:tcBorders>
              <w:top w:val="nil"/>
              <w:left w:val="nil"/>
              <w:bottom w:val="nil"/>
              <w:right w:val="nil"/>
            </w:tcBorders>
            <w:noWrap/>
            <w:vAlign w:val="bottom"/>
            <w:hideMark/>
          </w:tcPr>
          <w:p w14:paraId="587F2E09"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0.15211</w:t>
            </w:r>
          </w:p>
        </w:tc>
        <w:tc>
          <w:tcPr>
            <w:tcW w:w="563" w:type="pct"/>
            <w:tcBorders>
              <w:top w:val="nil"/>
              <w:left w:val="nil"/>
              <w:bottom w:val="nil"/>
              <w:right w:val="nil"/>
            </w:tcBorders>
            <w:noWrap/>
            <w:vAlign w:val="bottom"/>
            <w:hideMark/>
          </w:tcPr>
          <w:p w14:paraId="2215F1E1"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0.43547</w:t>
            </w:r>
          </w:p>
        </w:tc>
        <w:tc>
          <w:tcPr>
            <w:tcW w:w="569" w:type="pct"/>
            <w:tcBorders>
              <w:top w:val="nil"/>
              <w:left w:val="nil"/>
              <w:bottom w:val="nil"/>
              <w:right w:val="nil"/>
            </w:tcBorders>
            <w:noWrap/>
            <w:vAlign w:val="bottom"/>
            <w:hideMark/>
          </w:tcPr>
          <w:p w14:paraId="3EECF9B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nil"/>
              <w:right w:val="nil"/>
            </w:tcBorders>
            <w:noWrap/>
            <w:vAlign w:val="bottom"/>
            <w:hideMark/>
          </w:tcPr>
          <w:p w14:paraId="2434A511" w14:textId="77777777" w:rsidR="005D218F" w:rsidRPr="005D218F" w:rsidRDefault="005D218F" w:rsidP="00740FB8">
            <w:pPr>
              <w:jc w:val="center"/>
              <w:rPr>
                <w:rFonts w:ascii="Arial" w:eastAsia="Times New Roman" w:hAnsi="Arial" w:cs="Arial"/>
                <w:kern w:val="0"/>
                <w:sz w:val="20"/>
                <w:szCs w:val="20"/>
                <w:lang w:eastAsia="es-AR"/>
                <w14:ligatures w14:val="none"/>
              </w:rPr>
            </w:pPr>
          </w:p>
        </w:tc>
        <w:tc>
          <w:tcPr>
            <w:tcW w:w="567" w:type="pct"/>
            <w:tcBorders>
              <w:top w:val="nil"/>
              <w:left w:val="nil"/>
              <w:bottom w:val="nil"/>
              <w:right w:val="nil"/>
            </w:tcBorders>
            <w:noWrap/>
            <w:vAlign w:val="bottom"/>
            <w:hideMark/>
          </w:tcPr>
          <w:p w14:paraId="12AD50E0" w14:textId="77777777" w:rsidR="005D218F" w:rsidRPr="005D218F" w:rsidRDefault="005D218F" w:rsidP="00740FB8">
            <w:pPr>
              <w:jc w:val="center"/>
              <w:rPr>
                <w:rFonts w:ascii="Arial" w:eastAsia="Times New Roman" w:hAnsi="Arial" w:cs="Arial"/>
                <w:kern w:val="0"/>
                <w:sz w:val="20"/>
                <w:szCs w:val="20"/>
                <w:lang w:eastAsia="es-AR"/>
                <w14:ligatures w14:val="none"/>
              </w:rPr>
            </w:pPr>
          </w:p>
        </w:tc>
      </w:tr>
      <w:tr w:rsidR="005D218F" w:rsidRPr="005D218F" w14:paraId="26D18A04" w14:textId="77777777" w:rsidTr="00740FB8">
        <w:trPr>
          <w:trHeight w:val="300"/>
        </w:trPr>
        <w:tc>
          <w:tcPr>
            <w:tcW w:w="1412" w:type="pct"/>
            <w:tcBorders>
              <w:top w:val="nil"/>
              <w:left w:val="nil"/>
              <w:bottom w:val="single" w:sz="4" w:space="0" w:color="auto"/>
              <w:right w:val="nil"/>
            </w:tcBorders>
            <w:noWrap/>
            <w:vAlign w:val="bottom"/>
            <w:hideMark/>
          </w:tcPr>
          <w:p w14:paraId="2699E7FB" w14:textId="77777777" w:rsidR="005D218F" w:rsidRPr="005D218F" w:rsidRDefault="005D218F" w:rsidP="00740FB8">
            <w:pPr>
              <w:jc w:val="right"/>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Total</w:t>
            </w:r>
          </w:p>
        </w:tc>
        <w:tc>
          <w:tcPr>
            <w:tcW w:w="744" w:type="pct"/>
            <w:tcBorders>
              <w:top w:val="nil"/>
              <w:left w:val="nil"/>
              <w:bottom w:val="single" w:sz="4" w:space="0" w:color="auto"/>
              <w:right w:val="nil"/>
            </w:tcBorders>
            <w:noWrap/>
            <w:vAlign w:val="bottom"/>
            <w:hideMark/>
          </w:tcPr>
          <w:p w14:paraId="79655E0C"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53</w:t>
            </w:r>
          </w:p>
        </w:tc>
        <w:tc>
          <w:tcPr>
            <w:tcW w:w="575" w:type="pct"/>
            <w:tcBorders>
              <w:top w:val="nil"/>
              <w:left w:val="nil"/>
              <w:bottom w:val="single" w:sz="4" w:space="0" w:color="auto"/>
              <w:right w:val="nil"/>
            </w:tcBorders>
            <w:noWrap/>
            <w:vAlign w:val="bottom"/>
            <w:hideMark/>
          </w:tcPr>
          <w:p w14:paraId="40D5F8B5"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0.34930</w:t>
            </w:r>
          </w:p>
        </w:tc>
        <w:tc>
          <w:tcPr>
            <w:tcW w:w="563" w:type="pct"/>
            <w:tcBorders>
              <w:top w:val="nil"/>
              <w:left w:val="nil"/>
              <w:bottom w:val="single" w:sz="4" w:space="0" w:color="auto"/>
              <w:right w:val="nil"/>
            </w:tcBorders>
            <w:noWrap/>
            <w:vAlign w:val="bottom"/>
            <w:hideMark/>
          </w:tcPr>
          <w:p w14:paraId="6BB30574"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100.000</w:t>
            </w:r>
          </w:p>
        </w:tc>
        <w:tc>
          <w:tcPr>
            <w:tcW w:w="569" w:type="pct"/>
            <w:tcBorders>
              <w:top w:val="nil"/>
              <w:left w:val="nil"/>
              <w:bottom w:val="single" w:sz="4" w:space="0" w:color="auto"/>
              <w:right w:val="nil"/>
            </w:tcBorders>
            <w:noWrap/>
            <w:vAlign w:val="bottom"/>
            <w:hideMark/>
          </w:tcPr>
          <w:p w14:paraId="4DE51AD7"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9" w:type="pct"/>
            <w:tcBorders>
              <w:top w:val="nil"/>
              <w:left w:val="nil"/>
              <w:bottom w:val="single" w:sz="4" w:space="0" w:color="auto"/>
              <w:right w:val="nil"/>
            </w:tcBorders>
            <w:noWrap/>
            <w:vAlign w:val="bottom"/>
            <w:hideMark/>
          </w:tcPr>
          <w:p w14:paraId="694392EE"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c>
          <w:tcPr>
            <w:tcW w:w="567" w:type="pct"/>
            <w:tcBorders>
              <w:top w:val="nil"/>
              <w:left w:val="nil"/>
              <w:bottom w:val="single" w:sz="4" w:space="0" w:color="auto"/>
              <w:right w:val="nil"/>
            </w:tcBorders>
            <w:noWrap/>
            <w:vAlign w:val="bottom"/>
            <w:hideMark/>
          </w:tcPr>
          <w:p w14:paraId="606892B8" w14:textId="77777777" w:rsidR="005D218F" w:rsidRPr="005D218F" w:rsidRDefault="005D218F" w:rsidP="00740FB8">
            <w:pPr>
              <w:jc w:val="center"/>
              <w:rPr>
                <w:rFonts w:ascii="Arial" w:eastAsia="Times New Roman" w:hAnsi="Arial" w:cs="Arial"/>
                <w:color w:val="000000"/>
                <w:kern w:val="0"/>
                <w:sz w:val="20"/>
                <w:szCs w:val="20"/>
                <w:lang w:eastAsia="es-AR"/>
                <w14:ligatures w14:val="none"/>
              </w:rPr>
            </w:pPr>
          </w:p>
        </w:tc>
      </w:tr>
      <w:tr w:rsidR="005D218F" w:rsidRPr="005D218F" w14:paraId="0F71A712" w14:textId="77777777" w:rsidTr="00740FB8">
        <w:trPr>
          <w:trHeight w:val="300"/>
        </w:trPr>
        <w:tc>
          <w:tcPr>
            <w:tcW w:w="5000" w:type="pct"/>
            <w:gridSpan w:val="7"/>
            <w:tcBorders>
              <w:top w:val="nil"/>
              <w:left w:val="nil"/>
              <w:bottom w:val="nil"/>
              <w:right w:val="nil"/>
            </w:tcBorders>
            <w:noWrap/>
            <w:vAlign w:val="center"/>
            <w:hideMark/>
          </w:tcPr>
          <w:p w14:paraId="4FA887E1" w14:textId="77777777" w:rsidR="005D218F" w:rsidRPr="005D218F" w:rsidRDefault="005D218F" w:rsidP="00740FB8">
            <w:pPr>
              <w:rPr>
                <w:rFonts w:ascii="Arial" w:eastAsia="Times New Roman" w:hAnsi="Arial" w:cs="Arial"/>
                <w:color w:val="000000"/>
                <w:kern w:val="0"/>
                <w:sz w:val="20"/>
                <w:szCs w:val="20"/>
                <w:lang w:eastAsia="es-AR"/>
                <w14:ligatures w14:val="none"/>
              </w:rPr>
            </w:pPr>
            <w:r w:rsidRPr="005D218F">
              <w:rPr>
                <w:rFonts w:ascii="Arial" w:eastAsia="Times New Roman" w:hAnsi="Arial" w:cs="Arial"/>
                <w:color w:val="000000"/>
                <w:kern w:val="0"/>
                <w:sz w:val="20"/>
                <w:szCs w:val="20"/>
                <w:lang w:eastAsia="es-AR"/>
                <w14:ligatures w14:val="none"/>
              </w:rPr>
              <w:t>Significance codes:  0 ‘***’ 0.001 ‘**’ 0.01 ‘*’ 0.05 ‘.’ 0.1 ‘ ’ 1</w:t>
            </w:r>
          </w:p>
        </w:tc>
      </w:tr>
    </w:tbl>
    <w:p w14:paraId="16231956" w14:textId="77777777" w:rsidR="005D218F" w:rsidRPr="005D218F" w:rsidRDefault="005D218F" w:rsidP="005D218F">
      <w:pPr>
        <w:jc w:val="both"/>
        <w:rPr>
          <w:rFonts w:ascii="Arial" w:hAnsi="Arial" w:cs="Arial"/>
          <w:sz w:val="20"/>
          <w:szCs w:val="20"/>
          <w:lang w:val="en-US"/>
        </w:rPr>
      </w:pPr>
    </w:p>
    <w:p w14:paraId="5B8FA9C5" w14:textId="1C282AB7" w:rsidR="005D10A9" w:rsidRDefault="005D10A9">
      <w:pPr>
        <w:rPr>
          <w:rFonts w:ascii="Arial" w:hAnsi="Arial" w:cs="Arial"/>
          <w:sz w:val="20"/>
          <w:szCs w:val="20"/>
        </w:rPr>
      </w:pPr>
      <w:r>
        <w:rPr>
          <w:rFonts w:ascii="Arial" w:hAnsi="Arial" w:cs="Arial"/>
          <w:sz w:val="20"/>
          <w:szCs w:val="20"/>
        </w:rPr>
        <w:br w:type="page"/>
      </w:r>
    </w:p>
    <w:p w14:paraId="50036962" w14:textId="375CFF72" w:rsidR="00CD291A" w:rsidRDefault="00CD291A" w:rsidP="00CD291A">
      <w:pPr>
        <w:pStyle w:val="Heading3"/>
      </w:pPr>
      <w:r w:rsidRPr="00CD291A">
        <w:rPr>
          <w:rFonts w:ascii="Helvetica" w:eastAsia="Times New Roman" w:hAnsi="Helvetica" w:cs="Helvetica"/>
          <w:color w:val="404040" w:themeColor="text1" w:themeTint="BF"/>
          <w:szCs w:val="24"/>
        </w:rPr>
        <w:lastRenderedPageBreak/>
        <w:t>Referenc</w:t>
      </w:r>
      <w:r>
        <w:rPr>
          <w:rFonts w:ascii="Helvetica" w:eastAsia="Times New Roman" w:hAnsi="Helvetica" w:cs="Helvetica"/>
          <w:color w:val="404040" w:themeColor="text1" w:themeTint="BF"/>
          <w:szCs w:val="24"/>
        </w:rPr>
        <w:t>es</w:t>
      </w:r>
    </w:p>
    <w:p w14:paraId="551B0575" w14:textId="77777777" w:rsidR="007436F8" w:rsidRPr="007436F8" w:rsidRDefault="00CD291A" w:rsidP="007436F8">
      <w:pPr>
        <w:pStyle w:val="Bibliography"/>
        <w:rPr>
          <w:rFonts w:ascii="Arial" w:hAnsi="Arial" w:cs="Arial"/>
          <w:sz w:val="20"/>
        </w:rPr>
      </w:pPr>
      <w:r>
        <w:rPr>
          <w:rFonts w:ascii="Arial" w:hAnsi="Arial" w:cs="Arial"/>
          <w:sz w:val="20"/>
          <w:szCs w:val="20"/>
        </w:rPr>
        <w:fldChar w:fldCharType="begin"/>
      </w:r>
      <w:r w:rsidR="007436F8">
        <w:rPr>
          <w:rFonts w:ascii="Arial" w:hAnsi="Arial" w:cs="Arial"/>
          <w:sz w:val="20"/>
          <w:szCs w:val="20"/>
        </w:rPr>
        <w:instrText xml:space="preserve"> ADDIN ZOTERO_BIBL {"uncited":[],"omitted":[],"custom":[]} CSL_BIBLIOGRAPHY </w:instrText>
      </w:r>
      <w:r>
        <w:rPr>
          <w:rFonts w:ascii="Arial" w:hAnsi="Arial" w:cs="Arial"/>
          <w:sz w:val="20"/>
          <w:szCs w:val="20"/>
        </w:rPr>
        <w:fldChar w:fldCharType="separate"/>
      </w:r>
      <w:r w:rsidR="007436F8" w:rsidRPr="007436F8">
        <w:rPr>
          <w:rFonts w:ascii="Arial" w:hAnsi="Arial" w:cs="Arial"/>
          <w:sz w:val="20"/>
        </w:rPr>
        <w:t>[1]</w:t>
      </w:r>
      <w:r w:rsidR="007436F8" w:rsidRPr="007436F8">
        <w:rPr>
          <w:rFonts w:ascii="Arial" w:hAnsi="Arial" w:cs="Arial"/>
          <w:sz w:val="20"/>
        </w:rPr>
        <w:tab/>
        <w:t>Schirmer M, Ijaz UZ, D’Amore R, Hall N, Sloan WT, Quince C, 2015. Insight into biases and sequencing errors for amplicon sequencing with the Illumina MiSeq platform. Nucleic Acids Res 43, e37–e37</w:t>
      </w:r>
    </w:p>
    <w:p w14:paraId="08AD439B" w14:textId="77777777" w:rsidR="007436F8" w:rsidRPr="007436F8" w:rsidRDefault="007436F8" w:rsidP="007436F8">
      <w:pPr>
        <w:pStyle w:val="Bibliography"/>
        <w:rPr>
          <w:rFonts w:ascii="Arial" w:hAnsi="Arial" w:cs="Arial"/>
          <w:sz w:val="20"/>
        </w:rPr>
      </w:pPr>
      <w:r w:rsidRPr="007436F8">
        <w:rPr>
          <w:rFonts w:ascii="Arial" w:hAnsi="Arial" w:cs="Arial"/>
          <w:sz w:val="20"/>
        </w:rPr>
        <w:t>[2]</w:t>
      </w:r>
      <w:r w:rsidRPr="007436F8">
        <w:rPr>
          <w:rFonts w:ascii="Arial" w:hAnsi="Arial" w:cs="Arial"/>
          <w:sz w:val="20"/>
        </w:rPr>
        <w:tab/>
        <w:t>Joshi NA, Fass JN, 2011. Sickle: A sliding-window, adaptive, quality-based trimming tool for FastQ files (Version 1.33) [Software]</w:t>
      </w:r>
    </w:p>
    <w:p w14:paraId="7A074C93" w14:textId="77777777" w:rsidR="007436F8" w:rsidRPr="007436F8" w:rsidRDefault="007436F8" w:rsidP="007436F8">
      <w:pPr>
        <w:pStyle w:val="Bibliography"/>
        <w:rPr>
          <w:rFonts w:ascii="Arial" w:hAnsi="Arial" w:cs="Arial"/>
          <w:sz w:val="20"/>
        </w:rPr>
      </w:pPr>
      <w:r w:rsidRPr="007436F8">
        <w:rPr>
          <w:rFonts w:ascii="Arial" w:hAnsi="Arial" w:cs="Arial"/>
          <w:sz w:val="20"/>
        </w:rPr>
        <w:t>[3]</w:t>
      </w:r>
      <w:r w:rsidRPr="007436F8">
        <w:rPr>
          <w:rFonts w:ascii="Arial" w:hAnsi="Arial" w:cs="Arial"/>
          <w:sz w:val="20"/>
        </w:rPr>
        <w:tab/>
        <w:t>Nikolenko SI, Korobeynikov AI, Alekseyev MA, 2013. BayesHammer: Bayesian clustering for error correction in single-cell sequencing. BMC Genomics 14, S7</w:t>
      </w:r>
    </w:p>
    <w:p w14:paraId="0511973F" w14:textId="77777777" w:rsidR="007436F8" w:rsidRPr="007436F8" w:rsidRDefault="007436F8" w:rsidP="007436F8">
      <w:pPr>
        <w:pStyle w:val="Bibliography"/>
        <w:rPr>
          <w:rFonts w:ascii="Arial" w:hAnsi="Arial" w:cs="Arial"/>
          <w:sz w:val="20"/>
        </w:rPr>
      </w:pPr>
      <w:r w:rsidRPr="007436F8">
        <w:rPr>
          <w:rFonts w:ascii="Arial" w:hAnsi="Arial" w:cs="Arial"/>
          <w:sz w:val="20"/>
        </w:rPr>
        <w:t>[4]</w:t>
      </w:r>
      <w:r w:rsidRPr="007436F8">
        <w:rPr>
          <w:rFonts w:ascii="Arial" w:hAnsi="Arial" w:cs="Arial"/>
          <w:sz w:val="20"/>
        </w:rPr>
        <w:tab/>
        <w:t>Masella AP, Bartram AK, Truszkowski JM, Brown DG, Neufeld JD, 2012. PANDAseq: paired-end assembler for illumina sequences. BMC Bioinformatics 13, 1–7</w:t>
      </w:r>
    </w:p>
    <w:p w14:paraId="0EE3F879" w14:textId="77777777" w:rsidR="007436F8" w:rsidRPr="007436F8" w:rsidRDefault="007436F8" w:rsidP="007436F8">
      <w:pPr>
        <w:pStyle w:val="Bibliography"/>
        <w:rPr>
          <w:rFonts w:ascii="Arial" w:hAnsi="Arial" w:cs="Arial"/>
          <w:sz w:val="20"/>
        </w:rPr>
      </w:pPr>
      <w:r w:rsidRPr="007436F8">
        <w:rPr>
          <w:rFonts w:ascii="Arial" w:hAnsi="Arial" w:cs="Arial"/>
          <w:sz w:val="20"/>
        </w:rPr>
        <w:t>[5]</w:t>
      </w:r>
      <w:r w:rsidRPr="007436F8">
        <w:rPr>
          <w:rFonts w:ascii="Arial" w:hAnsi="Arial" w:cs="Arial"/>
          <w:sz w:val="20"/>
        </w:rPr>
        <w:tab/>
        <w:t>Rognes T, Flouri T, Nichols B, Quince C, Mahé F, 2016. VSEARCH: a versatile open source tool for metagenomics. PeerJ 4, e2584. https://doi.org/10.7717/peerj.2584</w:t>
      </w:r>
    </w:p>
    <w:p w14:paraId="5ABFF05B" w14:textId="77777777" w:rsidR="007436F8" w:rsidRPr="007436F8" w:rsidRDefault="007436F8" w:rsidP="007436F8">
      <w:pPr>
        <w:pStyle w:val="Bibliography"/>
        <w:rPr>
          <w:rFonts w:ascii="Arial" w:hAnsi="Arial" w:cs="Arial"/>
          <w:sz w:val="20"/>
        </w:rPr>
      </w:pPr>
      <w:r w:rsidRPr="007436F8">
        <w:rPr>
          <w:rFonts w:ascii="Arial" w:hAnsi="Arial" w:cs="Arial"/>
          <w:sz w:val="20"/>
        </w:rPr>
        <w:t>[6]</w:t>
      </w:r>
      <w:r w:rsidRPr="007436F8">
        <w:rPr>
          <w:rFonts w:ascii="Arial" w:hAnsi="Arial" w:cs="Arial"/>
          <w:sz w:val="20"/>
        </w:rPr>
        <w:tab/>
        <w:t>Quast C, Pruesse E, Yilmaz P, Gerken J, Schweer T, Yarza P, Peplies J, Glöckner FO, 2012. The SILVA ribosomal RNA gene database project: improved data processing and web-based tools. Nucleic Acids Res 41, D590–D596</w:t>
      </w:r>
    </w:p>
    <w:p w14:paraId="1074A7F5" w14:textId="77777777" w:rsidR="007436F8" w:rsidRPr="007436F8" w:rsidRDefault="007436F8" w:rsidP="007436F8">
      <w:pPr>
        <w:pStyle w:val="Bibliography"/>
        <w:rPr>
          <w:rFonts w:ascii="Arial" w:hAnsi="Arial" w:cs="Arial"/>
          <w:sz w:val="20"/>
        </w:rPr>
      </w:pPr>
      <w:r w:rsidRPr="007436F8">
        <w:rPr>
          <w:rFonts w:ascii="Arial" w:hAnsi="Arial" w:cs="Arial"/>
          <w:sz w:val="20"/>
        </w:rPr>
        <w:t>[7]</w:t>
      </w:r>
      <w:r w:rsidRPr="007436F8">
        <w:rPr>
          <w:rFonts w:ascii="Arial" w:hAnsi="Arial" w:cs="Arial"/>
          <w:sz w:val="20"/>
        </w:rPr>
        <w:tab/>
        <w:t>Bolyen E, Rideout JR, Dillon MR, Bokulich NA, Abnet CC, Al-Ghalith GA, Alexander H, Alm EJ, Arumugam M, Asnicar F, Bai Y, Bisanz JE, Bittinger K, Brejnrod A, Brislawn CJ, Brown CT, Callahan BJ, Caraballo-Rodríguez AM, Chase J, Cope EK, Da Silva R, Diener C, Dorrestein PC, Douglas GM, Durall DM, Duvallet C, Edwardson CF, Ernst M, Estaki M, Fouquier J, Gauglitz JM, Gibbons SM, Gibson DL, Gonzalez A, Gorlick K, Guo J, Hillmann B, Holmes S, Holste H, Huttenhower C, Huttley GA, Janssen S, Jarmusch AK, Jiang L, Kaehler BD, Kang KB, Keefe CR, Keim P, Kelley ST, Knights D, Koester I, Kosciolek T, Kreps J, Langille MGI, Lee J, Ley R, Liu Y-X, Loftfield E, Lozupone C, Maher M, Marotz C, Martin BD, McDonald D, McIver LJ, Melnik AV, Metcalf JL, Morgan SC, Morton JT, Naimey AT, Navas-Molina JA, Nothias LF, Orchanian SB, Pearson T, Peoples SL, Petras D, Preuss ML, Pruesse E, Rasmussen LB, Rivers A, Robeson MS, Rosenthal P, Segata N, Shaffer M, Shiffer A, Sinha R, Song SJ, Spear JR, Swafford AD, Thompson LR, Torres PJ, Trinh P, Tripathi A, Turnbaugh PJ, Ul-Hasan S, van der Hooft JJJ, Vargas F, Vázquez-Baeza Y, Vogtmann E, von Hippel M, Walters W, Wan Y, Wang M, Warren J, Weber KC, Williamson CHD, Willis AD, Xu ZZ, Zaneveld JR, Zhang Y, Zhu Q, Knight R, Caporaso JG, 2019. Reproducible, interactive, scalable and extensible microbiome data science using QIIME 2. Nat Biotechnol 37, 1091. https://doi.org/10.1038/s41587-019-0252-6</w:t>
      </w:r>
    </w:p>
    <w:p w14:paraId="665C0DC3" w14:textId="77777777" w:rsidR="007436F8" w:rsidRPr="007436F8" w:rsidRDefault="007436F8" w:rsidP="007436F8">
      <w:pPr>
        <w:pStyle w:val="Bibliography"/>
        <w:rPr>
          <w:rFonts w:ascii="Arial" w:hAnsi="Arial" w:cs="Arial"/>
          <w:sz w:val="20"/>
        </w:rPr>
      </w:pPr>
      <w:r w:rsidRPr="007436F8">
        <w:rPr>
          <w:rFonts w:ascii="Arial" w:hAnsi="Arial" w:cs="Arial"/>
          <w:sz w:val="20"/>
        </w:rPr>
        <w:t>[8]</w:t>
      </w:r>
      <w:r w:rsidRPr="007436F8">
        <w:rPr>
          <w:rFonts w:ascii="Arial" w:hAnsi="Arial" w:cs="Arial"/>
          <w:sz w:val="20"/>
        </w:rPr>
        <w:tab/>
        <w:t>Douglas GM, Maffei VJ, Zaneveld JR, Yurgel SN, Brown JR, Taylor CM, Huttenhower C, Langille MGI, 2020. PICRUSt2 for prediction of metagenome functions. Nat Biotechnol 38, 685–688</w:t>
      </w:r>
    </w:p>
    <w:p w14:paraId="7488CEAC" w14:textId="77777777" w:rsidR="007436F8" w:rsidRPr="007436F8" w:rsidRDefault="007436F8" w:rsidP="007436F8">
      <w:pPr>
        <w:pStyle w:val="Bibliography"/>
        <w:rPr>
          <w:rFonts w:ascii="Arial" w:hAnsi="Arial" w:cs="Arial"/>
          <w:sz w:val="20"/>
        </w:rPr>
      </w:pPr>
      <w:r w:rsidRPr="007436F8">
        <w:rPr>
          <w:rFonts w:ascii="Arial" w:hAnsi="Arial" w:cs="Arial"/>
          <w:sz w:val="20"/>
        </w:rPr>
        <w:t>[9]</w:t>
      </w:r>
      <w:r w:rsidRPr="007436F8">
        <w:rPr>
          <w:rFonts w:ascii="Arial" w:hAnsi="Arial" w:cs="Arial"/>
          <w:sz w:val="20"/>
        </w:rPr>
        <w:tab/>
        <w:t>Callahan BJ, McMurdie PJ, Holmes SP, 2017. Exact sequence variants should replace operational taxonomic units in marker-gene data analysis. ISME J 11, 2639–2643. https://doi.org/10.1038/ismej.2017.119</w:t>
      </w:r>
    </w:p>
    <w:p w14:paraId="3F6D9EB6" w14:textId="77777777" w:rsidR="007436F8" w:rsidRPr="007436F8" w:rsidRDefault="007436F8" w:rsidP="007436F8">
      <w:pPr>
        <w:pStyle w:val="Bibliography"/>
        <w:rPr>
          <w:rFonts w:ascii="Arial" w:hAnsi="Arial" w:cs="Arial"/>
          <w:sz w:val="20"/>
        </w:rPr>
      </w:pPr>
      <w:r w:rsidRPr="007436F8">
        <w:rPr>
          <w:rFonts w:ascii="Arial" w:hAnsi="Arial" w:cs="Arial"/>
          <w:sz w:val="20"/>
        </w:rPr>
        <w:t>[10]</w:t>
      </w:r>
      <w:r w:rsidRPr="007436F8">
        <w:rPr>
          <w:rFonts w:ascii="Arial" w:hAnsi="Arial" w:cs="Arial"/>
          <w:sz w:val="20"/>
        </w:rPr>
        <w:tab/>
        <w:t>Li D, Liu CM, Luo R, Sadakane K, Lam TW, 2015. MEGAHIT: An ultra-fast single-node solution for large and complex metagenomics assembly via succinct de Bruijn graph. Bioinformatics 31, 1674–1676. https://doi.org/10.1093/bioinformatics/btv033</w:t>
      </w:r>
    </w:p>
    <w:p w14:paraId="6B6E7A44" w14:textId="77777777" w:rsidR="007436F8" w:rsidRPr="007436F8" w:rsidRDefault="007436F8" w:rsidP="007436F8">
      <w:pPr>
        <w:pStyle w:val="Bibliography"/>
        <w:rPr>
          <w:rFonts w:ascii="Arial" w:hAnsi="Arial" w:cs="Arial"/>
          <w:sz w:val="20"/>
        </w:rPr>
      </w:pPr>
      <w:r w:rsidRPr="007436F8">
        <w:rPr>
          <w:rFonts w:ascii="Arial" w:hAnsi="Arial" w:cs="Arial"/>
          <w:sz w:val="20"/>
        </w:rPr>
        <w:t>[11]</w:t>
      </w:r>
      <w:r w:rsidRPr="007436F8">
        <w:rPr>
          <w:rFonts w:ascii="Arial" w:hAnsi="Arial" w:cs="Arial"/>
          <w:sz w:val="20"/>
        </w:rPr>
        <w:tab/>
        <w:t>Uritskiy GV, DiRuggiero J, Taylor J, 2018. MetaWRAP—a flexible pipeline for genome-resolved metagenomic data analysis. Microbiome 6, 1–13</w:t>
      </w:r>
    </w:p>
    <w:p w14:paraId="08556DDB" w14:textId="77777777" w:rsidR="007436F8" w:rsidRPr="007436F8" w:rsidRDefault="007436F8" w:rsidP="007436F8">
      <w:pPr>
        <w:pStyle w:val="Bibliography"/>
        <w:rPr>
          <w:rFonts w:ascii="Arial" w:hAnsi="Arial" w:cs="Arial"/>
          <w:sz w:val="20"/>
        </w:rPr>
      </w:pPr>
      <w:r w:rsidRPr="007436F8">
        <w:rPr>
          <w:rFonts w:ascii="Arial" w:hAnsi="Arial" w:cs="Arial"/>
          <w:sz w:val="20"/>
        </w:rPr>
        <w:t>[12]</w:t>
      </w:r>
      <w:r w:rsidRPr="007436F8">
        <w:rPr>
          <w:rFonts w:ascii="Arial" w:hAnsi="Arial" w:cs="Arial"/>
          <w:sz w:val="20"/>
        </w:rPr>
        <w:tab/>
        <w:t>Kang DD, Li F, Kirton E, Thomas A, Egan R, An H, Wang Z, 2019. MetaBAT 2: an adaptive binning algorithm for robust and efficient genome reconstruction from metagenome assemblies. PeerJ 7, e7359</w:t>
      </w:r>
    </w:p>
    <w:p w14:paraId="50641471" w14:textId="77777777" w:rsidR="007436F8" w:rsidRPr="007436F8" w:rsidRDefault="007436F8" w:rsidP="007436F8">
      <w:pPr>
        <w:pStyle w:val="Bibliography"/>
        <w:rPr>
          <w:rFonts w:ascii="Arial" w:hAnsi="Arial" w:cs="Arial"/>
          <w:sz w:val="20"/>
        </w:rPr>
      </w:pPr>
      <w:r w:rsidRPr="007436F8">
        <w:rPr>
          <w:rFonts w:ascii="Arial" w:hAnsi="Arial" w:cs="Arial"/>
          <w:sz w:val="20"/>
        </w:rPr>
        <w:lastRenderedPageBreak/>
        <w:t>[13]</w:t>
      </w:r>
      <w:r w:rsidRPr="007436F8">
        <w:rPr>
          <w:rFonts w:ascii="Arial" w:hAnsi="Arial" w:cs="Arial"/>
          <w:sz w:val="20"/>
        </w:rPr>
        <w:tab/>
        <w:t>Wu Y-W, Simmons BA, Singer SW, 2016. MaxBin 2.0: an automated binning algorithm to recover genomes from multiple metagenomic datasets. Bioinformatics 32, 605–607</w:t>
      </w:r>
    </w:p>
    <w:p w14:paraId="2A71217F" w14:textId="77777777" w:rsidR="007436F8" w:rsidRPr="007436F8" w:rsidRDefault="007436F8" w:rsidP="007436F8">
      <w:pPr>
        <w:pStyle w:val="Bibliography"/>
        <w:rPr>
          <w:rFonts w:ascii="Arial" w:hAnsi="Arial" w:cs="Arial"/>
          <w:sz w:val="20"/>
        </w:rPr>
      </w:pPr>
      <w:r w:rsidRPr="007436F8">
        <w:rPr>
          <w:rFonts w:ascii="Arial" w:hAnsi="Arial" w:cs="Arial"/>
          <w:sz w:val="20"/>
        </w:rPr>
        <w:t>[14]</w:t>
      </w:r>
      <w:r w:rsidRPr="007436F8">
        <w:rPr>
          <w:rFonts w:ascii="Arial" w:hAnsi="Arial" w:cs="Arial"/>
          <w:sz w:val="20"/>
        </w:rPr>
        <w:tab/>
        <w:t>Alneberg J, Bjarnason BS, De Bruijn I, Schirmer M, Quick J, Ijaz UZ, Lahti L, Loman NJ, Andersson AF, Quince C, 2014. Binning metagenomic contigs by coverage and composition. Nat Methods 11, 1144–1146</w:t>
      </w:r>
    </w:p>
    <w:p w14:paraId="511ED4EF" w14:textId="77777777" w:rsidR="007436F8" w:rsidRPr="007436F8" w:rsidRDefault="007436F8" w:rsidP="007436F8">
      <w:pPr>
        <w:pStyle w:val="Bibliography"/>
        <w:rPr>
          <w:rFonts w:ascii="Arial" w:hAnsi="Arial" w:cs="Arial"/>
          <w:sz w:val="20"/>
        </w:rPr>
      </w:pPr>
      <w:r w:rsidRPr="007436F8">
        <w:rPr>
          <w:rFonts w:ascii="Arial" w:hAnsi="Arial" w:cs="Arial"/>
          <w:sz w:val="20"/>
        </w:rPr>
        <w:t>[15]</w:t>
      </w:r>
      <w:r w:rsidRPr="007436F8">
        <w:rPr>
          <w:rFonts w:ascii="Arial" w:hAnsi="Arial" w:cs="Arial"/>
          <w:sz w:val="20"/>
        </w:rPr>
        <w:tab/>
        <w:t>Parks DH, Imelfort M, Skennerton CT, Hugenholtz P, Tyson GW, 2015. CheckM: assessing the quality of microbial genomes recovered from isolates, single cells, and metagenomes. Genome Res 25, 1043–1055</w:t>
      </w:r>
    </w:p>
    <w:p w14:paraId="26DBBFD3" w14:textId="77777777" w:rsidR="007436F8" w:rsidRPr="007436F8" w:rsidRDefault="007436F8" w:rsidP="007436F8">
      <w:pPr>
        <w:pStyle w:val="Bibliography"/>
        <w:rPr>
          <w:rFonts w:ascii="Arial" w:hAnsi="Arial" w:cs="Arial"/>
          <w:sz w:val="20"/>
        </w:rPr>
      </w:pPr>
      <w:r w:rsidRPr="007436F8">
        <w:rPr>
          <w:rFonts w:ascii="Arial" w:hAnsi="Arial" w:cs="Arial"/>
          <w:sz w:val="20"/>
        </w:rPr>
        <w:t>[16]</w:t>
      </w:r>
      <w:r w:rsidRPr="007436F8">
        <w:rPr>
          <w:rFonts w:ascii="Arial" w:hAnsi="Arial" w:cs="Arial"/>
          <w:sz w:val="20"/>
        </w:rPr>
        <w:tab/>
        <w:t>Zhou Z, Tran PQ, Breister AM, Liu Y, Kieft K, Cowley ES, Karaoz U, Anantharaman K, 2022. METABOLIC: high-throughput profiling of microbial genomes for functional traits, metabolism, biogeochemistry, and community-scale functional networks. Microbiome 10, 33</w:t>
      </w:r>
    </w:p>
    <w:p w14:paraId="575AC3D0" w14:textId="77777777" w:rsidR="007436F8" w:rsidRPr="007436F8" w:rsidRDefault="007436F8" w:rsidP="007436F8">
      <w:pPr>
        <w:pStyle w:val="Bibliography"/>
        <w:rPr>
          <w:rFonts w:ascii="Arial" w:hAnsi="Arial" w:cs="Arial"/>
          <w:sz w:val="20"/>
        </w:rPr>
      </w:pPr>
      <w:r w:rsidRPr="007436F8">
        <w:rPr>
          <w:rFonts w:ascii="Arial" w:hAnsi="Arial" w:cs="Arial"/>
          <w:sz w:val="20"/>
        </w:rPr>
        <w:t>[17]</w:t>
      </w:r>
      <w:r w:rsidRPr="007436F8">
        <w:rPr>
          <w:rFonts w:ascii="Arial" w:hAnsi="Arial" w:cs="Arial"/>
          <w:sz w:val="20"/>
        </w:rPr>
        <w:tab/>
        <w:t>Kanehisa M, Goto S, 2000. KEGG: kyoto encyclopedia of genes and genomes. Nucleic Acids Res 28, 27–30</w:t>
      </w:r>
    </w:p>
    <w:p w14:paraId="5016EB50" w14:textId="77777777" w:rsidR="007436F8" w:rsidRPr="007436F8" w:rsidRDefault="007436F8" w:rsidP="007436F8">
      <w:pPr>
        <w:pStyle w:val="Bibliography"/>
        <w:rPr>
          <w:rFonts w:ascii="Arial" w:hAnsi="Arial" w:cs="Arial"/>
          <w:sz w:val="20"/>
        </w:rPr>
      </w:pPr>
      <w:r w:rsidRPr="007436F8">
        <w:rPr>
          <w:rFonts w:ascii="Arial" w:hAnsi="Arial" w:cs="Arial"/>
          <w:sz w:val="20"/>
        </w:rPr>
        <w:t>[18]</w:t>
      </w:r>
      <w:r w:rsidRPr="007436F8">
        <w:rPr>
          <w:rFonts w:ascii="Arial" w:hAnsi="Arial" w:cs="Arial"/>
          <w:sz w:val="20"/>
        </w:rPr>
        <w:tab/>
        <w:t>Selengut JD, Haft DH, Davidsen T, Ganapathy A, Gwinn-Giglio M, Nelson WC, Richter AR, White O, 2007. TIGRFAMs and Genome Properties: tools for the assignment of molecular function and biological process in prokaryotic genomes. Nucleic Acids Res 35, D260–D264. https://doi.org/10.1093/nar/gkl1043</w:t>
      </w:r>
    </w:p>
    <w:p w14:paraId="1A4E335B" w14:textId="77777777" w:rsidR="007436F8" w:rsidRPr="007436F8" w:rsidRDefault="007436F8" w:rsidP="007436F8">
      <w:pPr>
        <w:pStyle w:val="Bibliography"/>
        <w:rPr>
          <w:rFonts w:ascii="Arial" w:hAnsi="Arial" w:cs="Arial"/>
          <w:sz w:val="20"/>
        </w:rPr>
      </w:pPr>
      <w:r w:rsidRPr="007436F8">
        <w:rPr>
          <w:rFonts w:ascii="Arial" w:hAnsi="Arial" w:cs="Arial"/>
          <w:sz w:val="20"/>
        </w:rPr>
        <w:t>[19]</w:t>
      </w:r>
      <w:r w:rsidRPr="007436F8">
        <w:rPr>
          <w:rFonts w:ascii="Arial" w:hAnsi="Arial" w:cs="Arial"/>
          <w:sz w:val="20"/>
        </w:rPr>
        <w:tab/>
        <w:t>Finn RD, Bateman A, Clements J, Coggill P, Eberhardt RY, Eddy SR, Heger A, Hetherington K, Holm L, Mistry J, Sonnhammer ELL, Tate J, Punta M, 2014. Pfam: the protein families database. Nucleic Acids Res 42, D222–D230. https://doi.org/10.1093/nar/gkt1223</w:t>
      </w:r>
    </w:p>
    <w:p w14:paraId="4514F4FD" w14:textId="77777777" w:rsidR="007436F8" w:rsidRPr="007436F8" w:rsidRDefault="007436F8" w:rsidP="007436F8">
      <w:pPr>
        <w:pStyle w:val="Bibliography"/>
        <w:rPr>
          <w:rFonts w:ascii="Arial" w:hAnsi="Arial" w:cs="Arial"/>
          <w:sz w:val="20"/>
        </w:rPr>
      </w:pPr>
      <w:r w:rsidRPr="007436F8">
        <w:rPr>
          <w:rFonts w:ascii="Arial" w:hAnsi="Arial" w:cs="Arial"/>
          <w:sz w:val="20"/>
        </w:rPr>
        <w:t>[20]</w:t>
      </w:r>
      <w:r w:rsidRPr="007436F8">
        <w:rPr>
          <w:rFonts w:ascii="Arial" w:hAnsi="Arial" w:cs="Arial"/>
          <w:sz w:val="20"/>
        </w:rPr>
        <w:tab/>
        <w:t>Anantharaman K, Brown CT, Hug LA, Sharon I, Castelle CJ, Probst AJ, Thomas BC, Singh A, Wilkins MJ, Karaoz U, Brodie EL, Williams KH, Hubbard SS, Banfield JF, 2016. Thousands of microbial genomes shed light on interconnected biogeochemical processes in an aquifer system. Nat Commun 7, 13219. https://doi.org/10.1038/ncomms13219</w:t>
      </w:r>
    </w:p>
    <w:p w14:paraId="500759F6" w14:textId="77777777" w:rsidR="007436F8" w:rsidRPr="007436F8" w:rsidRDefault="007436F8" w:rsidP="007436F8">
      <w:pPr>
        <w:pStyle w:val="Bibliography"/>
        <w:rPr>
          <w:rFonts w:ascii="Arial" w:hAnsi="Arial" w:cs="Arial"/>
          <w:sz w:val="20"/>
        </w:rPr>
      </w:pPr>
      <w:r w:rsidRPr="007436F8">
        <w:rPr>
          <w:rFonts w:ascii="Arial" w:hAnsi="Arial" w:cs="Arial"/>
          <w:sz w:val="20"/>
        </w:rPr>
        <w:t>[21]</w:t>
      </w:r>
      <w:r w:rsidRPr="007436F8">
        <w:rPr>
          <w:rFonts w:ascii="Arial" w:hAnsi="Arial" w:cs="Arial"/>
          <w:sz w:val="20"/>
        </w:rPr>
        <w:tab/>
        <w:t>Zhang H, Yohe T, Huang L, Entwistle S, Wu P, Yang Z, Busk PK, Xu Y, Yin Y, 2018. dbCAN2: a meta server for automated carbohydrate-active enzyme annotation. Nucleic Acids Res 46, W95–W101. https://doi.org/10.1093/nar/gky418</w:t>
      </w:r>
    </w:p>
    <w:p w14:paraId="45131A38" w14:textId="77777777" w:rsidR="007436F8" w:rsidRPr="007436F8" w:rsidRDefault="007436F8" w:rsidP="007436F8">
      <w:pPr>
        <w:pStyle w:val="Bibliography"/>
        <w:rPr>
          <w:rFonts w:ascii="Arial" w:hAnsi="Arial" w:cs="Arial"/>
          <w:sz w:val="20"/>
        </w:rPr>
      </w:pPr>
      <w:r w:rsidRPr="007436F8">
        <w:rPr>
          <w:rFonts w:ascii="Arial" w:hAnsi="Arial" w:cs="Arial"/>
          <w:sz w:val="20"/>
        </w:rPr>
        <w:t>[22]</w:t>
      </w:r>
      <w:r w:rsidRPr="007436F8">
        <w:rPr>
          <w:rFonts w:ascii="Arial" w:hAnsi="Arial" w:cs="Arial"/>
          <w:sz w:val="20"/>
        </w:rPr>
        <w:tab/>
        <w:t>Rawlings ND, Barrett AJ, Finn R, 2016. Twenty years of the MEROPS database of proteolytic enzymes, their substrates and inhibitors. Nucleic Acids Res 44, D343–D350. https://doi.org/10.1093/nar/gkv1118</w:t>
      </w:r>
    </w:p>
    <w:p w14:paraId="08E1A6BF" w14:textId="77777777" w:rsidR="007436F8" w:rsidRPr="007436F8" w:rsidRDefault="007436F8" w:rsidP="007436F8">
      <w:pPr>
        <w:pStyle w:val="Bibliography"/>
        <w:rPr>
          <w:rFonts w:ascii="Arial" w:hAnsi="Arial" w:cs="Arial"/>
          <w:sz w:val="20"/>
        </w:rPr>
      </w:pPr>
      <w:r w:rsidRPr="007436F8">
        <w:rPr>
          <w:rFonts w:ascii="Arial" w:hAnsi="Arial" w:cs="Arial"/>
          <w:sz w:val="20"/>
        </w:rPr>
        <w:t>[23]</w:t>
      </w:r>
      <w:r w:rsidRPr="007436F8">
        <w:rPr>
          <w:rFonts w:ascii="Arial" w:hAnsi="Arial" w:cs="Arial"/>
          <w:sz w:val="20"/>
        </w:rPr>
        <w:tab/>
        <w:t>Chaumeil P-A, Mussig AJ, Hugenholtz P, Parks DH, 2020. GTDB-Tk: a toolkit to classify genomes with the Genome Taxonomy Database. Bioinformatics 36, 1925–1927. https://doi.org/10.1093/bioinformatics/btz848</w:t>
      </w:r>
    </w:p>
    <w:p w14:paraId="53C69D0A" w14:textId="77777777" w:rsidR="007436F8" w:rsidRPr="007436F8" w:rsidRDefault="007436F8" w:rsidP="007436F8">
      <w:pPr>
        <w:pStyle w:val="Bibliography"/>
        <w:rPr>
          <w:rFonts w:ascii="Arial" w:hAnsi="Arial" w:cs="Arial"/>
          <w:sz w:val="20"/>
        </w:rPr>
      </w:pPr>
      <w:r w:rsidRPr="007436F8">
        <w:rPr>
          <w:rFonts w:ascii="Arial" w:hAnsi="Arial" w:cs="Arial"/>
          <w:sz w:val="20"/>
        </w:rPr>
        <w:t>[24]</w:t>
      </w:r>
      <w:r w:rsidRPr="007436F8">
        <w:rPr>
          <w:rFonts w:ascii="Arial" w:hAnsi="Arial" w:cs="Arial"/>
          <w:sz w:val="20"/>
        </w:rPr>
        <w:tab/>
        <w:t>Lee MD, 2019. GToTree: a user-friendly workflow for phylogenomics. Bioinformatics 35, 4162–4164. https://doi.org/10.1093/bioinformatics/btz188</w:t>
      </w:r>
    </w:p>
    <w:p w14:paraId="0583768E" w14:textId="77777777" w:rsidR="007436F8" w:rsidRPr="007436F8" w:rsidRDefault="007436F8" w:rsidP="007436F8">
      <w:pPr>
        <w:pStyle w:val="Bibliography"/>
        <w:rPr>
          <w:rFonts w:ascii="Arial" w:hAnsi="Arial" w:cs="Arial"/>
          <w:sz w:val="20"/>
        </w:rPr>
      </w:pPr>
      <w:r w:rsidRPr="007436F8">
        <w:rPr>
          <w:rFonts w:ascii="Arial" w:hAnsi="Arial" w:cs="Arial"/>
          <w:sz w:val="20"/>
        </w:rPr>
        <w:t>[25]</w:t>
      </w:r>
      <w:r w:rsidRPr="007436F8">
        <w:rPr>
          <w:rFonts w:ascii="Arial" w:hAnsi="Arial" w:cs="Arial"/>
          <w:sz w:val="20"/>
        </w:rPr>
        <w:tab/>
        <w:t>Dixon P, 2003. VEGAN, a package of R functions for community ecology. J Veg Sci 14, 927–930</w:t>
      </w:r>
    </w:p>
    <w:p w14:paraId="1F67EAF9" w14:textId="77777777" w:rsidR="007436F8" w:rsidRPr="007436F8" w:rsidRDefault="007436F8" w:rsidP="007436F8">
      <w:pPr>
        <w:pStyle w:val="Bibliography"/>
        <w:rPr>
          <w:rFonts w:ascii="Arial" w:hAnsi="Arial" w:cs="Arial"/>
          <w:sz w:val="20"/>
        </w:rPr>
      </w:pPr>
      <w:r w:rsidRPr="007436F8">
        <w:rPr>
          <w:rFonts w:ascii="Arial" w:hAnsi="Arial" w:cs="Arial"/>
          <w:sz w:val="20"/>
        </w:rPr>
        <w:t>[26]</w:t>
      </w:r>
      <w:r w:rsidRPr="007436F8">
        <w:rPr>
          <w:rFonts w:ascii="Arial" w:hAnsi="Arial" w:cs="Arial"/>
          <w:sz w:val="20"/>
        </w:rPr>
        <w:tab/>
        <w:t>McMurdie PJ, Holmes S, 2013. phyloseq: an R package for reproducible interactive analysis and graphics of microbiome census data. PloS One 8, e61217</w:t>
      </w:r>
    </w:p>
    <w:p w14:paraId="70AE0D93" w14:textId="77777777" w:rsidR="007436F8" w:rsidRPr="007436F8" w:rsidRDefault="007436F8" w:rsidP="007436F8">
      <w:pPr>
        <w:pStyle w:val="Bibliography"/>
        <w:rPr>
          <w:rFonts w:ascii="Arial" w:hAnsi="Arial" w:cs="Arial"/>
          <w:sz w:val="20"/>
        </w:rPr>
      </w:pPr>
      <w:r w:rsidRPr="007436F8">
        <w:rPr>
          <w:rFonts w:ascii="Arial" w:hAnsi="Arial" w:cs="Arial"/>
          <w:sz w:val="20"/>
        </w:rPr>
        <w:t>[27]</w:t>
      </w:r>
      <w:r w:rsidRPr="007436F8">
        <w:rPr>
          <w:rFonts w:ascii="Arial" w:hAnsi="Arial" w:cs="Arial"/>
          <w:sz w:val="20"/>
        </w:rPr>
        <w:tab/>
        <w:t>Zhang Y, Jing G, Chen Y, Li J, Su X, 2021. Hierarchical Meta-Storms enables comprehensive and rapid comparison of microbiome functional profiles on a large scale using hierarchical dissimilarity metrics and parallel computing. Bioinforma Adv 1, vbab003</w:t>
      </w:r>
    </w:p>
    <w:p w14:paraId="604BA64E" w14:textId="77777777" w:rsidR="007436F8" w:rsidRPr="007436F8" w:rsidRDefault="007436F8" w:rsidP="007436F8">
      <w:pPr>
        <w:pStyle w:val="Bibliography"/>
        <w:rPr>
          <w:rFonts w:ascii="Arial" w:hAnsi="Arial" w:cs="Arial"/>
          <w:sz w:val="20"/>
        </w:rPr>
      </w:pPr>
      <w:r w:rsidRPr="007436F8">
        <w:rPr>
          <w:rFonts w:ascii="Arial" w:hAnsi="Arial" w:cs="Arial"/>
          <w:sz w:val="20"/>
        </w:rPr>
        <w:lastRenderedPageBreak/>
        <w:t>[28]</w:t>
      </w:r>
      <w:r w:rsidRPr="007436F8">
        <w:rPr>
          <w:rFonts w:ascii="Arial" w:hAnsi="Arial" w:cs="Arial"/>
          <w:sz w:val="20"/>
        </w:rPr>
        <w:tab/>
        <w:t>Vass M, Székely AJ, Lindström ES, Langenheder S, 2020. Using null models to compare bacterial and microeukaryotic metacommunity assembly under shifting environmental conditions. Sci Rep 10, 2455</w:t>
      </w:r>
    </w:p>
    <w:p w14:paraId="5137D960" w14:textId="77777777" w:rsidR="007436F8" w:rsidRPr="007436F8" w:rsidRDefault="007436F8" w:rsidP="007436F8">
      <w:pPr>
        <w:pStyle w:val="Bibliography"/>
        <w:rPr>
          <w:rFonts w:ascii="Arial" w:hAnsi="Arial" w:cs="Arial"/>
          <w:sz w:val="20"/>
        </w:rPr>
      </w:pPr>
      <w:r w:rsidRPr="007436F8">
        <w:rPr>
          <w:rFonts w:ascii="Arial" w:hAnsi="Arial" w:cs="Arial"/>
          <w:sz w:val="20"/>
        </w:rPr>
        <w:t>[29]</w:t>
      </w:r>
      <w:r w:rsidRPr="007436F8">
        <w:rPr>
          <w:rFonts w:ascii="Arial" w:hAnsi="Arial" w:cs="Arial"/>
          <w:sz w:val="20"/>
        </w:rPr>
        <w:tab/>
        <w:t>Shade A, Stopnisek N, 2019. Abundance-occupancy distributions to prioritize plant core microbiome membership. Curr Opin Microbiol 49, 50–58</w:t>
      </w:r>
    </w:p>
    <w:p w14:paraId="669B05F3" w14:textId="77777777" w:rsidR="007436F8" w:rsidRPr="007436F8" w:rsidRDefault="007436F8" w:rsidP="007436F8">
      <w:pPr>
        <w:pStyle w:val="Bibliography"/>
        <w:rPr>
          <w:rFonts w:ascii="Arial" w:hAnsi="Arial" w:cs="Arial"/>
          <w:sz w:val="20"/>
        </w:rPr>
      </w:pPr>
      <w:r w:rsidRPr="007436F8">
        <w:rPr>
          <w:rFonts w:ascii="Arial" w:hAnsi="Arial" w:cs="Arial"/>
          <w:sz w:val="20"/>
        </w:rPr>
        <w:t>[30]</w:t>
      </w:r>
      <w:r w:rsidRPr="007436F8">
        <w:rPr>
          <w:rFonts w:ascii="Arial" w:hAnsi="Arial" w:cs="Arial"/>
          <w:sz w:val="20"/>
        </w:rPr>
        <w:tab/>
        <w:t>Burns AR, Stephens WZ, Stagaman K, Wong S, Rawls JF, Guillemin K, Bohannan BJM, 2016. Contribution of neutral processes to the assembly of gut microbial communities in the zebrafish over host development. ISME J 10, 655–664</w:t>
      </w:r>
    </w:p>
    <w:p w14:paraId="64401F74" w14:textId="77777777" w:rsidR="007436F8" w:rsidRPr="007436F8" w:rsidRDefault="007436F8" w:rsidP="007436F8">
      <w:pPr>
        <w:pStyle w:val="Bibliography"/>
        <w:rPr>
          <w:rFonts w:ascii="Arial" w:hAnsi="Arial" w:cs="Arial"/>
          <w:sz w:val="20"/>
        </w:rPr>
      </w:pPr>
      <w:r w:rsidRPr="007436F8">
        <w:rPr>
          <w:rFonts w:ascii="Arial" w:hAnsi="Arial" w:cs="Arial"/>
          <w:sz w:val="20"/>
        </w:rPr>
        <w:t>[31]</w:t>
      </w:r>
      <w:r w:rsidRPr="007436F8">
        <w:rPr>
          <w:rFonts w:ascii="Arial" w:hAnsi="Arial" w:cs="Arial"/>
          <w:sz w:val="20"/>
        </w:rPr>
        <w:tab/>
        <w:t>Foster ZSL, Sharpton TJ, Grünwald NJ, 2017. Metacoder: An R package for visualization and manipulation of community taxonomic diversity data. PLoS Comput Biol 13, e1005404</w:t>
      </w:r>
    </w:p>
    <w:p w14:paraId="0B039FBA" w14:textId="77777777" w:rsidR="007436F8" w:rsidRPr="007436F8" w:rsidRDefault="007436F8" w:rsidP="007436F8">
      <w:pPr>
        <w:pStyle w:val="Bibliography"/>
        <w:rPr>
          <w:rFonts w:ascii="Arial" w:hAnsi="Arial" w:cs="Arial"/>
          <w:sz w:val="20"/>
        </w:rPr>
      </w:pPr>
      <w:r w:rsidRPr="007436F8">
        <w:rPr>
          <w:rFonts w:ascii="Arial" w:hAnsi="Arial" w:cs="Arial"/>
          <w:sz w:val="20"/>
        </w:rPr>
        <w:t>[32]</w:t>
      </w:r>
      <w:r w:rsidRPr="007436F8">
        <w:rPr>
          <w:rFonts w:ascii="Arial" w:hAnsi="Arial" w:cs="Arial"/>
          <w:sz w:val="20"/>
        </w:rPr>
        <w:tab/>
        <w:t>Calle ML, Pujolassos M, Susin A, 2023. coda4microbiome: compositional data analysis for microbiome cross-sectional and longitudinal studies. BMC Bioinformatics 24, 82</w:t>
      </w:r>
    </w:p>
    <w:p w14:paraId="25135C58" w14:textId="77777777" w:rsidR="007436F8" w:rsidRPr="007436F8" w:rsidRDefault="007436F8" w:rsidP="007436F8">
      <w:pPr>
        <w:pStyle w:val="Bibliography"/>
        <w:rPr>
          <w:rFonts w:ascii="Arial" w:hAnsi="Arial" w:cs="Arial"/>
          <w:sz w:val="20"/>
        </w:rPr>
      </w:pPr>
      <w:r w:rsidRPr="007436F8">
        <w:rPr>
          <w:rFonts w:ascii="Arial" w:hAnsi="Arial" w:cs="Arial"/>
          <w:sz w:val="20"/>
        </w:rPr>
        <w:t>[33]</w:t>
      </w:r>
      <w:r w:rsidRPr="007436F8">
        <w:rPr>
          <w:rFonts w:ascii="Arial" w:hAnsi="Arial" w:cs="Arial"/>
          <w:sz w:val="20"/>
        </w:rPr>
        <w:tab/>
        <w:t>Niku J, Hui FKC, Taskinen S, Warton DI, 2019. gllvm: Fast analysis of multivariate abundance data with generalized linear latent variable models in r. Methods Ecol Evol 10, 2173–2182</w:t>
      </w:r>
    </w:p>
    <w:p w14:paraId="4BFB6E8B" w14:textId="5698B71C" w:rsidR="005D218F" w:rsidRPr="00FD52B6" w:rsidRDefault="00CD291A" w:rsidP="00CD291A">
      <w:pPr>
        <w:jc w:val="both"/>
        <w:rPr>
          <w:rFonts w:ascii="Arial" w:hAnsi="Arial" w:cs="Arial"/>
          <w:sz w:val="20"/>
          <w:szCs w:val="20"/>
        </w:rPr>
      </w:pPr>
      <w:r>
        <w:rPr>
          <w:rFonts w:ascii="Arial" w:hAnsi="Arial" w:cs="Arial"/>
          <w:sz w:val="20"/>
          <w:szCs w:val="20"/>
        </w:rPr>
        <w:fldChar w:fldCharType="end"/>
      </w:r>
    </w:p>
    <w:sectPr w:rsidR="005D218F" w:rsidRPr="00FD52B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E26C5" w14:textId="77777777" w:rsidR="00000219" w:rsidRDefault="00000219" w:rsidP="00CD291A">
      <w:r>
        <w:separator/>
      </w:r>
    </w:p>
  </w:endnote>
  <w:endnote w:type="continuationSeparator" w:id="0">
    <w:p w14:paraId="7D679A2B" w14:textId="77777777" w:rsidR="00000219" w:rsidRDefault="00000219" w:rsidP="00CD29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ptos">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CB951" w14:textId="77777777" w:rsidR="00000219" w:rsidRDefault="00000219" w:rsidP="00CD291A">
      <w:r>
        <w:separator/>
      </w:r>
    </w:p>
  </w:footnote>
  <w:footnote w:type="continuationSeparator" w:id="0">
    <w:p w14:paraId="0845F59E" w14:textId="77777777" w:rsidR="00000219" w:rsidRDefault="00000219" w:rsidP="00CD29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57A4B6D"/>
    <w:multiLevelType w:val="multilevel"/>
    <w:tmpl w:val="E0189B3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16cid:durableId="17772154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5D4"/>
    <w:rsid w:val="00000219"/>
    <w:rsid w:val="0003077E"/>
    <w:rsid w:val="00061CEF"/>
    <w:rsid w:val="000D1CFC"/>
    <w:rsid w:val="000E4E82"/>
    <w:rsid w:val="00194E03"/>
    <w:rsid w:val="00255568"/>
    <w:rsid w:val="002C207F"/>
    <w:rsid w:val="002C56C8"/>
    <w:rsid w:val="002E63A3"/>
    <w:rsid w:val="0032438F"/>
    <w:rsid w:val="00357FDE"/>
    <w:rsid w:val="003B2784"/>
    <w:rsid w:val="0040195C"/>
    <w:rsid w:val="004171BB"/>
    <w:rsid w:val="00440CB8"/>
    <w:rsid w:val="00476EAA"/>
    <w:rsid w:val="004855D4"/>
    <w:rsid w:val="004F04A8"/>
    <w:rsid w:val="004F7341"/>
    <w:rsid w:val="005331E6"/>
    <w:rsid w:val="005D10A9"/>
    <w:rsid w:val="005D218F"/>
    <w:rsid w:val="005F6464"/>
    <w:rsid w:val="00616A7F"/>
    <w:rsid w:val="006324CE"/>
    <w:rsid w:val="00656410"/>
    <w:rsid w:val="006B16D2"/>
    <w:rsid w:val="006B7DB8"/>
    <w:rsid w:val="006C0B9B"/>
    <w:rsid w:val="006C74FC"/>
    <w:rsid w:val="006E18FF"/>
    <w:rsid w:val="006E39D3"/>
    <w:rsid w:val="00740FB8"/>
    <w:rsid w:val="007436F8"/>
    <w:rsid w:val="00756766"/>
    <w:rsid w:val="00760AE3"/>
    <w:rsid w:val="007773E6"/>
    <w:rsid w:val="007B46F0"/>
    <w:rsid w:val="008050BD"/>
    <w:rsid w:val="008332F9"/>
    <w:rsid w:val="00865D53"/>
    <w:rsid w:val="008A6737"/>
    <w:rsid w:val="00904A17"/>
    <w:rsid w:val="009164BD"/>
    <w:rsid w:val="009404FA"/>
    <w:rsid w:val="00960276"/>
    <w:rsid w:val="00960ED5"/>
    <w:rsid w:val="00966330"/>
    <w:rsid w:val="0097088B"/>
    <w:rsid w:val="009B402D"/>
    <w:rsid w:val="009B54E4"/>
    <w:rsid w:val="00A01930"/>
    <w:rsid w:val="00A817A3"/>
    <w:rsid w:val="00A9429F"/>
    <w:rsid w:val="00AB4F96"/>
    <w:rsid w:val="00AB5120"/>
    <w:rsid w:val="00B153A9"/>
    <w:rsid w:val="00B767BD"/>
    <w:rsid w:val="00BC115C"/>
    <w:rsid w:val="00BC387A"/>
    <w:rsid w:val="00BD794B"/>
    <w:rsid w:val="00BF01EC"/>
    <w:rsid w:val="00C207D8"/>
    <w:rsid w:val="00C318DF"/>
    <w:rsid w:val="00C77A39"/>
    <w:rsid w:val="00CA0E4C"/>
    <w:rsid w:val="00CC12B3"/>
    <w:rsid w:val="00CD291A"/>
    <w:rsid w:val="00D2304E"/>
    <w:rsid w:val="00D40630"/>
    <w:rsid w:val="00D87861"/>
    <w:rsid w:val="00DC628B"/>
    <w:rsid w:val="00DE0FF6"/>
    <w:rsid w:val="00DE448E"/>
    <w:rsid w:val="00DE570A"/>
    <w:rsid w:val="00E37720"/>
    <w:rsid w:val="00E412CC"/>
    <w:rsid w:val="00E70491"/>
    <w:rsid w:val="00E725E9"/>
    <w:rsid w:val="00E90893"/>
    <w:rsid w:val="00E97DF9"/>
    <w:rsid w:val="00EB5DE8"/>
    <w:rsid w:val="00EC25E5"/>
    <w:rsid w:val="00ED3E83"/>
    <w:rsid w:val="00EF4839"/>
    <w:rsid w:val="00F00FB1"/>
    <w:rsid w:val="00F160D9"/>
    <w:rsid w:val="00F54C65"/>
    <w:rsid w:val="00F56362"/>
    <w:rsid w:val="00F608CE"/>
    <w:rsid w:val="00FA3209"/>
    <w:rsid w:val="00FD52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148B3D"/>
  <w15:chartTrackingRefBased/>
  <w15:docId w15:val="{4812FB81-FE20-4352-938E-B5A764413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FA320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04A17"/>
    <w:pPr>
      <w:keepNext/>
      <w:keepLines/>
      <w:spacing w:before="160" w:after="80" w:line="278" w:lineRule="auto"/>
      <w:jc w:val="both"/>
      <w:outlineLvl w:val="2"/>
    </w:pPr>
    <w:rPr>
      <w:rFonts w:ascii="Arial" w:eastAsiaTheme="majorEastAsia" w:hAnsi="Arial" w:cstheme="majorBid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904A17"/>
    <w:rPr>
      <w:rFonts w:ascii="Arial" w:eastAsiaTheme="majorEastAsia" w:hAnsi="Arial" w:cstheme="majorBidi"/>
      <w:szCs w:val="28"/>
    </w:rPr>
  </w:style>
  <w:style w:type="character" w:styleId="CommentReference">
    <w:name w:val="annotation reference"/>
    <w:basedOn w:val="DefaultParagraphFont"/>
    <w:uiPriority w:val="99"/>
    <w:semiHidden/>
    <w:unhideWhenUsed/>
    <w:rsid w:val="00904A17"/>
    <w:rPr>
      <w:sz w:val="16"/>
      <w:szCs w:val="16"/>
    </w:rPr>
  </w:style>
  <w:style w:type="paragraph" w:styleId="CommentText">
    <w:name w:val="annotation text"/>
    <w:basedOn w:val="Normal"/>
    <w:link w:val="CommentTextChar"/>
    <w:uiPriority w:val="99"/>
    <w:unhideWhenUsed/>
    <w:rsid w:val="00904A17"/>
    <w:pPr>
      <w:spacing w:after="160"/>
      <w:jc w:val="both"/>
    </w:pPr>
    <w:rPr>
      <w:rFonts w:ascii="Arial" w:hAnsi="Arial"/>
      <w:sz w:val="20"/>
      <w:szCs w:val="20"/>
    </w:rPr>
  </w:style>
  <w:style w:type="character" w:customStyle="1" w:styleId="CommentTextChar">
    <w:name w:val="Comment Text Char"/>
    <w:basedOn w:val="DefaultParagraphFont"/>
    <w:link w:val="CommentText"/>
    <w:uiPriority w:val="99"/>
    <w:rsid w:val="00904A17"/>
    <w:rPr>
      <w:rFonts w:ascii="Arial" w:hAnsi="Arial"/>
      <w:sz w:val="20"/>
      <w:szCs w:val="20"/>
    </w:rPr>
  </w:style>
  <w:style w:type="character" w:styleId="Hyperlink">
    <w:name w:val="Hyperlink"/>
    <w:basedOn w:val="DefaultParagraphFont"/>
    <w:uiPriority w:val="99"/>
    <w:unhideWhenUsed/>
    <w:rsid w:val="00904A17"/>
    <w:rPr>
      <w:color w:val="0563C1" w:themeColor="hyperlink"/>
      <w:u w:val="single"/>
    </w:rPr>
  </w:style>
  <w:style w:type="character" w:customStyle="1" w:styleId="normaltextrun">
    <w:name w:val="normaltextrun"/>
    <w:basedOn w:val="DefaultParagraphFont"/>
    <w:rsid w:val="00904A17"/>
  </w:style>
  <w:style w:type="character" w:styleId="PlaceholderText">
    <w:name w:val="Placeholder Text"/>
    <w:basedOn w:val="DefaultParagraphFont"/>
    <w:uiPriority w:val="99"/>
    <w:semiHidden/>
    <w:rsid w:val="004F7341"/>
    <w:rPr>
      <w:color w:val="666666"/>
    </w:rPr>
  </w:style>
  <w:style w:type="paragraph" w:styleId="Revision">
    <w:name w:val="Revision"/>
    <w:hidden/>
    <w:uiPriority w:val="99"/>
    <w:semiHidden/>
    <w:rsid w:val="004F7341"/>
  </w:style>
  <w:style w:type="character" w:customStyle="1" w:styleId="Heading2Char">
    <w:name w:val="Heading 2 Char"/>
    <w:basedOn w:val="DefaultParagraphFont"/>
    <w:link w:val="Heading2"/>
    <w:uiPriority w:val="9"/>
    <w:rsid w:val="00FA3209"/>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CD291A"/>
    <w:pPr>
      <w:tabs>
        <w:tab w:val="center" w:pos="4252"/>
        <w:tab w:val="right" w:pos="8504"/>
      </w:tabs>
    </w:pPr>
  </w:style>
  <w:style w:type="character" w:customStyle="1" w:styleId="HeaderChar">
    <w:name w:val="Header Char"/>
    <w:basedOn w:val="DefaultParagraphFont"/>
    <w:link w:val="Header"/>
    <w:uiPriority w:val="99"/>
    <w:rsid w:val="00CD291A"/>
  </w:style>
  <w:style w:type="paragraph" w:styleId="Footer">
    <w:name w:val="footer"/>
    <w:basedOn w:val="Normal"/>
    <w:link w:val="FooterChar"/>
    <w:uiPriority w:val="99"/>
    <w:unhideWhenUsed/>
    <w:rsid w:val="00CD291A"/>
    <w:pPr>
      <w:tabs>
        <w:tab w:val="center" w:pos="4252"/>
        <w:tab w:val="right" w:pos="8504"/>
      </w:tabs>
    </w:pPr>
  </w:style>
  <w:style w:type="character" w:customStyle="1" w:styleId="FooterChar">
    <w:name w:val="Footer Char"/>
    <w:basedOn w:val="DefaultParagraphFont"/>
    <w:link w:val="Footer"/>
    <w:uiPriority w:val="99"/>
    <w:rsid w:val="00CD291A"/>
  </w:style>
  <w:style w:type="paragraph" w:styleId="Bibliography">
    <w:name w:val="Bibliography"/>
    <w:basedOn w:val="Normal"/>
    <w:next w:val="Normal"/>
    <w:uiPriority w:val="37"/>
    <w:unhideWhenUsed/>
    <w:rsid w:val="00CD291A"/>
    <w:pPr>
      <w:tabs>
        <w:tab w:val="left" w:pos="504"/>
      </w:tabs>
      <w:spacing w:after="240"/>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hyperlink" Target="https://github.com/donovan-h-parks/GenomeTreeTk" TargetMode="Externa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1.png"/><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webSettings" Target="webSettings.xml"/><Relationship Id="rId9" Type="http://schemas.openxmlformats.org/officeDocument/2006/relationships/hyperlink" Target="https://docs.qiime2.org/2022.8/tutorials/filtering/"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8" Type="http://schemas.openxmlformats.org/officeDocument/2006/relationships/hyperlink" Target="https://github.com/wwood/Cover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176</TotalTime>
  <Pages>35</Pages>
  <Words>12274</Words>
  <Characters>69965</Characters>
  <Application>Microsoft Office Word</Application>
  <DocSecurity>0</DocSecurity>
  <Lines>583</Lines>
  <Paragraphs>164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82075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Umer Ijaz</dc:creator>
  <cp:keywords/>
  <dc:description/>
  <cp:lastModifiedBy>Umer Ijaz</cp:lastModifiedBy>
  <cp:revision>14</cp:revision>
  <dcterms:created xsi:type="dcterms:W3CDTF">2024-09-18T15:11:00Z</dcterms:created>
  <dcterms:modified xsi:type="dcterms:W3CDTF">2025-11-18T00:32:00Z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id="0xU62H9F"/&gt;&lt;style id="http://www.zotero.org/styles/journal-of-hazardous-materials" hasBibliography="1" bibliographyStyleHasBeenSet="1"/&gt;&lt;prefs&gt;&lt;pref name="fieldType" value="Field"/&gt;&lt;pref name="au</vt:lpwstr>
  </property>
  <property fmtid="{D5CDD505-2E9C-101B-9397-08002B2CF9AE}" pid="3" name="ZOTERO_PREF_2">
    <vt:lpwstr>tomaticJournalAbbreviations" value="true"/&gt;&lt;/prefs&gt;&lt;/data&gt;</vt:lpwstr>
  </property>
</Properties>
</file>