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3228B" w14:textId="77777777" w:rsidR="00F12081" w:rsidRPr="0089728B" w:rsidRDefault="00987A8C" w:rsidP="0072405D">
      <w:pPr>
        <w:pStyle w:val="Rubrik"/>
        <w:spacing w:line="360" w:lineRule="auto"/>
        <w:rPr>
          <w:sz w:val="72"/>
          <w:lang w:val="en-GB"/>
        </w:rPr>
      </w:pPr>
      <w:r w:rsidRPr="0089728B">
        <w:rPr>
          <w:sz w:val="72"/>
          <w:lang w:val="en-GB"/>
        </w:rPr>
        <w:t>Supplementary information</w:t>
      </w:r>
    </w:p>
    <w:p w14:paraId="55311E37" w14:textId="77777777" w:rsidR="00F12081" w:rsidRPr="0089728B" w:rsidRDefault="00F12081" w:rsidP="0072405D">
      <w:pPr>
        <w:pStyle w:val="Rubrik"/>
        <w:spacing w:line="360" w:lineRule="auto"/>
        <w:rPr>
          <w:rFonts w:ascii="Times New Roman" w:hAnsi="Times New Roman" w:cs="Times New Roman"/>
          <w:sz w:val="24"/>
          <w:szCs w:val="24"/>
          <w:lang w:val="en-US"/>
        </w:rPr>
      </w:pPr>
    </w:p>
    <w:p w14:paraId="5860F73A" w14:textId="77777777" w:rsidR="00F12081" w:rsidRPr="0089728B" w:rsidRDefault="00987A8C" w:rsidP="0072405D">
      <w:pPr>
        <w:pStyle w:val="Rubrik"/>
        <w:spacing w:line="360" w:lineRule="auto"/>
        <w:rPr>
          <w:sz w:val="48"/>
          <w:lang w:val="en-GB"/>
        </w:rPr>
      </w:pPr>
      <w:r w:rsidRPr="0089728B">
        <w:rPr>
          <w:sz w:val="48"/>
          <w:lang w:val="en-GB"/>
        </w:rPr>
        <w:t>Supplementary Material and methods</w:t>
      </w:r>
    </w:p>
    <w:p w14:paraId="1AF93E58" w14:textId="77777777" w:rsidR="00F12081" w:rsidRPr="0089728B" w:rsidRDefault="00F12081" w:rsidP="0072405D">
      <w:pPr>
        <w:spacing w:line="360" w:lineRule="auto"/>
        <w:contextualSpacing/>
        <w:jc w:val="both"/>
        <w:rPr>
          <w:rFonts w:ascii="Times New Roman" w:hAnsi="Times New Roman" w:cs="Times New Roman"/>
          <w:sz w:val="24"/>
          <w:szCs w:val="24"/>
          <w:lang w:val="en-US"/>
        </w:rPr>
      </w:pPr>
    </w:p>
    <w:p w14:paraId="66D97A60" w14:textId="77777777" w:rsidR="00F12081" w:rsidRPr="0089728B" w:rsidRDefault="00987A8C" w:rsidP="0072405D">
      <w:pPr>
        <w:spacing w:line="360" w:lineRule="auto"/>
        <w:contextualSpacing/>
        <w:rPr>
          <w:rFonts w:ascii="Times New Roman" w:hAnsi="Times New Roman" w:cs="Times New Roman"/>
          <w:b/>
          <w:sz w:val="24"/>
          <w:szCs w:val="24"/>
          <w:lang w:val="en-GB"/>
        </w:rPr>
      </w:pPr>
      <w:r w:rsidRPr="0089728B">
        <w:rPr>
          <w:rFonts w:ascii="Times New Roman" w:hAnsi="Times New Roman" w:cs="Times New Roman"/>
          <w:b/>
          <w:sz w:val="24"/>
          <w:szCs w:val="24"/>
          <w:lang w:val="en-GB"/>
        </w:rPr>
        <w:t>Establishment of RNA-seq Time series</w:t>
      </w:r>
    </w:p>
    <w:p w14:paraId="4038AEDC" w14:textId="69CD0911" w:rsidR="00F12081" w:rsidRPr="0089728B" w:rsidRDefault="00987A8C" w:rsidP="0072405D">
      <w:pPr>
        <w:spacing w:line="360" w:lineRule="auto"/>
        <w:contextualSpacing/>
        <w:rPr>
          <w:rFonts w:ascii="Times New Roman" w:hAnsi="Times New Roman" w:cs="Times New Roman"/>
          <w:sz w:val="24"/>
          <w:szCs w:val="24"/>
          <w:lang w:val="en-GB"/>
        </w:rPr>
      </w:pPr>
      <w:r w:rsidRPr="0089728B">
        <w:rPr>
          <w:rFonts w:ascii="Times New Roman" w:hAnsi="Times New Roman" w:cs="Times New Roman"/>
          <w:sz w:val="24"/>
          <w:szCs w:val="24"/>
          <w:lang w:val="en-GB"/>
        </w:rPr>
        <w:t>To establish the earliest informative time point for the upcoming RNA-Seq, Naive CD45RA</w:t>
      </w:r>
      <w:r w:rsidRPr="0089728B">
        <w:rPr>
          <w:rFonts w:ascii="Times New Roman" w:hAnsi="Times New Roman" w:cs="Times New Roman"/>
          <w:sz w:val="24"/>
          <w:szCs w:val="24"/>
          <w:vertAlign w:val="superscript"/>
          <w:lang w:val="en-GB"/>
        </w:rPr>
        <w:t>+</w:t>
      </w:r>
      <w:r w:rsidRPr="0089728B">
        <w:rPr>
          <w:rFonts w:ascii="Times New Roman" w:hAnsi="Times New Roman" w:cs="Times New Roman"/>
          <w:sz w:val="24"/>
          <w:szCs w:val="24"/>
          <w:lang w:val="en-GB"/>
        </w:rPr>
        <w:t xml:space="preserve"> CD4</w:t>
      </w:r>
      <w:r w:rsidRPr="0089728B">
        <w:rPr>
          <w:rFonts w:ascii="Times New Roman" w:hAnsi="Times New Roman" w:cs="Times New Roman"/>
          <w:sz w:val="24"/>
          <w:szCs w:val="24"/>
          <w:vertAlign w:val="superscript"/>
          <w:lang w:val="en-GB"/>
        </w:rPr>
        <w:t>+</w:t>
      </w:r>
      <w:r w:rsidRPr="0089728B">
        <w:rPr>
          <w:rFonts w:ascii="Times New Roman" w:hAnsi="Times New Roman" w:cs="Times New Roman"/>
          <w:sz w:val="24"/>
          <w:szCs w:val="24"/>
          <w:lang w:val="en-GB"/>
        </w:rPr>
        <w:t xml:space="preserve"> T-cells wer</w:t>
      </w:r>
      <w:r w:rsidR="00E832BF" w:rsidRPr="0089728B">
        <w:rPr>
          <w:rFonts w:ascii="Times New Roman" w:hAnsi="Times New Roman" w:cs="Times New Roman"/>
          <w:sz w:val="24"/>
          <w:szCs w:val="24"/>
          <w:lang w:val="en-GB"/>
        </w:rPr>
        <w:t>e isolated and differentiated</w:t>
      </w:r>
      <w:r w:rsidRPr="0089728B">
        <w:rPr>
          <w:rFonts w:ascii="Times New Roman" w:hAnsi="Times New Roman" w:cs="Times New Roman"/>
          <w:sz w:val="24"/>
          <w:szCs w:val="24"/>
          <w:lang w:val="en-GB"/>
        </w:rPr>
        <w:t xml:space="preserve"> </w:t>
      </w:r>
      <w:r w:rsidR="00E832BF" w:rsidRPr="0089728B">
        <w:rPr>
          <w:rFonts w:ascii="Times New Roman" w:hAnsi="Times New Roman" w:cs="Times New Roman"/>
          <w:sz w:val="24"/>
          <w:szCs w:val="24"/>
          <w:lang w:val="en-GB"/>
        </w:rPr>
        <w:t>as described in the materials and methods</w:t>
      </w:r>
      <w:r w:rsidRPr="0089728B">
        <w:rPr>
          <w:rFonts w:ascii="Times New Roman" w:hAnsi="Times New Roman" w:cs="Times New Roman"/>
          <w:sz w:val="24"/>
          <w:szCs w:val="24"/>
          <w:lang w:val="en-GB"/>
        </w:rPr>
        <w:t xml:space="preserve"> with sampling at 3, 5, 10, 15, 30 and 60 minutes. At each sampling point samples were washed twice with PBS by centrifugation at 1000g for 1 minute followed by snap-freezing in a dry-ice ethanol bath and transferee to -80</w:t>
      </w:r>
      <w:r w:rsidR="002008A0" w:rsidRPr="0089728B">
        <w:rPr>
          <w:rFonts w:ascii="Times New Roman" w:hAnsi="Times New Roman" w:cs="Times New Roman"/>
          <w:sz w:val="24"/>
          <w:szCs w:val="24"/>
          <w:lang w:val="en-GB"/>
        </w:rPr>
        <w:t>°</w:t>
      </w:r>
      <w:r w:rsidRPr="0089728B">
        <w:rPr>
          <w:rFonts w:ascii="Times New Roman" w:hAnsi="Times New Roman" w:cs="Times New Roman"/>
          <w:sz w:val="24"/>
          <w:szCs w:val="24"/>
          <w:lang w:val="en-GB" w:bidi="he-IL"/>
        </w:rPr>
        <w:t>֯</w:t>
      </w:r>
      <w:r w:rsidRPr="0089728B">
        <w:rPr>
          <w:rFonts w:ascii="Times New Roman" w:hAnsi="Times New Roman" w:cs="Times New Roman"/>
          <w:sz w:val="24"/>
          <w:szCs w:val="24"/>
          <w:lang w:val="en-GB"/>
        </w:rPr>
        <w:t xml:space="preserve">C for storage. RNA was then extracted with a RNeasy mini kit (Hilden, Germany) and first strand cDNA synthesis performed with </w:t>
      </w:r>
      <w:r w:rsidRPr="0089728B">
        <w:rPr>
          <w:rFonts w:ascii="Times New Roman" w:hAnsi="Times New Roman" w:cs="Times New Roman"/>
          <w:spacing w:val="15"/>
          <w:sz w:val="24"/>
          <w:szCs w:val="24"/>
          <w:lang w:val="en-GB"/>
        </w:rPr>
        <w:t>TaqMan™ Reverse Transcription Reagents. The cDNA was then mixed with TaqMan™ Fast Advanced Master Mix and FAM labelled TaqMan probes and primers.</w:t>
      </w:r>
      <w:r w:rsidRPr="0089728B">
        <w:rPr>
          <w:rFonts w:ascii="Times New Roman" w:hAnsi="Times New Roman" w:cs="Times New Roman"/>
          <w:sz w:val="24"/>
          <w:szCs w:val="24"/>
          <w:lang w:val="en-GB"/>
        </w:rPr>
        <w:t xml:space="preserve"> The qPCR assay was carried out on a </w:t>
      </w:r>
      <w:r w:rsidRPr="0089728B">
        <w:rPr>
          <w:rFonts w:ascii="Times New Roman" w:hAnsi="Times New Roman" w:cs="Times New Roman"/>
          <w:bCs/>
          <w:sz w:val="24"/>
          <w:szCs w:val="24"/>
          <w:lang w:val="en-GB"/>
        </w:rPr>
        <w:t>7900HT Fast Real-Time PCR System instrument</w:t>
      </w:r>
      <w:r w:rsidRPr="0089728B">
        <w:rPr>
          <w:rFonts w:ascii="Times New Roman" w:hAnsi="Times New Roman" w:cs="Times New Roman"/>
          <w:sz w:val="24"/>
          <w:szCs w:val="24"/>
          <w:lang w:val="en-GB"/>
        </w:rPr>
        <w:t xml:space="preserve"> (Applied biosystems) in 20 µl on a 96 well plate with probes for </w:t>
      </w:r>
      <w:r w:rsidRPr="0089728B">
        <w:rPr>
          <w:rFonts w:ascii="Times New Roman" w:hAnsi="Times New Roman" w:cs="Times New Roman"/>
          <w:i/>
          <w:sz w:val="24"/>
          <w:szCs w:val="24"/>
          <w:lang w:val="en-GB"/>
        </w:rPr>
        <w:t>IL2</w:t>
      </w:r>
      <w:r w:rsidRPr="0089728B">
        <w:rPr>
          <w:rFonts w:ascii="Times New Roman" w:hAnsi="Times New Roman" w:cs="Times New Roman"/>
          <w:sz w:val="24"/>
          <w:szCs w:val="24"/>
          <w:lang w:val="en-GB"/>
        </w:rPr>
        <w:t xml:space="preserve">, </w:t>
      </w:r>
      <w:r w:rsidRPr="0089728B">
        <w:rPr>
          <w:rFonts w:ascii="Times New Roman" w:hAnsi="Times New Roman" w:cs="Times New Roman"/>
          <w:i/>
          <w:sz w:val="24"/>
          <w:szCs w:val="24"/>
          <w:lang w:val="en-GB"/>
        </w:rPr>
        <w:t>IFNG</w:t>
      </w:r>
      <w:r w:rsidRPr="0089728B">
        <w:rPr>
          <w:rFonts w:ascii="Times New Roman" w:hAnsi="Times New Roman" w:cs="Times New Roman"/>
          <w:sz w:val="24"/>
          <w:szCs w:val="24"/>
          <w:lang w:val="en-GB"/>
        </w:rPr>
        <w:t xml:space="preserve">, </w:t>
      </w:r>
      <w:r w:rsidRPr="0089728B">
        <w:rPr>
          <w:rFonts w:ascii="Times New Roman" w:hAnsi="Times New Roman" w:cs="Times New Roman"/>
          <w:i/>
          <w:sz w:val="24"/>
          <w:szCs w:val="24"/>
          <w:lang w:val="en-GB"/>
        </w:rPr>
        <w:t>TBX21</w:t>
      </w:r>
      <w:r w:rsidRPr="0089728B">
        <w:rPr>
          <w:rFonts w:ascii="Times New Roman" w:hAnsi="Times New Roman" w:cs="Times New Roman"/>
          <w:sz w:val="24"/>
          <w:szCs w:val="24"/>
          <w:lang w:val="en-GB"/>
        </w:rPr>
        <w:t xml:space="preserve">, </w:t>
      </w:r>
      <w:r w:rsidRPr="0089728B">
        <w:rPr>
          <w:rFonts w:ascii="Times New Roman" w:hAnsi="Times New Roman" w:cs="Times New Roman"/>
          <w:i/>
          <w:sz w:val="24"/>
          <w:szCs w:val="24"/>
          <w:lang w:val="en-GB"/>
        </w:rPr>
        <w:t>GUSB</w:t>
      </w:r>
      <w:r w:rsidRPr="0089728B">
        <w:rPr>
          <w:rFonts w:ascii="Times New Roman" w:hAnsi="Times New Roman" w:cs="Times New Roman"/>
          <w:sz w:val="24"/>
          <w:szCs w:val="24"/>
          <w:lang w:val="en-GB"/>
        </w:rPr>
        <w:t xml:space="preserve"> and ACTB. GUSB and ACTB were used as reference genes. All cDNA and TaqMan reagents were purchased from Applied Biosystems (Foster city, CA, USA</w:t>
      </w:r>
      <w:r w:rsidRPr="0089728B">
        <w:rPr>
          <w:rFonts w:ascii="Times New Roman" w:hAnsi="Times New Roman" w:cs="Times New Roman"/>
          <w:spacing w:val="15"/>
          <w:sz w:val="24"/>
          <w:szCs w:val="24"/>
          <w:lang w:val="en-GB"/>
        </w:rPr>
        <w:t>).</w:t>
      </w:r>
      <w:r w:rsidRPr="0089728B">
        <w:rPr>
          <w:rFonts w:ascii="Times New Roman" w:hAnsi="Times New Roman" w:cs="Times New Roman"/>
          <w:sz w:val="24"/>
          <w:szCs w:val="24"/>
          <w:lang w:val="en-GB"/>
        </w:rPr>
        <w:t xml:space="preserve"> All probes and primers were purchased from ThermoFisher scientific (Waltham, MA, USA). qPCR was performed in technical triplicates for each time point and probe and the experiment was repeated six times (one repeat lacked the time points for 3 and 10 minutes). Expression of </w:t>
      </w:r>
      <w:r w:rsidRPr="0089728B">
        <w:rPr>
          <w:rFonts w:ascii="Times New Roman" w:hAnsi="Times New Roman" w:cs="Times New Roman"/>
          <w:i/>
          <w:sz w:val="24"/>
          <w:szCs w:val="24"/>
          <w:lang w:val="en-GB"/>
        </w:rPr>
        <w:t>IL2</w:t>
      </w:r>
      <w:r w:rsidRPr="0089728B">
        <w:rPr>
          <w:rFonts w:ascii="Times New Roman" w:hAnsi="Times New Roman" w:cs="Times New Roman"/>
          <w:sz w:val="24"/>
          <w:szCs w:val="24"/>
          <w:lang w:val="en-GB"/>
        </w:rPr>
        <w:t xml:space="preserve"> and </w:t>
      </w:r>
      <w:r w:rsidRPr="0089728B">
        <w:rPr>
          <w:rFonts w:ascii="Times New Roman" w:hAnsi="Times New Roman" w:cs="Times New Roman"/>
          <w:i/>
          <w:sz w:val="24"/>
          <w:szCs w:val="24"/>
          <w:lang w:val="en-GB"/>
        </w:rPr>
        <w:t>IFNG</w:t>
      </w:r>
      <w:r w:rsidRPr="0089728B">
        <w:rPr>
          <w:rFonts w:ascii="Times New Roman" w:hAnsi="Times New Roman" w:cs="Times New Roman"/>
          <w:sz w:val="24"/>
          <w:szCs w:val="24"/>
          <w:lang w:val="en-GB"/>
        </w:rPr>
        <w:t xml:space="preserve"> was significantly increased at 30 and 60 minutes (P &lt; 0.05, students T-test) (</w:t>
      </w:r>
      <w:r w:rsidRPr="001F065A">
        <w:rPr>
          <w:rFonts w:ascii="Times New Roman" w:hAnsi="Times New Roman" w:cs="Times New Roman"/>
          <w:b/>
          <w:sz w:val="24"/>
          <w:szCs w:val="24"/>
          <w:lang w:val="en-GB"/>
        </w:rPr>
        <w:t>Fig</w:t>
      </w:r>
      <w:r w:rsidR="00AF5BBE" w:rsidRPr="001F065A">
        <w:rPr>
          <w:rFonts w:ascii="Times New Roman" w:hAnsi="Times New Roman" w:cs="Times New Roman"/>
          <w:b/>
          <w:sz w:val="24"/>
          <w:szCs w:val="24"/>
          <w:lang w:val="en-GB"/>
        </w:rPr>
        <w:t>ure</w:t>
      </w:r>
      <w:r w:rsidRPr="001F065A">
        <w:rPr>
          <w:rFonts w:ascii="Times New Roman" w:hAnsi="Times New Roman" w:cs="Times New Roman"/>
          <w:b/>
          <w:sz w:val="24"/>
          <w:szCs w:val="24"/>
          <w:lang w:val="en-GB"/>
        </w:rPr>
        <w:t xml:space="preserve"> S1</w:t>
      </w:r>
      <w:r w:rsidRPr="0089728B">
        <w:rPr>
          <w:rFonts w:ascii="Times New Roman" w:hAnsi="Times New Roman" w:cs="Times New Roman"/>
          <w:sz w:val="24"/>
          <w:szCs w:val="24"/>
          <w:lang w:val="en-GB"/>
        </w:rPr>
        <w:t xml:space="preserve">, </w:t>
      </w:r>
      <w:r w:rsidRPr="0089728B">
        <w:rPr>
          <w:rFonts w:ascii="Times New Roman" w:hAnsi="Times New Roman" w:cs="Times New Roman"/>
          <w:i/>
          <w:sz w:val="24"/>
          <w:szCs w:val="24"/>
          <w:lang w:val="en-GB"/>
        </w:rPr>
        <w:t>TBX21</w:t>
      </w:r>
      <w:r w:rsidRPr="0089728B">
        <w:rPr>
          <w:rFonts w:ascii="Times New Roman" w:hAnsi="Times New Roman" w:cs="Times New Roman"/>
          <w:sz w:val="24"/>
          <w:szCs w:val="24"/>
          <w:lang w:val="en-GB"/>
        </w:rPr>
        <w:t xml:space="preserve"> expression not shown as it was constant). Based on this the earliest time point for the RNA-seq was set to 30 minutes.</w:t>
      </w:r>
    </w:p>
    <w:p w14:paraId="5998FCAC" w14:textId="77777777" w:rsidR="00F12081" w:rsidRPr="0089728B" w:rsidRDefault="00F12081" w:rsidP="0072405D">
      <w:pPr>
        <w:spacing w:after="0" w:line="360" w:lineRule="auto"/>
        <w:rPr>
          <w:rFonts w:ascii="Arial" w:hAnsi="Arial" w:cs="Arial"/>
          <w:b/>
          <w:sz w:val="32"/>
          <w:lang w:val="en-US"/>
        </w:rPr>
      </w:pPr>
    </w:p>
    <w:p w14:paraId="5D2228A7" w14:textId="77777777" w:rsidR="00F12081" w:rsidRPr="0089728B" w:rsidRDefault="00987A8C" w:rsidP="0072405D">
      <w:pPr>
        <w:spacing w:after="0" w:line="360" w:lineRule="auto"/>
        <w:rPr>
          <w:rFonts w:ascii="Arial" w:hAnsi="Arial" w:cs="Arial"/>
          <w:b/>
          <w:sz w:val="28"/>
          <w:lang w:val="en-GB"/>
        </w:rPr>
      </w:pPr>
      <w:r w:rsidRPr="0089728B">
        <w:rPr>
          <w:rFonts w:ascii="Arial" w:hAnsi="Arial" w:cs="Arial"/>
          <w:b/>
          <w:sz w:val="28"/>
          <w:lang w:val="en-GB"/>
        </w:rPr>
        <w:t>Proteomics sample preparation</w:t>
      </w:r>
    </w:p>
    <w:p w14:paraId="027E642A" w14:textId="77777777" w:rsidR="00F12081" w:rsidRPr="0089728B" w:rsidRDefault="00F12081" w:rsidP="0072405D">
      <w:pPr>
        <w:spacing w:line="360" w:lineRule="auto"/>
        <w:rPr>
          <w:rFonts w:ascii="Arial" w:hAnsi="Arial" w:cs="Arial"/>
          <w:b/>
          <w:sz w:val="24"/>
          <w:lang w:val="en-GB"/>
        </w:rPr>
      </w:pPr>
    </w:p>
    <w:p w14:paraId="45D55C66" w14:textId="77777777" w:rsidR="00F12081" w:rsidRPr="0089728B" w:rsidRDefault="00987A8C" w:rsidP="0072405D">
      <w:pPr>
        <w:spacing w:line="360" w:lineRule="auto"/>
        <w:rPr>
          <w:rFonts w:ascii="Arial" w:hAnsi="Arial" w:cs="Arial"/>
          <w:b/>
          <w:sz w:val="24"/>
          <w:lang w:val="en-GB"/>
        </w:rPr>
      </w:pPr>
      <w:r w:rsidRPr="0089728B">
        <w:rPr>
          <w:rFonts w:ascii="Arial" w:hAnsi="Arial" w:cs="Arial"/>
          <w:b/>
          <w:sz w:val="24"/>
          <w:lang w:val="en-GB"/>
        </w:rPr>
        <w:t>Chemicals</w:t>
      </w:r>
    </w:p>
    <w:p w14:paraId="2546974A" w14:textId="77777777" w:rsidR="00F12081" w:rsidRPr="0089728B" w:rsidRDefault="00987A8C" w:rsidP="0072405D">
      <w:pPr>
        <w:spacing w:line="360" w:lineRule="auto"/>
        <w:rPr>
          <w:rFonts w:ascii="Times New Roman" w:hAnsi="Times New Roman" w:cs="Times New Roman"/>
          <w:sz w:val="24"/>
          <w:lang w:val="en-GB"/>
        </w:rPr>
      </w:pPr>
      <w:r w:rsidRPr="0089728B">
        <w:rPr>
          <w:rFonts w:ascii="Times New Roman" w:hAnsi="Times New Roman" w:cs="Times New Roman"/>
          <w:sz w:val="24"/>
          <w:lang w:val="en-GB"/>
        </w:rPr>
        <w:t xml:space="preserve">Urea, Ammonium bicarbonate (ABC), Triethylammonium bicarbonate (TEAB), Iodoacetamide (IAA), Ammonium formate, Trifluoroacetic acid (TFA) and formic acid were </w:t>
      </w:r>
      <w:r w:rsidRPr="0089728B">
        <w:rPr>
          <w:rFonts w:ascii="Times New Roman" w:hAnsi="Times New Roman" w:cs="Times New Roman"/>
          <w:sz w:val="24"/>
          <w:lang w:val="en-GB"/>
        </w:rPr>
        <w:lastRenderedPageBreak/>
        <w:t xml:space="preserve">purchased from Sigma-Aldrich (St. Louis, MO). Dithiothreitol (DTT) were purchased from Roche (Hoffmann, Switzerland). Protein assay kit (# 23235) and TMT 6 plex isobaric labeling kits were purchased from Thermo Scientific (MA, USA) and MS grade Trypsin was purchased from Promega (Madison, WI). </w:t>
      </w:r>
    </w:p>
    <w:p w14:paraId="2026C162" w14:textId="77777777" w:rsidR="00F12081" w:rsidRPr="0089728B" w:rsidRDefault="00987A8C" w:rsidP="0072405D">
      <w:pPr>
        <w:spacing w:line="360" w:lineRule="auto"/>
        <w:rPr>
          <w:rFonts w:ascii="Arial" w:hAnsi="Arial" w:cs="Arial"/>
          <w:b/>
          <w:sz w:val="24"/>
          <w:lang w:val="en-GB"/>
        </w:rPr>
      </w:pPr>
      <w:r w:rsidRPr="0089728B">
        <w:rPr>
          <w:rFonts w:ascii="Arial" w:hAnsi="Arial" w:cs="Arial"/>
          <w:b/>
          <w:sz w:val="24"/>
          <w:lang w:val="en-GB"/>
        </w:rPr>
        <w:t>Cell lysis</w:t>
      </w:r>
    </w:p>
    <w:p w14:paraId="09D59BBB" w14:textId="77777777" w:rsidR="00F12081" w:rsidRPr="0089728B" w:rsidRDefault="00987A8C" w:rsidP="0072405D">
      <w:pPr>
        <w:spacing w:line="360" w:lineRule="auto"/>
        <w:rPr>
          <w:rFonts w:ascii="Times New Roman" w:hAnsi="Times New Roman" w:cs="Times New Roman"/>
          <w:b/>
          <w:sz w:val="28"/>
          <w:lang w:val="en-GB"/>
        </w:rPr>
      </w:pPr>
      <w:r w:rsidRPr="0089728B">
        <w:rPr>
          <w:rFonts w:ascii="Times New Roman" w:hAnsi="Times New Roman" w:cs="Times New Roman"/>
          <w:sz w:val="24"/>
          <w:lang w:val="en-GB"/>
        </w:rPr>
        <w:t xml:space="preserve">The isolated cells from patients were resuspended in 100 μl of 8 M Urea in 40 mM Tris-HCl (pH 7.6) and pooled with a similar number of total cells between biological replicates. The suspension was sonicated using focus sonicator (Sonic Dismembrator 500, Fisher Scientific) for 3 cycles of 10 s pulse with 10 s intervals at 10% of power.  After sonication, a magnetic rack was used to remove the T-Activator beads used for the polarization. Protein concentration was measured using BCA assay and 40 μg of each sample was digested with trypsin using In-solution digestion. </w:t>
      </w:r>
    </w:p>
    <w:p w14:paraId="62C40137" w14:textId="77777777" w:rsidR="00F12081" w:rsidRPr="0089728B" w:rsidRDefault="00987A8C" w:rsidP="0072405D">
      <w:pPr>
        <w:spacing w:line="360" w:lineRule="auto"/>
        <w:rPr>
          <w:rFonts w:ascii="Arial" w:hAnsi="Arial" w:cs="Arial"/>
          <w:b/>
          <w:sz w:val="24"/>
          <w:lang w:val="en-GB"/>
        </w:rPr>
      </w:pPr>
      <w:r w:rsidRPr="0089728B">
        <w:rPr>
          <w:rFonts w:ascii="Arial" w:hAnsi="Arial" w:cs="Arial"/>
          <w:b/>
          <w:sz w:val="24"/>
          <w:lang w:val="en-GB"/>
        </w:rPr>
        <w:t>In solution digestion</w:t>
      </w:r>
    </w:p>
    <w:p w14:paraId="146F823C" w14:textId="77777777" w:rsidR="00F12081" w:rsidRPr="0089728B" w:rsidRDefault="00987A8C" w:rsidP="0072405D">
      <w:pPr>
        <w:spacing w:line="360" w:lineRule="auto"/>
        <w:rPr>
          <w:rFonts w:ascii="Times New Roman" w:hAnsi="Times New Roman" w:cs="Times New Roman"/>
          <w:b/>
          <w:sz w:val="24"/>
          <w:lang w:val="en-GB"/>
        </w:rPr>
      </w:pPr>
      <w:r w:rsidRPr="0089728B">
        <w:rPr>
          <w:rFonts w:ascii="Times New Roman" w:hAnsi="Times New Roman" w:cs="Times New Roman"/>
          <w:sz w:val="24"/>
          <w:lang w:val="en-GB"/>
        </w:rPr>
        <w:t>First reduction and alkylation of disulfide bonds on proteins were carried out using 1 M DTT, final sample concentration 10 mM, for 45 minutes and 1 M IAA, final sample concentration 30 mM, for 30 minutes in a dark, respectively. Following alkylation and reduction the samples were diluted with Ammonium bicarbonate buffer (pH 8.0) until the urea concentration was 1 M. The proteins were digested with trypsin overnight at 37 ℃ at an enzyme to protein ratio of 1:20. Finally, the peptides were acidified with 100 % Trifluoroacetic acid (TFA) to a final concentration of 1% TFA and then desalted using macro spin columns (Harvard apparatus, USA).</w:t>
      </w:r>
    </w:p>
    <w:p w14:paraId="14E3F6D1" w14:textId="77777777" w:rsidR="00F12081" w:rsidRPr="0089728B" w:rsidRDefault="00987A8C" w:rsidP="0072405D">
      <w:pPr>
        <w:spacing w:line="360" w:lineRule="auto"/>
        <w:rPr>
          <w:rFonts w:ascii="Arial" w:hAnsi="Arial" w:cs="Arial"/>
          <w:b/>
          <w:sz w:val="24"/>
          <w:lang w:val="en-GB"/>
        </w:rPr>
      </w:pPr>
      <w:r w:rsidRPr="0089728B">
        <w:rPr>
          <w:rFonts w:ascii="Arial" w:hAnsi="Arial" w:cs="Arial"/>
          <w:b/>
          <w:sz w:val="24"/>
          <w:lang w:val="en-GB"/>
        </w:rPr>
        <w:t xml:space="preserve">TMT labeling </w:t>
      </w:r>
    </w:p>
    <w:p w14:paraId="08805A30" w14:textId="77777777" w:rsidR="00F12081" w:rsidRPr="0089728B" w:rsidRDefault="00987A8C" w:rsidP="0072405D">
      <w:pPr>
        <w:spacing w:line="360" w:lineRule="auto"/>
        <w:rPr>
          <w:rFonts w:ascii="Times New Roman" w:hAnsi="Times New Roman" w:cs="Times New Roman"/>
          <w:sz w:val="24"/>
          <w:lang w:val="en-GB"/>
        </w:rPr>
      </w:pPr>
      <w:r w:rsidRPr="0089728B">
        <w:rPr>
          <w:rFonts w:ascii="Times New Roman" w:hAnsi="Times New Roman" w:cs="Times New Roman"/>
          <w:sz w:val="24"/>
          <w:lang w:val="en-GB"/>
        </w:rPr>
        <w:t xml:space="preserve">Peptides were labeled with 6-plex TMT reagent using manufacturer’s protocol with some modification. The six peptide samples from each time series was resuspended in 100 μl of 100 mM TEAB buffer (pH 8.0) and a unit of each TMT reagent was resuspended in 40 μl of acetonitrile. Subsequently, the prepared TMT reagent was transferred to the peptide sample and then vortexed. Next, the samples were incubated for 2 hours at room temperatures. Finally, all of the labeled peptide samples from each time series were pooled and concentrated by vacuum centrifugation. The labeled sample was resuspended 100 μl with 10 mM ammonium formate in water (pH 10) and subjected to high-pH reverse-phase liquid chromatography fractionation. </w:t>
      </w:r>
    </w:p>
    <w:p w14:paraId="3F10A7FF" w14:textId="77777777" w:rsidR="00F12081" w:rsidRPr="0089728B" w:rsidRDefault="00987A8C" w:rsidP="0072405D">
      <w:pPr>
        <w:spacing w:line="360" w:lineRule="auto"/>
        <w:rPr>
          <w:rFonts w:ascii="Arial" w:hAnsi="Arial" w:cs="Arial"/>
          <w:b/>
          <w:sz w:val="24"/>
          <w:lang w:val="en-GB"/>
        </w:rPr>
      </w:pPr>
      <w:r w:rsidRPr="0089728B">
        <w:rPr>
          <w:rFonts w:ascii="Arial" w:hAnsi="Arial" w:cs="Arial"/>
          <w:b/>
          <w:sz w:val="24"/>
          <w:lang w:val="en-GB"/>
        </w:rPr>
        <w:lastRenderedPageBreak/>
        <w:t xml:space="preserve">High pH Fractionation </w:t>
      </w:r>
    </w:p>
    <w:p w14:paraId="7D09C331" w14:textId="77777777" w:rsidR="00F12081" w:rsidRPr="0089728B" w:rsidRDefault="00987A8C" w:rsidP="0072405D">
      <w:pPr>
        <w:spacing w:line="360" w:lineRule="auto"/>
        <w:rPr>
          <w:rFonts w:ascii="Times New Roman" w:hAnsi="Times New Roman" w:cs="Times New Roman"/>
          <w:sz w:val="24"/>
          <w:lang w:val="en-GB"/>
        </w:rPr>
      </w:pPr>
      <w:r w:rsidRPr="0089728B">
        <w:rPr>
          <w:rFonts w:ascii="Times New Roman" w:hAnsi="Times New Roman" w:cs="Times New Roman"/>
          <w:sz w:val="24"/>
          <w:lang w:val="en-GB"/>
        </w:rPr>
        <w:t xml:space="preserve">The TMT labeled peptides were fractionated into 24 fractions. Peptide samples were separated using an analytical column (Xbridge, C18, 5 μm, 4.6 mm x 250 mm) on the Agilent 1200 series HPLC system.  Peptides were eluted using following gradient over 115 min : 0-10 min, 0% B, 10-20 min, 5% B, 20-80 min, 35% B, 80-95 min, 70% B, 95-105 min, 70% B, 105-115 min, 0% B; 10 mM ammonium formate (pH 10) was mobile phase A, and 10 mM ammonium formate with 90% ACN (pH 10) was mobile phase B. The 96 fractions were added up into 24 fractions by combining Fraction 1 - Fraction 25 - Fraction 49 - Fraction 73, Fraction 2 - Fraction 26 - Fraction 50 - Fraction 74...Fraction 24 - Fraction 48 - Fraction 72 - Fraction 96. All fractions were vacuum dried and stored at -80℃ after the desalting step. </w:t>
      </w:r>
    </w:p>
    <w:p w14:paraId="7A921BAB" w14:textId="77777777" w:rsidR="00F12081" w:rsidRPr="0089728B" w:rsidRDefault="00987A8C" w:rsidP="0072405D">
      <w:pPr>
        <w:spacing w:line="360" w:lineRule="auto"/>
        <w:rPr>
          <w:rFonts w:ascii="Arial" w:hAnsi="Arial" w:cs="Arial"/>
          <w:b/>
          <w:sz w:val="24"/>
          <w:lang w:val="en-GB"/>
        </w:rPr>
      </w:pPr>
      <w:r w:rsidRPr="0089728B">
        <w:rPr>
          <w:rFonts w:ascii="Arial" w:hAnsi="Arial" w:cs="Arial"/>
          <w:b/>
          <w:sz w:val="24"/>
          <w:lang w:val="en-GB"/>
        </w:rPr>
        <w:t>LC-MS analysis</w:t>
      </w:r>
    </w:p>
    <w:p w14:paraId="523C6C7A" w14:textId="77777777" w:rsidR="00F12081" w:rsidRPr="0089728B" w:rsidRDefault="00987A8C" w:rsidP="0072405D">
      <w:pPr>
        <w:spacing w:line="360" w:lineRule="auto"/>
        <w:rPr>
          <w:rFonts w:ascii="Times New Roman" w:hAnsi="Times New Roman" w:cs="Times New Roman"/>
          <w:b/>
          <w:sz w:val="28"/>
          <w:lang w:val="en-GB"/>
        </w:rPr>
      </w:pPr>
      <w:r w:rsidRPr="0089728B">
        <w:rPr>
          <w:rFonts w:ascii="Times New Roman" w:hAnsi="Times New Roman" w:cs="Times New Roman"/>
          <w:sz w:val="24"/>
          <w:lang w:val="en-GB"/>
        </w:rPr>
        <w:t>The fractionated peptides were analyzed on an Orbitrap Fusion Lumos Tribrid Mass Spectrometer (source) coupled with the Easy-nLC 1200 nano-flow liquid chromatography system (Thermo Fisher Scientific). The peptides from each fraction were reconstituted in 0.1% formic acid and loaded on an Acclaim PepMap100 Nano-Trap Column (100 μm × 2 cm, Thermo Fisher Scientific) packed with 5 μm C18 particles at a flow rate of 5 μl per minute. Peptides were resolved at 250-nl/min flow rate using a linear gradient of 10% to 35% solvent B (0.1% formic acid in 95% acetonitrile) over 95 minutes on an EASY-Spray column (50 cm x 75 µm ID), PepMap RSLC C18 and 2 µm C18 particles (Thermo Fisher Scientific), which was fitted with an EASY-Spray ion source that was operated at a voltage of 2.3 kV. Mass spectrometry analysis was carried out in a data-dependent manner with a full scan in the mass-to-charge ratio (</w:t>
      </w:r>
      <w:r w:rsidRPr="0089728B">
        <w:rPr>
          <w:rFonts w:ascii="Times New Roman" w:hAnsi="Times New Roman" w:cs="Times New Roman"/>
          <w:i/>
          <w:sz w:val="24"/>
          <w:lang w:val="en-GB"/>
        </w:rPr>
        <w:t>m/z</w:t>
      </w:r>
      <w:r w:rsidRPr="0089728B">
        <w:rPr>
          <w:rFonts w:ascii="Times New Roman" w:hAnsi="Times New Roman" w:cs="Times New Roman"/>
          <w:sz w:val="24"/>
          <w:lang w:val="en-GB"/>
        </w:rPr>
        <w:t xml:space="preserve">) range of 350 to 1,800 in the “Top Speed” setting, three seconds per cycle. MS1 and MS2 were acquired for the precursor ions and the peptide fragmentation ions, respectively. MS1 scans were measured at a resolution of 120,000 at an </w:t>
      </w:r>
      <w:r w:rsidRPr="0089728B">
        <w:rPr>
          <w:rFonts w:ascii="Times New Roman" w:hAnsi="Times New Roman" w:cs="Times New Roman"/>
          <w:i/>
          <w:sz w:val="24"/>
          <w:lang w:val="en-GB"/>
        </w:rPr>
        <w:t xml:space="preserve">m/z </w:t>
      </w:r>
      <w:r w:rsidRPr="0089728B">
        <w:rPr>
          <w:rFonts w:ascii="Times New Roman" w:hAnsi="Times New Roman" w:cs="Times New Roman"/>
          <w:sz w:val="24"/>
          <w:lang w:val="en-GB"/>
        </w:rPr>
        <w:t xml:space="preserve">of 200. </w:t>
      </w:r>
      <w:bookmarkStart w:id="0" w:name="OLE_LINK3"/>
      <w:r w:rsidRPr="0089728B">
        <w:rPr>
          <w:rFonts w:ascii="Times New Roman" w:hAnsi="Times New Roman" w:cs="Times New Roman"/>
          <w:sz w:val="24"/>
          <w:lang w:val="en-GB"/>
        </w:rPr>
        <w:t xml:space="preserve">MS2 scan was acquired by fragmenting precursor ions using the higher-energy collisional dissociation method and detected at a mass resolution of 30,000, at an </w:t>
      </w:r>
      <w:r w:rsidRPr="0089728B">
        <w:rPr>
          <w:rFonts w:ascii="Times New Roman" w:hAnsi="Times New Roman" w:cs="Times New Roman"/>
          <w:i/>
          <w:sz w:val="24"/>
          <w:lang w:val="en-GB"/>
        </w:rPr>
        <w:t>m/z</w:t>
      </w:r>
      <w:r w:rsidRPr="0089728B">
        <w:rPr>
          <w:rFonts w:ascii="Times New Roman" w:hAnsi="Times New Roman" w:cs="Times New Roman"/>
          <w:sz w:val="24"/>
          <w:lang w:val="en-GB"/>
        </w:rPr>
        <w:t xml:space="preserve"> of 200.</w:t>
      </w:r>
      <w:bookmarkEnd w:id="0"/>
      <w:r w:rsidRPr="0089728B">
        <w:rPr>
          <w:rFonts w:ascii="Times New Roman" w:hAnsi="Times New Roman" w:cs="Times New Roman"/>
          <w:sz w:val="24"/>
          <w:lang w:val="en-GB"/>
        </w:rPr>
        <w:t xml:space="preserve"> Automatic gain control for MS1 was set to one million ions and for MS2 was set to 0.1 million ions. A maximum ion injection time was set to 50 ms for MS1 and 100 ms for MS2. Higher-energy collisional dissociation was set to 35 for MS2. Precursor isolation window was set to 0.7 </w:t>
      </w:r>
      <w:r w:rsidRPr="0089728B">
        <w:rPr>
          <w:rFonts w:ascii="Times New Roman" w:hAnsi="Times New Roman" w:cs="Times New Roman"/>
          <w:i/>
          <w:sz w:val="24"/>
          <w:lang w:val="en-GB"/>
        </w:rPr>
        <w:t>m/z</w:t>
      </w:r>
      <w:r w:rsidRPr="0089728B">
        <w:rPr>
          <w:rFonts w:ascii="Times New Roman" w:hAnsi="Times New Roman" w:cs="Times New Roman"/>
          <w:sz w:val="24"/>
          <w:lang w:val="en-GB"/>
        </w:rPr>
        <w:t>.  Dynamic exclusion was set to 35 seconds, and singly-charged ions were rejected. Internal calibration was carried out using the lock mass.</w:t>
      </w:r>
    </w:p>
    <w:p w14:paraId="731A59D0" w14:textId="77777777" w:rsidR="00F12081" w:rsidRPr="0089728B" w:rsidRDefault="00987A8C" w:rsidP="0072405D">
      <w:pPr>
        <w:spacing w:line="360" w:lineRule="auto"/>
        <w:rPr>
          <w:rFonts w:ascii="Arial" w:hAnsi="Arial" w:cs="Arial"/>
          <w:b/>
          <w:sz w:val="24"/>
          <w:lang w:val="en-GB"/>
        </w:rPr>
      </w:pPr>
      <w:r w:rsidRPr="0089728B">
        <w:rPr>
          <w:rFonts w:ascii="Arial" w:hAnsi="Arial" w:cs="Arial"/>
          <w:b/>
          <w:sz w:val="24"/>
          <w:lang w:val="en-GB"/>
        </w:rPr>
        <w:t>Peptide and protein identification</w:t>
      </w:r>
    </w:p>
    <w:p w14:paraId="54F46411" w14:textId="77777777" w:rsidR="00F12081" w:rsidRPr="0089728B" w:rsidRDefault="00987A8C" w:rsidP="0072405D">
      <w:pPr>
        <w:spacing w:line="360" w:lineRule="auto"/>
        <w:rPr>
          <w:rFonts w:ascii="Times New Roman" w:hAnsi="Times New Roman" w:cs="Times New Roman"/>
          <w:sz w:val="24"/>
          <w:lang w:val="en-US"/>
        </w:rPr>
      </w:pPr>
      <w:r w:rsidRPr="0089728B">
        <w:rPr>
          <w:rFonts w:ascii="Times New Roman" w:hAnsi="Times New Roman" w:cs="Times New Roman"/>
          <w:sz w:val="24"/>
          <w:lang w:val="en-GB"/>
        </w:rPr>
        <w:lastRenderedPageBreak/>
        <w:t xml:space="preserve">The obtained data were analysed using MaxQuant (v 1.6.0.1). MS raw data were searched using Andromeda algorithm with matching to the Uniprot human reference (released in Nov, 2017). A specificity of trypsin was determined at up to 2 missed cleavages. In modification, carbamidomethylation, TMT 6-plex modification at lysine and N-termination were set as the fixed modifications, and oxidation of methionine was set as a variable modification. The false discovery rate (FDR) for peptide level was evaluated to 0.01 for removing false positive data. For highly confident quantifications of protein, protein ratios were calculated from two or more unique quantitative peptides in each replicate. Data was normalized and removed contaminant and razor peptide. To enrich differentially expressed proteins (DEPs), we analysed the quantitative ratios (as the Log2 value). The fold-change ratio cut off was more than 2 or less than 0.5 based on intensity of 0 min. Searched data went through statistical process with Perseus (v 1.5.1.6). </w:t>
      </w:r>
    </w:p>
    <w:p w14:paraId="3EAFC268" w14:textId="77777777" w:rsidR="00F12081" w:rsidRPr="0089728B" w:rsidRDefault="00987A8C" w:rsidP="0072405D">
      <w:pPr>
        <w:spacing w:line="360" w:lineRule="auto"/>
        <w:contextualSpacing/>
        <w:rPr>
          <w:rFonts w:ascii="Arial" w:hAnsi="Arial" w:cs="Arial"/>
          <w:b/>
          <w:sz w:val="28"/>
          <w:szCs w:val="28"/>
          <w:lang w:val="en-GB"/>
        </w:rPr>
      </w:pPr>
      <w:r w:rsidRPr="0089728B">
        <w:rPr>
          <w:rFonts w:ascii="Arial" w:hAnsi="Arial" w:cs="Arial"/>
          <w:b/>
          <w:sz w:val="28"/>
          <w:szCs w:val="28"/>
          <w:lang w:val="en-GB"/>
        </w:rPr>
        <w:t>Mathematical modelling</w:t>
      </w:r>
    </w:p>
    <w:p w14:paraId="77C1EEA3" w14:textId="77777777" w:rsidR="00F12081" w:rsidRPr="0089728B" w:rsidRDefault="00F12081" w:rsidP="0072405D">
      <w:pPr>
        <w:spacing w:line="360" w:lineRule="auto"/>
        <w:contextualSpacing/>
        <w:rPr>
          <w:rFonts w:ascii="Arial" w:hAnsi="Arial" w:cs="Arial"/>
          <w:b/>
          <w:sz w:val="24"/>
          <w:szCs w:val="24"/>
          <w:lang w:val="en-GB"/>
        </w:rPr>
      </w:pPr>
    </w:p>
    <w:p w14:paraId="65ECE1C4" w14:textId="77777777" w:rsidR="00F12081" w:rsidRPr="0089728B" w:rsidRDefault="00F12081" w:rsidP="0072405D">
      <w:pPr>
        <w:spacing w:line="360" w:lineRule="auto"/>
        <w:contextualSpacing/>
        <w:rPr>
          <w:rFonts w:ascii="Arial" w:hAnsi="Arial" w:cs="Arial"/>
          <w:b/>
          <w:bCs/>
          <w:lang w:val="en-GB"/>
        </w:rPr>
      </w:pPr>
    </w:p>
    <w:p w14:paraId="4B9E1476" w14:textId="77777777" w:rsidR="00F12081" w:rsidRPr="0089728B" w:rsidRDefault="00987A8C" w:rsidP="0072405D">
      <w:pPr>
        <w:spacing w:line="360" w:lineRule="auto"/>
        <w:contextualSpacing/>
        <w:rPr>
          <w:rFonts w:ascii="Arial" w:hAnsi="Arial" w:cs="Arial"/>
          <w:b/>
          <w:bCs/>
          <w:lang w:val="en-GB"/>
        </w:rPr>
      </w:pPr>
      <w:r w:rsidRPr="0089728B">
        <w:rPr>
          <w:rFonts w:ascii="Arial" w:hAnsi="Arial" w:cs="Arial"/>
          <w:b/>
          <w:bCs/>
          <w:lang w:val="en-GB"/>
        </w:rPr>
        <w:t>Model construction</w:t>
      </w:r>
    </w:p>
    <w:p w14:paraId="0A83E12A" w14:textId="11E2C920" w:rsidR="00F12081" w:rsidRPr="0089728B" w:rsidRDefault="00987A8C" w:rsidP="0072405D">
      <w:pPr>
        <w:spacing w:line="360" w:lineRule="auto"/>
        <w:contextualSpacing/>
        <w:rPr>
          <w:lang w:val="en-US"/>
        </w:rPr>
      </w:pPr>
      <w:r w:rsidRPr="0089728B">
        <w:rPr>
          <w:rFonts w:ascii="Times New Roman" w:hAnsi="Times New Roman" w:cs="Times New Roman"/>
          <w:sz w:val="24"/>
          <w:lang w:val="en-GB"/>
        </w:rPr>
        <w:t>We hypothesized that protein abundance could be predicted using a linear combination of the corresponding splice variants. To predict protein abundance, we used the Sklearn</w:t>
      </w:r>
      <w:r w:rsidR="002008A0" w:rsidRPr="0089728B">
        <w:rPr>
          <w:rFonts w:ascii="Times New Roman" w:hAnsi="Times New Roman" w:cs="Times New Roman"/>
          <w:sz w:val="24"/>
          <w:lang w:val="en-GB"/>
        </w:rPr>
        <w:t xml:space="preserve"> </w:t>
      </w:r>
      <w:r w:rsidR="002008A0" w:rsidRPr="0089728B">
        <w:rPr>
          <w:rFonts w:ascii="Times New Roman" w:hAnsi="Times New Roman" w:cs="Times New Roman"/>
          <w:sz w:val="24"/>
          <w:lang w:val="en-GB"/>
        </w:rPr>
        <w:fldChar w:fldCharType="begin"/>
      </w:r>
      <w:r w:rsidR="002008A0" w:rsidRPr="0089728B">
        <w:rPr>
          <w:rFonts w:ascii="Times New Roman" w:hAnsi="Times New Roman" w:cs="Times New Roman"/>
          <w:sz w:val="24"/>
          <w:lang w:val="en-GB"/>
        </w:rPr>
        <w:instrText xml:space="preserve"> ADDIN EN.CITE &lt;EndNote&gt;&lt;Cite&gt;&lt;Author&gt;Fabian Pedregosa&lt;/Author&gt;&lt;Year&gt;2011&lt;/Year&gt;&lt;RecNum&gt;536&lt;/RecNum&gt;&lt;DisplayText&gt;[1]&lt;/DisplayText&gt;&lt;record&gt;&lt;rec-number&gt;536&lt;/rec-number&gt;&lt;foreign-keys&gt;&lt;key app="EN" db-id="fz09ssz9r2a52wetrvzpv999dwt5xrs2rsaz" timestamp="1550180787"&gt;536&lt;/key&gt;&lt;/foreign-keys&gt;&lt;ref-type name="Journal Article"&gt;17&lt;/ref-type&gt;&lt;contributors&gt;&lt;authors&gt;&lt;author&gt;Fabian Pedregosa, Gaël Varoquaux, Alexandre Gramfort, Vincent Michel, Bertrand Thirion, Olivier Grisel, Mathieu Blondel, Peter Prettenhofer, Ron Weiss, Vincent Dubourg, Jake Vanderplas, Alexandre Passos, David Cournapeau, Matthieu Brucher, Matthieu Perrot, Édouard Duchesnay&lt;/author&gt;&lt;/authors&gt;&lt;/contributors&gt;&lt;titles&gt;&lt;title&gt;Scikit-learn: Machine Learning in Python&lt;/title&gt;&lt;secondary-title&gt;JMLR&lt;/secondary-title&gt;&lt;/titles&gt;&lt;periodical&gt;&lt;full-title&gt;JMLR&lt;/full-title&gt;&lt;/periodical&gt;&lt;pages&gt;2825−2830&lt;/pages&gt;&lt;volume&gt;12&lt;/volume&gt;&lt;dates&gt;&lt;year&gt;2011&lt;/year&gt;&lt;/dates&gt;&lt;urls&gt;&lt;/urls&gt;&lt;/record&gt;&lt;/Cite&gt;&lt;/EndNote&gt;</w:instrText>
      </w:r>
      <w:r w:rsidR="002008A0" w:rsidRPr="0089728B">
        <w:rPr>
          <w:rFonts w:ascii="Times New Roman" w:hAnsi="Times New Roman" w:cs="Times New Roman"/>
          <w:sz w:val="24"/>
          <w:lang w:val="en-GB"/>
        </w:rPr>
        <w:fldChar w:fldCharType="separate"/>
      </w:r>
      <w:r w:rsidR="002008A0" w:rsidRPr="0089728B">
        <w:rPr>
          <w:rFonts w:ascii="Times New Roman" w:hAnsi="Times New Roman" w:cs="Times New Roman"/>
          <w:noProof/>
          <w:sz w:val="24"/>
          <w:lang w:val="en-GB"/>
        </w:rPr>
        <w:t>[1]</w:t>
      </w:r>
      <w:r w:rsidR="002008A0" w:rsidRPr="0089728B">
        <w:rPr>
          <w:rFonts w:ascii="Times New Roman" w:hAnsi="Times New Roman" w:cs="Times New Roman"/>
          <w:sz w:val="24"/>
          <w:lang w:val="en-GB"/>
        </w:rPr>
        <w:fldChar w:fldCharType="end"/>
      </w:r>
      <w:r w:rsidRPr="0089728B">
        <w:rPr>
          <w:rFonts w:ascii="Times New Roman" w:hAnsi="Times New Roman" w:cs="Times New Roman"/>
          <w:sz w:val="24"/>
          <w:lang w:val="en-GB"/>
        </w:rPr>
        <w:t xml:space="preserve"> implementation of the LASSO</w:t>
      </w:r>
      <w:r w:rsidR="002008A0" w:rsidRPr="0089728B">
        <w:rPr>
          <w:rFonts w:ascii="Times New Roman" w:hAnsi="Times New Roman" w:cs="Times New Roman"/>
          <w:sz w:val="24"/>
          <w:lang w:val="en-GB"/>
        </w:rPr>
        <w:t xml:space="preserve"> </w:t>
      </w:r>
      <w:r w:rsidR="002008A0" w:rsidRPr="0089728B">
        <w:rPr>
          <w:rFonts w:ascii="Times New Roman" w:hAnsi="Times New Roman" w:cs="Times New Roman"/>
          <w:sz w:val="24"/>
          <w:lang w:val="en-GB"/>
        </w:rPr>
        <w:fldChar w:fldCharType="begin"/>
      </w:r>
      <w:r w:rsidR="002008A0" w:rsidRPr="0089728B">
        <w:rPr>
          <w:rFonts w:ascii="Times New Roman" w:hAnsi="Times New Roman" w:cs="Times New Roman"/>
          <w:sz w:val="24"/>
          <w:lang w:val="en-GB"/>
        </w:rPr>
        <w:instrText xml:space="preserve"> ADDIN EN.CITE &lt;EndNote&gt;&lt;Cite&gt;&lt;Author&gt;Tibshirani&lt;/Author&gt;&lt;Year&gt;1996&lt;/Year&gt;&lt;RecNum&gt;587&lt;/RecNum&gt;&lt;DisplayText&gt;[2]&lt;/DisplayText&gt;&lt;record&gt;&lt;rec-number&gt;587&lt;/rec-number&gt;&lt;foreign-keys&gt;&lt;key app="EN" db-id="fz09ssz9r2a52wetrvzpv999dwt5xrs2rsaz" timestamp="1586325536"&gt;587&lt;/key&gt;&lt;/foreign-keys&gt;&lt;ref-type name="Journal Article"&gt;17&lt;/ref-type&gt;&lt;contributors&gt;&lt;authors&gt;&lt;author&gt;Tibshirani, R.&lt;/author&gt;&lt;/authors&gt;&lt;/contributors&gt;&lt;titles&gt;&lt;title&gt;Regression Shrinkage and Selection via the Lasso&lt;/title&gt;&lt;secondary-title&gt;Journal of the Royal Statistical Society. Series B (Methodological)&lt;/secondary-title&gt;&lt;/titles&gt;&lt;periodical&gt;&lt;full-title&gt;Journal of the Royal Statistical Society. Series B (Methodological)&lt;/full-title&gt;&lt;/periodical&gt;&lt;pages&gt;267-288&lt;/pages&gt;&lt;volume&gt;58&lt;/volume&gt;&lt;number&gt;1&lt;/number&gt;&lt;dates&gt;&lt;year&gt;1996&lt;/year&gt;&lt;/dates&gt;&lt;urls&gt;&lt;/urls&gt;&lt;/record&gt;&lt;/Cite&gt;&lt;/EndNote&gt;</w:instrText>
      </w:r>
      <w:r w:rsidR="002008A0" w:rsidRPr="0089728B">
        <w:rPr>
          <w:rFonts w:ascii="Times New Roman" w:hAnsi="Times New Roman" w:cs="Times New Roman"/>
          <w:sz w:val="24"/>
          <w:lang w:val="en-GB"/>
        </w:rPr>
        <w:fldChar w:fldCharType="separate"/>
      </w:r>
      <w:r w:rsidR="002008A0" w:rsidRPr="0089728B">
        <w:rPr>
          <w:rFonts w:ascii="Times New Roman" w:hAnsi="Times New Roman" w:cs="Times New Roman"/>
          <w:noProof/>
          <w:sz w:val="24"/>
          <w:lang w:val="en-GB"/>
        </w:rPr>
        <w:t>[2]</w:t>
      </w:r>
      <w:r w:rsidR="002008A0" w:rsidRPr="0089728B">
        <w:rPr>
          <w:rFonts w:ascii="Times New Roman" w:hAnsi="Times New Roman" w:cs="Times New Roman"/>
          <w:sz w:val="24"/>
          <w:lang w:val="en-GB"/>
        </w:rPr>
        <w:fldChar w:fldCharType="end"/>
      </w:r>
      <w:r w:rsidRPr="0089728B">
        <w:rPr>
          <w:rFonts w:ascii="Times New Roman" w:hAnsi="Times New Roman" w:cs="Times New Roman"/>
          <w:sz w:val="24"/>
          <w:lang w:val="en-GB"/>
        </w:rPr>
        <w:t>, an L1-penalized linear regression model.</w:t>
      </w:r>
    </w:p>
    <w:p w14:paraId="0061CA20" w14:textId="77777777" w:rsidR="00F12081" w:rsidRPr="0089728B" w:rsidRDefault="00F12081" w:rsidP="0072405D">
      <w:pPr>
        <w:spacing w:line="360" w:lineRule="auto"/>
        <w:contextualSpacing/>
        <w:rPr>
          <w:lang w:val="en-GB"/>
        </w:rPr>
      </w:pPr>
    </w:p>
    <w:p w14:paraId="4293D423" w14:textId="77777777" w:rsidR="00F12081" w:rsidRPr="0089728B" w:rsidRDefault="00987A8C" w:rsidP="0072405D">
      <w:pPr>
        <w:spacing w:line="360" w:lineRule="auto"/>
        <w:contextualSpacing/>
        <w:rPr>
          <w:lang w:val="en-GB"/>
        </w:rPr>
      </w:pPr>
      <w:r w:rsidRPr="0089728B">
        <w:rPr>
          <w:noProof/>
          <w:lang w:val="en-US"/>
        </w:rPr>
        <w:drawing>
          <wp:anchor distT="0" distB="0" distL="0" distR="0" simplePos="0" relativeHeight="2" behindDoc="0" locked="0" layoutInCell="1" allowOverlap="1" wp14:anchorId="3A32BCF7" wp14:editId="47881F01">
            <wp:simplePos x="0" y="0"/>
            <wp:positionH relativeFrom="column">
              <wp:posOffset>1124585</wp:posOffset>
            </wp:positionH>
            <wp:positionV relativeFrom="paragraph">
              <wp:posOffset>635</wp:posOffset>
            </wp:positionV>
            <wp:extent cx="2755900" cy="452755"/>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5"/>
                    <a:stretch>
                      <a:fillRect/>
                    </a:stretch>
                  </pic:blipFill>
                  <pic:spPr bwMode="auto">
                    <a:xfrm>
                      <a:off x="0" y="0"/>
                      <a:ext cx="2755900" cy="452755"/>
                    </a:xfrm>
                    <a:prstGeom prst="rect">
                      <a:avLst/>
                    </a:prstGeom>
                  </pic:spPr>
                </pic:pic>
              </a:graphicData>
            </a:graphic>
          </wp:anchor>
        </w:drawing>
      </w:r>
    </w:p>
    <w:p w14:paraId="3C3E2A7E" w14:textId="77777777" w:rsidR="00F12081" w:rsidRPr="0089728B" w:rsidRDefault="00F12081" w:rsidP="0072405D">
      <w:pPr>
        <w:spacing w:line="360" w:lineRule="auto"/>
        <w:contextualSpacing/>
        <w:rPr>
          <w:b/>
          <w:bCs/>
          <w:lang w:val="en-GB"/>
        </w:rPr>
      </w:pPr>
    </w:p>
    <w:p w14:paraId="37F0FB97" w14:textId="77777777" w:rsidR="00F12081" w:rsidRPr="0089728B" w:rsidRDefault="00F12081" w:rsidP="0072405D">
      <w:pPr>
        <w:spacing w:line="360" w:lineRule="auto"/>
        <w:contextualSpacing/>
        <w:rPr>
          <w:b/>
          <w:bCs/>
          <w:lang w:val="en-GB"/>
        </w:rPr>
      </w:pPr>
    </w:p>
    <w:p w14:paraId="32F0A533" w14:textId="77777777" w:rsidR="00F12081" w:rsidRPr="0089728B" w:rsidRDefault="00F12081" w:rsidP="0072405D">
      <w:pPr>
        <w:spacing w:line="360" w:lineRule="auto"/>
        <w:contextualSpacing/>
        <w:rPr>
          <w:b/>
          <w:bCs/>
          <w:lang w:val="en-GB"/>
        </w:rPr>
      </w:pPr>
    </w:p>
    <w:p w14:paraId="54FE6B18" w14:textId="16F2F72F" w:rsidR="00F12081" w:rsidRPr="0089728B" w:rsidRDefault="00987A8C" w:rsidP="0072405D">
      <w:pPr>
        <w:spacing w:line="360" w:lineRule="auto"/>
        <w:contextualSpacing/>
        <w:jc w:val="both"/>
        <w:rPr>
          <w:lang w:val="en-US"/>
        </w:rPr>
      </w:pPr>
      <w:r w:rsidRPr="0089728B">
        <w:rPr>
          <w:rFonts w:ascii="Times New Roman" w:hAnsi="Times New Roman" w:cs="Times New Roman"/>
          <w:sz w:val="24"/>
          <w:lang w:val="en-GB"/>
        </w:rPr>
        <w:t xml:space="preserve">Here, the time series of one protein is denoted the vector Y, and the corresponding time series of the splice variants are denoted by the matrix X. The rate constant for each splice variant is contained in the vector β. Furthermore, the λ parameter regulates the influence of the L1 term, and was determined individually for each protein. The λ term was chosen to minimize the prediction error of a leave-one-out cross validation. In the Th1 dataset, the time points differed such that the mRNA abundance also had a measurement at t=30 minutes, while the protein data instead had a measurement of t=120h. For comparison, the protein data for 30 minutes was interpolated, while the 120h time point was omitted. The same procedure was performed using the regulatory T cells from Schmidt </w:t>
      </w:r>
      <w:r w:rsidR="002008A0" w:rsidRPr="0089728B">
        <w:rPr>
          <w:rFonts w:ascii="Times New Roman" w:hAnsi="Times New Roman" w:cs="Times New Roman"/>
          <w:i/>
          <w:sz w:val="24"/>
          <w:lang w:val="en-GB"/>
        </w:rPr>
        <w:t>e</w:t>
      </w:r>
      <w:r w:rsidRPr="0089728B">
        <w:rPr>
          <w:rFonts w:ascii="Times New Roman" w:hAnsi="Times New Roman" w:cs="Times New Roman"/>
          <w:i/>
          <w:sz w:val="24"/>
          <w:lang w:val="en-GB"/>
        </w:rPr>
        <w:t>t al</w:t>
      </w:r>
      <w:r w:rsidR="002008A0" w:rsidRPr="0089728B">
        <w:rPr>
          <w:rFonts w:ascii="Times New Roman" w:hAnsi="Times New Roman" w:cs="Times New Roman"/>
          <w:i/>
          <w:sz w:val="24"/>
          <w:lang w:val="en-GB"/>
        </w:rPr>
        <w:t xml:space="preserve"> </w:t>
      </w:r>
      <w:r w:rsidR="002008A0" w:rsidRPr="0089728B">
        <w:rPr>
          <w:rFonts w:ascii="Times New Roman" w:hAnsi="Times New Roman" w:cs="Times New Roman"/>
          <w:i/>
          <w:sz w:val="24"/>
          <w:lang w:val="en-GB"/>
        </w:rPr>
        <w:fldChar w:fldCharType="begin">
          <w:fldData xml:space="preserve">PEVuZE5vdGU+PENpdGU+PEF1dGhvcj5TY2htaWR0PC9BdXRob3I+PFllYXI+MjAxODwvWWVhcj48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</w:fldData>
        </w:fldChar>
      </w:r>
      <w:r w:rsidR="002008A0" w:rsidRPr="0089728B">
        <w:rPr>
          <w:rFonts w:ascii="Times New Roman" w:hAnsi="Times New Roman" w:cs="Times New Roman"/>
          <w:i/>
          <w:sz w:val="24"/>
          <w:lang w:val="en-GB"/>
        </w:rPr>
        <w:instrText xml:space="preserve"> ADDIN EN.CITE </w:instrText>
      </w:r>
      <w:r w:rsidR="002008A0" w:rsidRPr="0089728B">
        <w:rPr>
          <w:rFonts w:ascii="Times New Roman" w:hAnsi="Times New Roman" w:cs="Times New Roman"/>
          <w:i/>
          <w:sz w:val="24"/>
          <w:lang w:val="en-GB"/>
        </w:rPr>
        <w:fldChar w:fldCharType="begin">
          <w:fldData xml:space="preserve">PEVuZE5vdGU+PENpdGU+PEF1dGhvcj5TY2htaWR0PC9BdXRob3I+PFllYXI+MjAxODwvWWVhcj48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</w:fldData>
        </w:fldChar>
      </w:r>
      <w:r w:rsidR="002008A0" w:rsidRPr="0089728B">
        <w:rPr>
          <w:rFonts w:ascii="Times New Roman" w:hAnsi="Times New Roman" w:cs="Times New Roman"/>
          <w:i/>
          <w:sz w:val="24"/>
          <w:lang w:val="en-GB"/>
        </w:rPr>
        <w:instrText xml:space="preserve"> ADDIN EN.CITE.DATA </w:instrText>
      </w:r>
      <w:r w:rsidR="002008A0" w:rsidRPr="0089728B">
        <w:rPr>
          <w:rFonts w:ascii="Times New Roman" w:hAnsi="Times New Roman" w:cs="Times New Roman"/>
          <w:i/>
          <w:sz w:val="24"/>
          <w:lang w:val="en-GB"/>
        </w:rPr>
      </w:r>
      <w:r w:rsidR="002008A0" w:rsidRPr="0089728B">
        <w:rPr>
          <w:rFonts w:ascii="Times New Roman" w:hAnsi="Times New Roman" w:cs="Times New Roman"/>
          <w:i/>
          <w:sz w:val="24"/>
          <w:lang w:val="en-GB"/>
        </w:rPr>
        <w:fldChar w:fldCharType="end"/>
      </w:r>
      <w:r w:rsidR="002008A0" w:rsidRPr="0089728B">
        <w:rPr>
          <w:rFonts w:ascii="Times New Roman" w:hAnsi="Times New Roman" w:cs="Times New Roman"/>
          <w:i/>
          <w:sz w:val="24"/>
          <w:lang w:val="en-GB"/>
        </w:rPr>
      </w:r>
      <w:r w:rsidR="002008A0" w:rsidRPr="0089728B">
        <w:rPr>
          <w:rFonts w:ascii="Times New Roman" w:hAnsi="Times New Roman" w:cs="Times New Roman"/>
          <w:i/>
          <w:sz w:val="24"/>
          <w:lang w:val="en-GB"/>
        </w:rPr>
        <w:fldChar w:fldCharType="separate"/>
      </w:r>
      <w:r w:rsidR="002008A0" w:rsidRPr="0089728B">
        <w:rPr>
          <w:rFonts w:ascii="Times New Roman" w:hAnsi="Times New Roman" w:cs="Times New Roman"/>
          <w:iCs/>
          <w:noProof/>
          <w:sz w:val="24"/>
          <w:lang w:val="en-GB"/>
        </w:rPr>
        <w:t>[3]</w:t>
      </w:r>
      <w:r w:rsidR="002008A0" w:rsidRPr="0089728B">
        <w:rPr>
          <w:rFonts w:ascii="Times New Roman" w:hAnsi="Times New Roman" w:cs="Times New Roman"/>
          <w:i/>
          <w:sz w:val="24"/>
          <w:lang w:val="en-GB"/>
        </w:rPr>
        <w:fldChar w:fldCharType="end"/>
      </w:r>
      <w:r w:rsidRPr="0089728B">
        <w:rPr>
          <w:rFonts w:ascii="Times New Roman" w:hAnsi="Times New Roman" w:cs="Times New Roman"/>
          <w:sz w:val="24"/>
          <w:lang w:val="en-GB"/>
        </w:rPr>
        <w:t xml:space="preserve">  were Treg induced by either TGF-β, TGF-β and </w:t>
      </w:r>
      <w:r w:rsidRPr="0089728B">
        <w:rPr>
          <w:rFonts w:ascii="Times New Roman" w:hAnsi="Times New Roman" w:cs="Times New Roman"/>
          <w:sz w:val="24"/>
          <w:lang w:val="en-GB"/>
        </w:rPr>
        <w:lastRenderedPageBreak/>
        <w:t>ATRA, or TGF-β and butyrate. Lastly, the same procedure was performed for mice B-cells were B-cell differentiation was induced by the Ikaros transcription factor (GSE75417).</w:t>
      </w:r>
      <w:r w:rsidRPr="0089728B">
        <w:rPr>
          <w:rFonts w:ascii="Times New Roman" w:hAnsi="Times New Roman" w:cs="Times New Roman"/>
          <w:sz w:val="24"/>
          <w:szCs w:val="24"/>
          <w:lang w:val="en-GB"/>
        </w:rPr>
        <w:t xml:space="preserve"> Pipe-line and code available from </w:t>
      </w:r>
      <w:hyperlink r:id="rId6">
        <w:r w:rsidRPr="0089728B">
          <w:rPr>
            <w:rStyle w:val="InternetLink"/>
            <w:rFonts w:ascii="Times New Roman" w:hAnsi="Times New Roman" w:cs="Times New Roman"/>
            <w:sz w:val="24"/>
            <w:szCs w:val="24"/>
            <w:lang w:val="en-GB"/>
          </w:rPr>
          <w:t>https://gitlab.com/Gustafsson-lab/splice_protein_predictions</w:t>
        </w:r>
      </w:hyperlink>
      <w:r w:rsidRPr="0089728B">
        <w:rPr>
          <w:rStyle w:val="InternetLink"/>
          <w:rFonts w:ascii="Times New Roman" w:hAnsi="Times New Roman" w:cs="Times New Roman"/>
          <w:sz w:val="24"/>
          <w:szCs w:val="24"/>
          <w:lang w:val="en-GB"/>
        </w:rPr>
        <w:t>.</w:t>
      </w:r>
    </w:p>
    <w:p w14:paraId="3F5F6231" w14:textId="77777777" w:rsidR="00F12081" w:rsidRPr="0089728B" w:rsidRDefault="00F12081" w:rsidP="0072405D">
      <w:pPr>
        <w:spacing w:line="360" w:lineRule="auto"/>
        <w:contextualSpacing/>
        <w:jc w:val="both"/>
        <w:rPr>
          <w:lang w:val="en-US"/>
        </w:rPr>
      </w:pPr>
    </w:p>
    <w:p w14:paraId="4946CFE9" w14:textId="77777777" w:rsidR="00F12081" w:rsidRPr="0089728B" w:rsidRDefault="00F12081" w:rsidP="0072405D">
      <w:pPr>
        <w:spacing w:line="360" w:lineRule="auto"/>
        <w:rPr>
          <w:lang w:val="en-US"/>
        </w:rPr>
      </w:pPr>
    </w:p>
    <w:p w14:paraId="3CA2FCE1" w14:textId="77777777" w:rsidR="00F12081" w:rsidRPr="0089728B" w:rsidRDefault="00987A8C" w:rsidP="0072405D">
      <w:pPr>
        <w:spacing w:line="360" w:lineRule="auto"/>
        <w:contextualSpacing/>
        <w:rPr>
          <w:lang w:val="en-US"/>
        </w:rPr>
      </w:pPr>
      <w:r w:rsidRPr="0089728B">
        <w:rPr>
          <w:rFonts w:ascii="Arial" w:hAnsi="Arial" w:cs="Arial"/>
          <w:b/>
          <w:bCs/>
          <w:lang w:val="en-GB"/>
        </w:rPr>
        <w:t>Time delay analysis</w:t>
      </w:r>
    </w:p>
    <w:p w14:paraId="53CC1868" w14:textId="553AC1F4" w:rsidR="00F12081" w:rsidRPr="0089728B" w:rsidRDefault="00987A8C" w:rsidP="0072405D">
      <w:pPr>
        <w:spacing w:line="360" w:lineRule="auto"/>
        <w:contextualSpacing/>
        <w:rPr>
          <w:lang w:val="en-US"/>
        </w:rPr>
      </w:pPr>
      <w:r w:rsidRPr="0089728B">
        <w:rPr>
          <w:rFonts w:ascii="Times New Roman" w:hAnsi="Times New Roman" w:cs="Times New Roman"/>
          <w:sz w:val="24"/>
          <w:lang w:val="en-GB"/>
        </w:rPr>
        <w:t xml:space="preserve">The effect of time delays between mRNA and protein was analysed since this might affect the prediction of protein abundance. First, we considered the Th1 data and linearly interpolated between 0 and 24h for both the mRNA expression and protein abundance data </w:t>
      </w:r>
      <w:r w:rsidRPr="0089728B">
        <w:rPr>
          <w:rFonts w:ascii="Times New Roman" w:hAnsi="Times New Roman" w:cs="Calibri"/>
          <w:sz w:val="24"/>
          <w:lang w:val="en-US"/>
        </w:rPr>
        <w:t>with a quadratically increasing distribution between the time delays. In total, 200 time series were interpolated</w:t>
      </w:r>
      <w:r w:rsidR="00350203" w:rsidRPr="0089728B">
        <w:rPr>
          <w:rFonts w:ascii="Times New Roman" w:hAnsi="Times New Roman" w:cs="Calibri"/>
          <w:sz w:val="24"/>
          <w:lang w:val="en-US"/>
        </w:rPr>
        <w:t>,</w:t>
      </w:r>
      <w:r w:rsidRPr="0089728B">
        <w:rPr>
          <w:rFonts w:ascii="Times New Roman" w:hAnsi="Times New Roman" w:cs="Calibri"/>
          <w:sz w:val="24"/>
          <w:lang w:val="en-US"/>
        </w:rPr>
        <w:t xml:space="preserve"> such that the difference between the first two time delays was 43 seconds, and the difference between the two last samples was 15 minutes.</w:t>
      </w:r>
      <w:r w:rsidRPr="0089728B">
        <w:rPr>
          <w:rFonts w:ascii="Times New Roman" w:hAnsi="Times New Roman" w:cs="Times New Roman"/>
          <w:sz w:val="24"/>
          <w:lang w:val="en-GB"/>
        </w:rPr>
        <w:t xml:space="preserve"> </w:t>
      </w:r>
    </w:p>
    <w:p w14:paraId="57D1315C" w14:textId="77777777" w:rsidR="00F12081" w:rsidRPr="0089728B" w:rsidRDefault="00987A8C" w:rsidP="0072405D">
      <w:pPr>
        <w:spacing w:line="360" w:lineRule="auto"/>
        <w:contextualSpacing/>
        <w:rPr>
          <w:lang w:val="en-GB"/>
        </w:rPr>
      </w:pPr>
      <w:r w:rsidRPr="0089728B">
        <w:rPr>
          <w:noProof/>
          <w:lang w:val="en-US"/>
        </w:rPr>
        <w:drawing>
          <wp:anchor distT="0" distB="0" distL="0" distR="0" simplePos="0" relativeHeight="3" behindDoc="0" locked="0" layoutInCell="1" allowOverlap="1" wp14:anchorId="4C1A49F2" wp14:editId="2793A7ED">
            <wp:simplePos x="0" y="0"/>
            <wp:positionH relativeFrom="column">
              <wp:posOffset>1237615</wp:posOffset>
            </wp:positionH>
            <wp:positionV relativeFrom="paragraph">
              <wp:posOffset>185420</wp:posOffset>
            </wp:positionV>
            <wp:extent cx="3324860" cy="414020"/>
            <wp:effectExtent l="0" t="0" r="0" b="0"/>
            <wp:wrapSquare wrapText="largest"/>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7"/>
                    <a:stretch>
                      <a:fillRect/>
                    </a:stretch>
                  </pic:blipFill>
                  <pic:spPr bwMode="auto">
                    <a:xfrm>
                      <a:off x="0" y="0"/>
                      <a:ext cx="3324860" cy="414020"/>
                    </a:xfrm>
                    <a:prstGeom prst="rect">
                      <a:avLst/>
                    </a:prstGeom>
                  </pic:spPr>
                </pic:pic>
              </a:graphicData>
            </a:graphic>
          </wp:anchor>
        </w:drawing>
      </w:r>
    </w:p>
    <w:p w14:paraId="0F5F7FA0" w14:textId="77777777" w:rsidR="00F12081" w:rsidRPr="0089728B" w:rsidRDefault="00F12081" w:rsidP="0072405D">
      <w:pPr>
        <w:spacing w:line="360" w:lineRule="auto"/>
        <w:contextualSpacing/>
        <w:rPr>
          <w:lang w:val="en-GB"/>
        </w:rPr>
      </w:pPr>
    </w:p>
    <w:p w14:paraId="5DAFD180" w14:textId="77777777" w:rsidR="00F12081" w:rsidRPr="0089728B" w:rsidRDefault="00F12081" w:rsidP="0072405D">
      <w:pPr>
        <w:spacing w:line="360" w:lineRule="auto"/>
        <w:contextualSpacing/>
        <w:rPr>
          <w:b/>
          <w:bCs/>
          <w:lang w:val="en-GB"/>
        </w:rPr>
      </w:pPr>
    </w:p>
    <w:p w14:paraId="3D04F411" w14:textId="77777777" w:rsidR="00F12081" w:rsidRPr="0089728B" w:rsidRDefault="00F12081" w:rsidP="0072405D">
      <w:pPr>
        <w:spacing w:line="360" w:lineRule="auto"/>
        <w:contextualSpacing/>
        <w:rPr>
          <w:b/>
          <w:bCs/>
          <w:lang w:val="en-GB"/>
        </w:rPr>
      </w:pPr>
    </w:p>
    <w:p w14:paraId="0213FE7B" w14:textId="77777777" w:rsidR="00F12081" w:rsidRPr="0089728B" w:rsidRDefault="00F12081" w:rsidP="0072405D">
      <w:pPr>
        <w:spacing w:line="360" w:lineRule="auto"/>
        <w:contextualSpacing/>
        <w:rPr>
          <w:rFonts w:ascii="Times New Roman" w:hAnsi="Times New Roman" w:cs="Times New Roman"/>
          <w:sz w:val="24"/>
          <w:lang w:val="en-GB"/>
        </w:rPr>
      </w:pPr>
    </w:p>
    <w:p w14:paraId="5416610A" w14:textId="77777777" w:rsidR="00F12081" w:rsidRPr="0089728B" w:rsidRDefault="00987A8C" w:rsidP="0072405D">
      <w:pPr>
        <w:spacing w:line="360" w:lineRule="auto"/>
        <w:contextualSpacing/>
        <w:rPr>
          <w:lang w:val="en-US"/>
        </w:rPr>
      </w:pPr>
      <w:r w:rsidRPr="0089728B">
        <w:rPr>
          <w:rFonts w:ascii="Times New Roman" w:hAnsi="Times New Roman" w:cs="Times New Roman"/>
          <w:sz w:val="24"/>
          <w:lang w:val="en-GB"/>
        </w:rPr>
        <w:t xml:space="preserve">In the updated model, we added a protein specific time delay τ to regulate which time point of splice variant expression should be used. As an example, a τ = 0.5h would result in splice variant abundance of t = [0h,1h,2h,6h,24h] predict protein abundance interpolated at t = [0.5h, 1.5h, 2.5h, 6.5h, 24.5h]. </w:t>
      </w:r>
    </w:p>
    <w:p w14:paraId="7995AADA" w14:textId="77777777" w:rsidR="00F12081" w:rsidRPr="0089728B" w:rsidRDefault="00F12081" w:rsidP="0072405D">
      <w:pPr>
        <w:spacing w:line="360" w:lineRule="auto"/>
        <w:contextualSpacing/>
        <w:rPr>
          <w:rFonts w:ascii="Times New Roman" w:hAnsi="Times New Roman" w:cs="Times New Roman"/>
          <w:sz w:val="24"/>
          <w:lang w:val="en-GB"/>
        </w:rPr>
      </w:pPr>
    </w:p>
    <w:p w14:paraId="7DC86574" w14:textId="77777777" w:rsidR="00F12081" w:rsidRPr="0089728B" w:rsidRDefault="00987A8C" w:rsidP="0072405D">
      <w:pPr>
        <w:spacing w:line="360" w:lineRule="auto"/>
        <w:contextualSpacing/>
        <w:rPr>
          <w:rFonts w:ascii="Times New Roman" w:hAnsi="Times New Roman" w:cs="Times New Roman"/>
          <w:b/>
          <w:bCs/>
          <w:lang w:val="en-US"/>
        </w:rPr>
      </w:pPr>
      <w:r w:rsidRPr="0089728B">
        <w:rPr>
          <w:rFonts w:ascii="Times New Roman" w:hAnsi="Times New Roman" w:cs="Times New Roman"/>
          <w:b/>
          <w:bCs/>
          <w:sz w:val="24"/>
          <w:lang w:val="en-GB"/>
        </w:rPr>
        <w:t xml:space="preserve">Cross validation </w:t>
      </w:r>
    </w:p>
    <w:p w14:paraId="0BE90183" w14:textId="77777777" w:rsidR="00F12081" w:rsidRPr="0089728B" w:rsidRDefault="00987A8C" w:rsidP="0072405D">
      <w:pPr>
        <w:spacing w:line="360" w:lineRule="auto"/>
        <w:contextualSpacing/>
        <w:rPr>
          <w:rFonts w:ascii="Times New Roman" w:hAnsi="Times New Roman" w:cs="Times New Roman"/>
          <w:sz w:val="24"/>
          <w:szCs w:val="24"/>
          <w:lang w:val="en-GB"/>
        </w:rPr>
      </w:pPr>
      <w:r w:rsidRPr="0089728B">
        <w:rPr>
          <w:rFonts w:ascii="Times New Roman" w:hAnsi="Times New Roman" w:cs="Times New Roman"/>
          <w:sz w:val="24"/>
          <w:szCs w:val="24"/>
          <w:lang w:val="en-US"/>
        </w:rPr>
        <w:t xml:space="preserve">To select the values of </w:t>
      </w:r>
      <w:r w:rsidRPr="0089728B">
        <w:rPr>
          <w:rFonts w:ascii="Times New Roman" w:hAnsi="Times New Roman" w:cs="Times New Roman"/>
          <w:sz w:val="24"/>
          <w:szCs w:val="24"/>
          <w:lang w:val="en-GB"/>
        </w:rPr>
        <w:t>λ and τ</w:t>
      </w:r>
      <w:r w:rsidRPr="0089728B">
        <w:rPr>
          <w:rFonts w:ascii="Times New Roman" w:hAnsi="Times New Roman" w:cs="Times New Roman"/>
          <w:sz w:val="24"/>
          <w:szCs w:val="24"/>
          <w:lang w:val="en-US"/>
        </w:rPr>
        <w:t>, a double cross-validation was performed. First, one of the time points of the protein measurements was removed from the set, leaving only 5 data points. Secondly, a leave-one out cross-validation was performed on the remaining 5 time points, giving an estimate of the accuracy of the model approach given a time delay and a lambda value for the penalty term in the Lasso operator. We used the 200 time-delays ranging between 0 and 24h, and a varying set of lambda parameters (increased until all parameters equaled zero). Thirdly, the time delay and penalisation that generated the smallest average squared residuals between the second cross-validation and the data were chosen and used to predict the 6</w:t>
      </w:r>
      <w:r w:rsidRPr="0089728B">
        <w:rPr>
          <w:rFonts w:ascii="Times New Roman" w:hAnsi="Times New Roman" w:cs="Times New Roman"/>
          <w:sz w:val="24"/>
          <w:szCs w:val="24"/>
          <w:vertAlign w:val="superscript"/>
          <w:lang w:val="en-US"/>
        </w:rPr>
        <w:t>th</w:t>
      </w:r>
      <w:r w:rsidRPr="0089728B">
        <w:rPr>
          <w:rFonts w:ascii="Times New Roman" w:hAnsi="Times New Roman" w:cs="Times New Roman"/>
          <w:sz w:val="24"/>
          <w:szCs w:val="24"/>
          <w:lang w:val="en-US"/>
        </w:rPr>
        <w:t xml:space="preserve"> data point from splice variants. Fourth, this double cross-validation procedure was repeated for all 6 data points. </w:t>
      </w:r>
    </w:p>
    <w:p w14:paraId="04EBC780" w14:textId="77777777" w:rsidR="00F12081" w:rsidRPr="0089728B" w:rsidRDefault="00F12081" w:rsidP="0072405D">
      <w:pPr>
        <w:spacing w:line="360" w:lineRule="auto"/>
        <w:contextualSpacing/>
        <w:rPr>
          <w:rFonts w:ascii="Times New Roman" w:hAnsi="Times New Roman" w:cs="Times New Roman"/>
          <w:sz w:val="24"/>
          <w:lang w:val="en-GB"/>
        </w:rPr>
      </w:pPr>
    </w:p>
    <w:p w14:paraId="645122DC" w14:textId="77777777" w:rsidR="00F12081" w:rsidRPr="0089728B" w:rsidRDefault="00F12081" w:rsidP="0072405D">
      <w:pPr>
        <w:pStyle w:val="Ingetavstnd"/>
        <w:spacing w:line="360" w:lineRule="auto"/>
        <w:jc w:val="both"/>
        <w:rPr>
          <w:lang w:val="en-GB"/>
        </w:rPr>
      </w:pPr>
    </w:p>
    <w:p w14:paraId="17B335F4" w14:textId="77777777" w:rsidR="00F12081" w:rsidRPr="0089728B" w:rsidRDefault="00987A8C" w:rsidP="0072405D">
      <w:pPr>
        <w:pStyle w:val="Ingetavstnd"/>
        <w:spacing w:line="360" w:lineRule="auto"/>
        <w:jc w:val="both"/>
        <w:rPr>
          <w:rFonts w:ascii="Arial" w:hAnsi="Arial" w:cs="Arial"/>
          <w:b/>
          <w:bCs/>
          <w:sz w:val="28"/>
          <w:szCs w:val="24"/>
          <w:lang w:val="en-GB"/>
        </w:rPr>
      </w:pPr>
      <w:r w:rsidRPr="0089728B">
        <w:rPr>
          <w:rFonts w:ascii="Arial" w:hAnsi="Arial" w:cs="Arial"/>
          <w:b/>
          <w:bCs/>
          <w:sz w:val="28"/>
          <w:szCs w:val="24"/>
          <w:lang w:val="en-GB"/>
        </w:rPr>
        <w:t>Protein validation</w:t>
      </w:r>
    </w:p>
    <w:p w14:paraId="512997EC" w14:textId="77777777" w:rsidR="00F12081" w:rsidRPr="0089728B" w:rsidRDefault="00F12081" w:rsidP="0072405D">
      <w:pPr>
        <w:spacing w:line="360" w:lineRule="auto"/>
        <w:contextualSpacing/>
        <w:rPr>
          <w:rFonts w:ascii="Arial" w:hAnsi="Arial" w:cs="Arial"/>
          <w:b/>
          <w:bCs/>
          <w:lang w:val="en-GB"/>
        </w:rPr>
      </w:pPr>
    </w:p>
    <w:p w14:paraId="43B6211C" w14:textId="77777777" w:rsidR="00F12081" w:rsidRPr="0089728B" w:rsidRDefault="00987A8C" w:rsidP="0072405D">
      <w:pPr>
        <w:spacing w:beforeAutospacing="1" w:afterAutospacing="1" w:line="360" w:lineRule="auto"/>
        <w:rPr>
          <w:rFonts w:ascii="Arial" w:eastAsia="Times New Roman" w:hAnsi="Arial" w:cs="Arial"/>
          <w:b/>
          <w:color w:val="000000"/>
          <w:lang w:val="en-GB"/>
        </w:rPr>
      </w:pPr>
      <w:r w:rsidRPr="0089728B">
        <w:rPr>
          <w:rFonts w:ascii="Arial" w:eastAsia="Times New Roman" w:hAnsi="Arial" w:cs="Arial"/>
          <w:b/>
          <w:color w:val="000000"/>
          <w:lang w:val="en-GB"/>
        </w:rPr>
        <w:t xml:space="preserve">Patients and controls </w:t>
      </w:r>
    </w:p>
    <w:p w14:paraId="3D2109FC" w14:textId="2D5EAD87" w:rsidR="00F12081" w:rsidRPr="0089728B" w:rsidRDefault="00987A8C" w:rsidP="0072405D">
      <w:pPr>
        <w:spacing w:line="360" w:lineRule="auto"/>
        <w:rPr>
          <w:lang w:val="en-US"/>
        </w:rPr>
      </w:pPr>
      <w:r w:rsidRPr="0089728B">
        <w:rPr>
          <w:rFonts w:ascii="Times New Roman" w:eastAsia="Times New Roman" w:hAnsi="Times New Roman" w:cs="Times New Roman"/>
          <w:sz w:val="24"/>
          <w:lang w:val="en-GB"/>
        </w:rPr>
        <w:t>Cerebrospinal fluid (CSF) was collected from a cohort of 41 patients with newly diagnosed clinically isolated syndrome (CIS) or relapsing remitting MS (RRMS) (</w:t>
      </w:r>
      <w:r w:rsidR="003A77BE">
        <w:rPr>
          <w:rFonts w:ascii="Times New Roman" w:eastAsia="Times New Roman" w:hAnsi="Times New Roman" w:cs="Times New Roman"/>
          <w:b/>
          <w:sz w:val="24"/>
          <w:lang w:val="en-GB"/>
        </w:rPr>
        <w:t>T</w:t>
      </w:r>
      <w:r w:rsidRPr="001F065A">
        <w:rPr>
          <w:rFonts w:ascii="Times New Roman" w:eastAsia="Times New Roman" w:hAnsi="Times New Roman" w:cs="Times New Roman"/>
          <w:b/>
          <w:sz w:val="24"/>
          <w:lang w:val="en-GB"/>
        </w:rPr>
        <w:t>able S</w:t>
      </w:r>
      <w:r w:rsidR="003A77BE">
        <w:rPr>
          <w:rFonts w:ascii="Times New Roman" w:eastAsia="Times New Roman" w:hAnsi="Times New Roman" w:cs="Times New Roman"/>
          <w:b/>
          <w:sz w:val="24"/>
          <w:lang w:val="en-GB"/>
        </w:rPr>
        <w:t>5</w:t>
      </w:r>
      <w:r w:rsidRPr="0089728B">
        <w:rPr>
          <w:rFonts w:ascii="Times New Roman" w:eastAsia="Times New Roman" w:hAnsi="Times New Roman" w:cs="Times New Roman"/>
          <w:sz w:val="24"/>
          <w:lang w:val="en-GB"/>
        </w:rPr>
        <w:t>) that has been described in more detail elsewhere</w:t>
      </w:r>
      <w:r w:rsidR="006C2643" w:rsidRPr="0089728B">
        <w:rPr>
          <w:rFonts w:ascii="Times New Roman" w:eastAsia="Times New Roman" w:hAnsi="Times New Roman" w:cs="Times New Roman"/>
          <w:sz w:val="24"/>
          <w:lang w:val="en-GB"/>
        </w:rPr>
        <w:t xml:space="preserve"> </w:t>
      </w:r>
      <w:r w:rsidR="006C2643" w:rsidRPr="0089728B">
        <w:rPr>
          <w:rFonts w:ascii="Times New Roman" w:eastAsia="Times New Roman" w:hAnsi="Times New Roman" w:cs="Times New Roman"/>
          <w:sz w:val="24"/>
          <w:lang w:val="en-GB"/>
        </w:rPr>
        <w:fldChar w:fldCharType="begin">
          <w:fldData xml:space="preserve">PEVuZE5vdGU+PENpdGU+PEF1dGhvcj5Iw6VrYW5zc29uPC9BdXRob3I+PFllYXI+MjAxODwvWWVh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</w:fldData>
        </w:fldChar>
      </w:r>
      <w:r w:rsidR="006C2643" w:rsidRPr="0089728B">
        <w:rPr>
          <w:rFonts w:ascii="Times New Roman" w:eastAsia="Times New Roman" w:hAnsi="Times New Roman" w:cs="Times New Roman"/>
          <w:sz w:val="24"/>
          <w:lang w:val="en-GB"/>
        </w:rPr>
        <w:instrText xml:space="preserve"> ADDIN EN.CITE </w:instrText>
      </w:r>
      <w:r w:rsidR="006C2643" w:rsidRPr="0089728B">
        <w:rPr>
          <w:rFonts w:ascii="Times New Roman" w:eastAsia="Times New Roman" w:hAnsi="Times New Roman" w:cs="Times New Roman"/>
          <w:sz w:val="24"/>
          <w:lang w:val="en-GB"/>
        </w:rPr>
        <w:fldChar w:fldCharType="begin">
          <w:fldData xml:space="preserve">PEVuZE5vdGU+PENpdGU+PEF1dGhvcj5Iw6VrYW5zc29uPC9BdXRob3I+PFllYXI+MjAxODwvWWVh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</w:fldData>
        </w:fldChar>
      </w:r>
      <w:r w:rsidR="006C2643" w:rsidRPr="0089728B">
        <w:rPr>
          <w:rFonts w:ascii="Times New Roman" w:eastAsia="Times New Roman" w:hAnsi="Times New Roman" w:cs="Times New Roman"/>
          <w:sz w:val="24"/>
          <w:lang w:val="en-GB"/>
        </w:rPr>
        <w:instrText xml:space="preserve"> ADDIN EN.CITE.DATA </w:instrText>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end"/>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separate"/>
      </w:r>
      <w:r w:rsidR="006C2643" w:rsidRPr="0089728B">
        <w:rPr>
          <w:rFonts w:ascii="Times New Roman" w:eastAsia="Times New Roman" w:hAnsi="Times New Roman" w:cs="Times New Roman"/>
          <w:noProof/>
          <w:sz w:val="24"/>
          <w:lang w:val="en-GB"/>
        </w:rPr>
        <w:t>[4]</w:t>
      </w:r>
      <w:r w:rsidR="006C2643" w:rsidRPr="0089728B">
        <w:rPr>
          <w:rFonts w:ascii="Times New Roman" w:eastAsia="Times New Roman" w:hAnsi="Times New Roman" w:cs="Times New Roman"/>
          <w:sz w:val="24"/>
          <w:lang w:val="en-GB"/>
        </w:rPr>
        <w:fldChar w:fldCharType="end"/>
      </w:r>
      <w:r w:rsidRPr="0089728B">
        <w:rPr>
          <w:rFonts w:ascii="Times New Roman" w:eastAsia="Times New Roman" w:hAnsi="Times New Roman" w:cs="Times New Roman"/>
          <w:sz w:val="24"/>
          <w:lang w:val="en-GB"/>
        </w:rPr>
        <w:t>. All patients fulfilled the revised McDonald criteria from 2010</w:t>
      </w:r>
      <w:r w:rsidR="006C2643" w:rsidRPr="0089728B">
        <w:rPr>
          <w:rFonts w:ascii="Times New Roman" w:eastAsia="Times New Roman" w:hAnsi="Times New Roman" w:cs="Times New Roman"/>
          <w:sz w:val="24"/>
          <w:lang w:val="en-GB"/>
        </w:rPr>
        <w:t xml:space="preserve"> </w:t>
      </w:r>
      <w:r w:rsidR="006C2643" w:rsidRPr="0089728B">
        <w:rPr>
          <w:rFonts w:ascii="Times New Roman" w:eastAsia="Times New Roman" w:hAnsi="Times New Roman" w:cs="Times New Roman"/>
          <w:sz w:val="24"/>
          <w:lang w:val="en-GB"/>
        </w:rPr>
        <w:fldChar w:fldCharType="begin">
          <w:fldData xml:space="preserve">PEVuZE5vdGU+PENpdGU+PEF1dGhvcj5Qb2xtYW48L0F1dGhvcj48WWVhcj4yMDExPC9ZZWFyPjxS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</w:fldData>
        </w:fldChar>
      </w:r>
      <w:r w:rsidR="006C2643" w:rsidRPr="0089728B">
        <w:rPr>
          <w:rFonts w:ascii="Times New Roman" w:eastAsia="Times New Roman" w:hAnsi="Times New Roman" w:cs="Times New Roman"/>
          <w:sz w:val="24"/>
          <w:lang w:val="en-GB"/>
        </w:rPr>
        <w:instrText xml:space="preserve"> ADDIN EN.CITE </w:instrText>
      </w:r>
      <w:r w:rsidR="006C2643" w:rsidRPr="0089728B">
        <w:rPr>
          <w:rFonts w:ascii="Times New Roman" w:eastAsia="Times New Roman" w:hAnsi="Times New Roman" w:cs="Times New Roman"/>
          <w:sz w:val="24"/>
          <w:lang w:val="en-GB"/>
        </w:rPr>
        <w:fldChar w:fldCharType="begin">
          <w:fldData xml:space="preserve">PEVuZE5vdGU+PENpdGU+PEF1dGhvcj5Qb2xtYW48L0F1dGhvcj48WWVhcj4yMDExPC9ZZWFyPjxS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</w:fldData>
        </w:fldChar>
      </w:r>
      <w:r w:rsidR="006C2643" w:rsidRPr="0089728B">
        <w:rPr>
          <w:rFonts w:ascii="Times New Roman" w:eastAsia="Times New Roman" w:hAnsi="Times New Roman" w:cs="Times New Roman"/>
          <w:sz w:val="24"/>
          <w:lang w:val="en-GB"/>
        </w:rPr>
        <w:instrText xml:space="preserve"> ADDIN EN.CITE.DATA </w:instrText>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end"/>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separate"/>
      </w:r>
      <w:r w:rsidR="006C2643" w:rsidRPr="0089728B">
        <w:rPr>
          <w:rFonts w:ascii="Times New Roman" w:eastAsia="Times New Roman" w:hAnsi="Times New Roman" w:cs="Times New Roman"/>
          <w:noProof/>
          <w:sz w:val="24"/>
          <w:lang w:val="en-GB"/>
        </w:rPr>
        <w:t>[5]</w:t>
      </w:r>
      <w:r w:rsidR="006C2643" w:rsidRPr="0089728B">
        <w:rPr>
          <w:rFonts w:ascii="Times New Roman" w:eastAsia="Times New Roman" w:hAnsi="Times New Roman" w:cs="Times New Roman"/>
          <w:sz w:val="24"/>
          <w:lang w:val="en-GB"/>
        </w:rPr>
        <w:fldChar w:fldCharType="end"/>
      </w:r>
      <w:r w:rsidRPr="0089728B">
        <w:rPr>
          <w:rFonts w:ascii="Times New Roman" w:eastAsia="Times New Roman" w:hAnsi="Times New Roman" w:cs="Times New Roman"/>
          <w:sz w:val="24"/>
          <w:lang w:val="en-GB"/>
        </w:rPr>
        <w:t>. The patients were followed, and new samples obtained after one, two and four years. Disease activity was assessed using “no evidence of disease activity” (NEDA), defined by no clinical relapses, no sustained EDSS progression and no new T2 or Gadolinium enhancing lesions. 12 patients at the two year- and 7 patients at the four-year follow-up were classified as NEDA, whereas patients with relapses, brain MRI activity and sustained disease progression were classified as “evidence of disease activity” (EDA; n=27 and n=32 at two and four years, respectively). Two patients did not complete the study</w:t>
      </w:r>
      <w:r w:rsidR="006C2643" w:rsidRPr="0089728B">
        <w:rPr>
          <w:rFonts w:ascii="Times New Roman" w:eastAsia="Times New Roman" w:hAnsi="Times New Roman" w:cs="Times New Roman"/>
          <w:sz w:val="24"/>
          <w:lang w:val="en-GB"/>
        </w:rPr>
        <w:t xml:space="preserve"> </w:t>
      </w:r>
      <w:r w:rsidR="006C2643" w:rsidRPr="0089728B">
        <w:rPr>
          <w:rFonts w:ascii="Times New Roman" w:eastAsia="Times New Roman" w:hAnsi="Times New Roman" w:cs="Times New Roman"/>
          <w:sz w:val="24"/>
          <w:lang w:val="en-GB"/>
        </w:rPr>
        <w:fldChar w:fldCharType="begin">
          <w:fldData xml:space="preserve">PEVuZE5vdGU+PENpdGU+PEF1dGhvcj5Iw6VrYW5zc29uPC9BdXRob3I+PFllYXI+MjAxODwvWWVh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</w:fldData>
        </w:fldChar>
      </w:r>
      <w:r w:rsidR="006C2643" w:rsidRPr="0089728B">
        <w:rPr>
          <w:rFonts w:ascii="Times New Roman" w:eastAsia="Times New Roman" w:hAnsi="Times New Roman" w:cs="Times New Roman"/>
          <w:sz w:val="24"/>
          <w:lang w:val="en-GB"/>
        </w:rPr>
        <w:instrText xml:space="preserve"> ADDIN EN.CITE </w:instrText>
      </w:r>
      <w:r w:rsidR="006C2643" w:rsidRPr="0089728B">
        <w:rPr>
          <w:rFonts w:ascii="Times New Roman" w:eastAsia="Times New Roman" w:hAnsi="Times New Roman" w:cs="Times New Roman"/>
          <w:sz w:val="24"/>
          <w:lang w:val="en-GB"/>
        </w:rPr>
        <w:fldChar w:fldCharType="begin">
          <w:fldData xml:space="preserve">PEVuZE5vdGU+PENpdGU+PEF1dGhvcj5Iw6VrYW5zc29uPC9BdXRob3I+PFllYXI+MjAxODwvWWVh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</w:fldData>
        </w:fldChar>
      </w:r>
      <w:r w:rsidR="006C2643" w:rsidRPr="0089728B">
        <w:rPr>
          <w:rFonts w:ascii="Times New Roman" w:eastAsia="Times New Roman" w:hAnsi="Times New Roman" w:cs="Times New Roman"/>
          <w:sz w:val="24"/>
          <w:lang w:val="en-GB"/>
        </w:rPr>
        <w:instrText xml:space="preserve"> ADDIN EN.CITE.DATA </w:instrText>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end"/>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separate"/>
      </w:r>
      <w:r w:rsidR="006C2643" w:rsidRPr="0089728B">
        <w:rPr>
          <w:rFonts w:ascii="Times New Roman" w:eastAsia="Times New Roman" w:hAnsi="Times New Roman" w:cs="Times New Roman"/>
          <w:noProof/>
          <w:sz w:val="24"/>
          <w:lang w:val="en-GB"/>
        </w:rPr>
        <w:t>[4]</w:t>
      </w:r>
      <w:r w:rsidR="006C2643" w:rsidRPr="0089728B">
        <w:rPr>
          <w:rFonts w:ascii="Times New Roman" w:eastAsia="Times New Roman" w:hAnsi="Times New Roman" w:cs="Times New Roman"/>
          <w:sz w:val="24"/>
          <w:lang w:val="en-GB"/>
        </w:rPr>
        <w:fldChar w:fldCharType="end"/>
      </w:r>
      <w:r w:rsidRPr="0089728B">
        <w:rPr>
          <w:rFonts w:ascii="Times New Roman" w:eastAsia="Times New Roman" w:hAnsi="Times New Roman" w:cs="Times New Roman"/>
          <w:sz w:val="24"/>
          <w:lang w:val="en-GB"/>
        </w:rPr>
        <w:t>. Twenty-three healthy age-and sex-matched blood donors were included as controls. A second cohort of CSF samples from 16 Natalizumab-treated patients with RRMS or secondary progressive MS (SPMS) was also included. CSF samples were obtained (out of a total of ≈70 included patients with RRMS or SPMS) before and after one year of treatment with Natalizumab were also included in the study (table S</w:t>
      </w:r>
      <w:r w:rsidR="006C2643" w:rsidRPr="0089728B">
        <w:rPr>
          <w:rFonts w:ascii="Times New Roman" w:eastAsia="Times New Roman" w:hAnsi="Times New Roman" w:cs="Times New Roman"/>
          <w:sz w:val="24"/>
          <w:lang w:val="en-GB"/>
        </w:rPr>
        <w:t>1</w:t>
      </w:r>
      <w:r w:rsidRPr="0089728B">
        <w:rPr>
          <w:rFonts w:ascii="Times New Roman" w:eastAsia="Times New Roman" w:hAnsi="Times New Roman" w:cs="Times New Roman"/>
          <w:sz w:val="24"/>
          <w:lang w:val="en-GB"/>
        </w:rPr>
        <w:t>). This study cohort has been described previously</w:t>
      </w:r>
      <w:r w:rsidR="006C2643" w:rsidRPr="0089728B">
        <w:rPr>
          <w:rFonts w:ascii="Times New Roman" w:eastAsia="Times New Roman" w:hAnsi="Times New Roman" w:cs="Times New Roman"/>
          <w:sz w:val="24"/>
          <w:lang w:val="en-GB"/>
        </w:rPr>
        <w:t xml:space="preserve"> </w:t>
      </w:r>
      <w:r w:rsidR="006C2643" w:rsidRPr="0089728B">
        <w:rPr>
          <w:rFonts w:ascii="Times New Roman" w:eastAsia="Times New Roman" w:hAnsi="Times New Roman" w:cs="Times New Roman"/>
          <w:sz w:val="24"/>
          <w:lang w:val="en-GB"/>
        </w:rPr>
        <w:fldChar w:fldCharType="begin">
          <w:fldData xml:space="preserve">PEVuZE5vdGU+PENpdGU+PEF1dGhvcj5NZWxsZXJnw6VyZDwvQXV0aG9yPjxZZWFyPjIwMTA8L1ll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</w:fldData>
        </w:fldChar>
      </w:r>
      <w:r w:rsidR="006C2643" w:rsidRPr="0089728B">
        <w:rPr>
          <w:rFonts w:ascii="Times New Roman" w:eastAsia="Times New Roman" w:hAnsi="Times New Roman" w:cs="Times New Roman"/>
          <w:sz w:val="24"/>
          <w:lang w:val="en-GB"/>
        </w:rPr>
        <w:instrText xml:space="preserve"> ADDIN EN.CITE </w:instrText>
      </w:r>
      <w:r w:rsidR="006C2643" w:rsidRPr="0089728B">
        <w:rPr>
          <w:rFonts w:ascii="Times New Roman" w:eastAsia="Times New Roman" w:hAnsi="Times New Roman" w:cs="Times New Roman"/>
          <w:sz w:val="24"/>
          <w:lang w:val="en-GB"/>
        </w:rPr>
        <w:fldChar w:fldCharType="begin">
          <w:fldData xml:space="preserve">PEVuZE5vdGU+PENpdGU+PEF1dGhvcj5NZWxsZXJnw6VyZDwvQXV0aG9yPjxZZWFyPjIwMTA8L1ll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</w:fldData>
        </w:fldChar>
      </w:r>
      <w:r w:rsidR="006C2643" w:rsidRPr="0089728B">
        <w:rPr>
          <w:rFonts w:ascii="Times New Roman" w:eastAsia="Times New Roman" w:hAnsi="Times New Roman" w:cs="Times New Roman"/>
          <w:sz w:val="24"/>
          <w:lang w:val="en-GB"/>
        </w:rPr>
        <w:instrText xml:space="preserve"> ADDIN EN.CITE.DATA </w:instrText>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end"/>
      </w:r>
      <w:r w:rsidR="006C2643" w:rsidRPr="0089728B">
        <w:rPr>
          <w:rFonts w:ascii="Times New Roman" w:eastAsia="Times New Roman" w:hAnsi="Times New Roman" w:cs="Times New Roman"/>
          <w:sz w:val="24"/>
          <w:lang w:val="en-GB"/>
        </w:rPr>
      </w:r>
      <w:r w:rsidR="006C2643" w:rsidRPr="0089728B">
        <w:rPr>
          <w:rFonts w:ascii="Times New Roman" w:eastAsia="Times New Roman" w:hAnsi="Times New Roman" w:cs="Times New Roman"/>
          <w:sz w:val="24"/>
          <w:lang w:val="en-GB"/>
        </w:rPr>
        <w:fldChar w:fldCharType="separate"/>
      </w:r>
      <w:r w:rsidR="006C2643" w:rsidRPr="0089728B">
        <w:rPr>
          <w:rFonts w:ascii="Times New Roman" w:eastAsia="Times New Roman" w:hAnsi="Times New Roman" w:cs="Times New Roman"/>
          <w:noProof/>
          <w:sz w:val="24"/>
          <w:lang w:val="en-GB"/>
        </w:rPr>
        <w:t>[6-8]</w:t>
      </w:r>
      <w:r w:rsidR="006C2643" w:rsidRPr="0089728B">
        <w:rPr>
          <w:rFonts w:ascii="Times New Roman" w:eastAsia="Times New Roman" w:hAnsi="Times New Roman" w:cs="Times New Roman"/>
          <w:sz w:val="24"/>
          <w:lang w:val="en-GB"/>
        </w:rPr>
        <w:fldChar w:fldCharType="end"/>
      </w:r>
      <w:r w:rsidRPr="0089728B">
        <w:rPr>
          <w:rFonts w:ascii="Times New Roman" w:eastAsia="Times New Roman" w:hAnsi="Times New Roman" w:cs="Times New Roman"/>
          <w:sz w:val="24"/>
          <w:lang w:val="en-GB"/>
        </w:rPr>
        <w:t xml:space="preserve">. All patients were recruited at the Department of Neurology, Linköping, University Hospital Sweden and both patients and controls gave written consent prior to inclusion. The study was approved by The Regional Ethics Committee in Linköping. </w:t>
      </w:r>
    </w:p>
    <w:p w14:paraId="3788E815" w14:textId="77777777" w:rsidR="00F12081" w:rsidRPr="0089728B" w:rsidRDefault="00987A8C" w:rsidP="0072405D">
      <w:pPr>
        <w:spacing w:beforeAutospacing="1" w:afterAutospacing="1" w:line="360" w:lineRule="auto"/>
        <w:rPr>
          <w:rFonts w:ascii="Arial" w:eastAsia="Times New Roman" w:hAnsi="Arial" w:cs="Arial"/>
          <w:b/>
          <w:color w:val="000000"/>
          <w:lang w:val="en-GB"/>
        </w:rPr>
      </w:pPr>
      <w:r w:rsidRPr="0089728B">
        <w:rPr>
          <w:rFonts w:ascii="Arial" w:eastAsia="Times New Roman" w:hAnsi="Arial" w:cs="Arial"/>
          <w:b/>
          <w:color w:val="000000"/>
          <w:lang w:val="en-GB"/>
        </w:rPr>
        <w:t xml:space="preserve">Protein measurements </w:t>
      </w:r>
    </w:p>
    <w:p w14:paraId="1A3C37D0" w14:textId="77777777" w:rsidR="00F12081" w:rsidRPr="0089728B" w:rsidRDefault="00987A8C" w:rsidP="0072405D">
      <w:pPr>
        <w:spacing w:beforeAutospacing="1" w:afterAutospacing="1" w:line="360" w:lineRule="auto"/>
        <w:rPr>
          <w:lang w:val="en-GB"/>
        </w:rPr>
      </w:pPr>
      <w:r w:rsidRPr="0089728B">
        <w:rPr>
          <w:rFonts w:ascii="Times New Roman" w:eastAsia="Times New Roman" w:hAnsi="Times New Roman" w:cs="Times New Roman"/>
          <w:color w:val="000000"/>
          <w:sz w:val="24"/>
          <w:lang w:val="en-GB"/>
        </w:rPr>
        <w:t xml:space="preserve">Quantification of sCD27 was performed using the Human Instant ELISA™ kit from eBioscience (Thermo Fischer Scientific, Waltham, MA, USA) according to the instructions provided by the manufacturer. The optical densities (O.D.) were read at 450 nm with a wavelength correction at 620 nm in a Sunrise™ microplate reader (Tecan, Shanghai, China). Data acquisition was performed using Magellan™ version 7.1 computer software (Tecan). The lowest detection limit was 0.63 U/ml and values below the detection limit were given half the value of the detection limit. Statistical differences were determined using Mann-Whitney U-test or Wilcoxon matched-pairs signed rank test (Graphpad Prism v7.04, San Diego, CA, </w:t>
      </w:r>
      <w:r w:rsidRPr="0089728B">
        <w:rPr>
          <w:rFonts w:ascii="Times New Roman" w:eastAsia="Times New Roman" w:hAnsi="Times New Roman" w:cs="Times New Roman"/>
          <w:color w:val="000000"/>
          <w:sz w:val="24"/>
          <w:lang w:val="en-GB"/>
        </w:rPr>
        <w:lastRenderedPageBreak/>
        <w:t xml:space="preserve">USA) Annexin A1, measured by the human Annexin A1 ELISA kit (Abcam, Cambridge, United Kingdom), was undetectable in all analyzed samples (n=32, of whom n=16 were included before and 16 after one year of treatment with Natalizumab). Multiplex Bead Technology (MILLIPLEX® MAP Kit, Cat. #: HCYTOMAG-60K-01, Merck Millipore, Burlington, MA, USA) was used to measure soluble CD40L according to the manufacturer's description. The samples were analysed on a Luminex®200™ instrument (Invitrogen, Carlsbad, CA, USA) and data was collected using xPONENT 3.1™ (Luminex Corporation, Austin, TX, USA) analysed using the MasterPlex® Reader Fit (MiraiBio Group, Hitachi Solutions America Ltd, San Bruno, CA, USA). The lowest detection limit was 1.6 pg/ml and values below the detection limit were given half the value of the detection limit. sCD40L concentration was below the lowest detection limit in 71 out of 96 samples (74% undetectable) and was therefore considered as undetectable. </w:t>
      </w:r>
    </w:p>
    <w:p w14:paraId="1335D34C" w14:textId="77777777" w:rsidR="00F12081" w:rsidRPr="0089728B" w:rsidRDefault="00987A8C">
      <w:pPr>
        <w:pStyle w:val="Rubrik"/>
        <w:rPr>
          <w:rFonts w:ascii="Arial" w:hAnsi="Arial" w:cs="Arial"/>
          <w:sz w:val="32"/>
          <w:szCs w:val="32"/>
          <w:lang w:val="en-GB"/>
        </w:rPr>
      </w:pPr>
      <w:r w:rsidRPr="0089728B">
        <w:rPr>
          <w:rFonts w:ascii="Arial" w:hAnsi="Arial" w:cs="Arial"/>
          <w:sz w:val="32"/>
          <w:szCs w:val="32"/>
          <w:lang w:val="en-GB"/>
        </w:rPr>
        <w:t>References</w:t>
      </w:r>
    </w:p>
    <w:p w14:paraId="0DC1A606" w14:textId="77777777" w:rsidR="00A44B35" w:rsidRPr="0089728B" w:rsidRDefault="006C2643" w:rsidP="00A44B35">
      <w:pPr>
        <w:pStyle w:val="EndNoteBibliography"/>
        <w:spacing w:after="240"/>
        <w:rPr>
          <w:noProof/>
        </w:rPr>
      </w:pPr>
      <w:r w:rsidRPr="0089728B">
        <w:fldChar w:fldCharType="begin"/>
      </w:r>
      <w:r w:rsidRPr="0089728B">
        <w:instrText xml:space="preserve"> ADDIN EN.REFLIST </w:instrText>
      </w:r>
      <w:r w:rsidRPr="0089728B">
        <w:fldChar w:fldCharType="separate"/>
      </w:r>
      <w:r w:rsidR="00A44B35" w:rsidRPr="0089728B">
        <w:rPr>
          <w:noProof/>
        </w:rPr>
        <w:t>1.</w:t>
      </w:r>
      <w:r w:rsidR="00A44B35" w:rsidRPr="0089728B">
        <w:rPr>
          <w:noProof/>
        </w:rPr>
        <w:tab/>
        <w:t>Fabian Pedregosa GV, Alexandre Gramfort, Vincent Michel, Bertrand Thirion, Olivier Grisel, Mathieu Blondel, Peter Prettenhofer, Ron Weiss, Vincent Dubourg, Jake Vanderplas, Alexandre Passos, David Cournapeau, Matthieu Brucher, Matthieu Perrot, Édouard Duchesnay. Scikit-learn: Machine Learning in Python. JMLR. 2011;12:2825−30.</w:t>
      </w:r>
    </w:p>
    <w:p w14:paraId="1274490F" w14:textId="77777777" w:rsidR="00A44B35" w:rsidRPr="0089728B" w:rsidRDefault="00A44B35" w:rsidP="00A44B35">
      <w:pPr>
        <w:pStyle w:val="EndNoteBibliography"/>
        <w:spacing w:after="240"/>
        <w:rPr>
          <w:noProof/>
        </w:rPr>
      </w:pPr>
      <w:r w:rsidRPr="0089728B">
        <w:rPr>
          <w:noProof/>
        </w:rPr>
        <w:t>2.</w:t>
      </w:r>
      <w:r w:rsidRPr="0089728B">
        <w:rPr>
          <w:noProof/>
        </w:rPr>
        <w:tab/>
        <w:t>Tibshirani R. Regression Shrinkage and Selection via the Lasso. Journal of the Royal Statistical Society Series B (Methodological). 1996;58(1):267-88.</w:t>
      </w:r>
    </w:p>
    <w:p w14:paraId="5F943BB3" w14:textId="77777777" w:rsidR="00A44B35" w:rsidRPr="0089728B" w:rsidRDefault="00A44B35" w:rsidP="00A44B35">
      <w:pPr>
        <w:pStyle w:val="EndNoteBibliography"/>
        <w:spacing w:after="240"/>
        <w:rPr>
          <w:noProof/>
          <w:lang w:val="sv-SE"/>
        </w:rPr>
      </w:pPr>
      <w:r w:rsidRPr="0089728B">
        <w:rPr>
          <w:noProof/>
        </w:rPr>
        <w:t>3.</w:t>
      </w:r>
      <w:r w:rsidRPr="0089728B">
        <w:rPr>
          <w:noProof/>
        </w:rPr>
        <w:tab/>
        <w:t xml:space="preserve">Schmidt A, Marabita F, Kiani NA, Gross CC, Johansson HJ, Elias S, et al. Time-resolved transcriptome and proteome landscape of human regulatory T cell (Treg) differentiation reveals novel regulators of FOXP3. </w:t>
      </w:r>
      <w:r w:rsidRPr="0089728B">
        <w:rPr>
          <w:noProof/>
          <w:lang w:val="sv-SE"/>
        </w:rPr>
        <w:t>BMC Biol. 2018;16(1):47.</w:t>
      </w:r>
    </w:p>
    <w:p w14:paraId="38A066CE" w14:textId="77777777" w:rsidR="00A44B35" w:rsidRPr="0089728B" w:rsidRDefault="00A44B35" w:rsidP="00A44B35">
      <w:pPr>
        <w:pStyle w:val="EndNoteBibliography"/>
        <w:spacing w:after="240"/>
        <w:rPr>
          <w:noProof/>
        </w:rPr>
      </w:pPr>
      <w:r w:rsidRPr="0089728B">
        <w:rPr>
          <w:noProof/>
          <w:lang w:val="sv-SE"/>
        </w:rPr>
        <w:t>4.</w:t>
      </w:r>
      <w:r w:rsidRPr="0089728B">
        <w:rPr>
          <w:noProof/>
          <w:lang w:val="sv-SE"/>
        </w:rPr>
        <w:tab/>
        <w:t xml:space="preserve">Håkansson I, Tisell A, Cassel P, Blennow K, Zetterberg H, Lundberg P, et al. </w:t>
      </w:r>
      <w:r w:rsidRPr="0089728B">
        <w:rPr>
          <w:noProof/>
        </w:rPr>
        <w:t>Neurofilament levels, disease activity and brain volume during follow-up in multiple sclerosis. J Neuroinflammation. 2018;15(1):209.</w:t>
      </w:r>
    </w:p>
    <w:p w14:paraId="23C183DA" w14:textId="77777777" w:rsidR="00A44B35" w:rsidRPr="0089728B" w:rsidRDefault="00A44B35" w:rsidP="00A44B35">
      <w:pPr>
        <w:pStyle w:val="EndNoteBibliography"/>
        <w:spacing w:after="240"/>
        <w:rPr>
          <w:noProof/>
        </w:rPr>
      </w:pPr>
      <w:r w:rsidRPr="0089728B">
        <w:rPr>
          <w:noProof/>
        </w:rPr>
        <w:t>5.</w:t>
      </w:r>
      <w:r w:rsidRPr="0089728B">
        <w:rPr>
          <w:noProof/>
        </w:rPr>
        <w:tab/>
        <w:t>Polman CH, Reingold SC, Banwell B, Clanet M, Cohen JA, Filippi M, et al. Diagnostic criteria for multiple sclerosis: 2010 revisions to the McDonald criteria. Ann Neurol. 2011;69(2):292-302.</w:t>
      </w:r>
    </w:p>
    <w:p w14:paraId="174DC9FD" w14:textId="77777777" w:rsidR="00A44B35" w:rsidRPr="0089728B" w:rsidRDefault="00A44B35" w:rsidP="00A44B35">
      <w:pPr>
        <w:pStyle w:val="EndNoteBibliography"/>
        <w:spacing w:after="240"/>
        <w:rPr>
          <w:noProof/>
        </w:rPr>
      </w:pPr>
      <w:r w:rsidRPr="0089728B">
        <w:rPr>
          <w:noProof/>
        </w:rPr>
        <w:t>6.</w:t>
      </w:r>
      <w:r w:rsidRPr="0089728B">
        <w:rPr>
          <w:noProof/>
        </w:rPr>
        <w:tab/>
        <w:t>Mellergård J, Edström M, Vrethem M, Ernerudh J, Dahle C. Natalizumab treatment in multiple sclerosis: marked decline of chemokines and cytokines in cerebrospinal fluid. Mult Scler. 2010;16(2):208-17.</w:t>
      </w:r>
    </w:p>
    <w:p w14:paraId="6C12D7E1" w14:textId="77777777" w:rsidR="00A44B35" w:rsidRPr="0089728B" w:rsidRDefault="00A44B35" w:rsidP="00A44B35">
      <w:pPr>
        <w:pStyle w:val="EndNoteBibliography"/>
        <w:spacing w:after="240"/>
        <w:rPr>
          <w:noProof/>
        </w:rPr>
      </w:pPr>
      <w:r w:rsidRPr="0089728B">
        <w:rPr>
          <w:noProof/>
        </w:rPr>
        <w:t>7.</w:t>
      </w:r>
      <w:r w:rsidRPr="0089728B">
        <w:rPr>
          <w:noProof/>
        </w:rPr>
        <w:tab/>
        <w:t>Mellergård J, Edström M, Jenmalm MC, Dahle C, Vrethem M, Ernerudh J. Increased B cell and cytotoxic NK cell proportions and increased T cell responsiveness in blood of natalizumab-treated multiple sclerosis patients. PLoS One. 2013;8(12):e81685.</w:t>
      </w:r>
    </w:p>
    <w:p w14:paraId="4BD20940" w14:textId="77777777" w:rsidR="00A44B35" w:rsidRPr="0089728B" w:rsidRDefault="00A44B35" w:rsidP="00A44B35">
      <w:pPr>
        <w:pStyle w:val="EndNoteBibliography"/>
        <w:spacing w:after="240"/>
        <w:rPr>
          <w:noProof/>
        </w:rPr>
      </w:pPr>
      <w:r w:rsidRPr="0089728B">
        <w:rPr>
          <w:noProof/>
        </w:rPr>
        <w:t>8.</w:t>
      </w:r>
      <w:r w:rsidRPr="0089728B">
        <w:rPr>
          <w:noProof/>
        </w:rPr>
        <w:tab/>
        <w:t>Gustafsson M, Edstrom M, Gawel D, Nestor CE, Wang H, Zhang H, et al. Integrated genomic and prospective clinical studies show the importance of modular pleiotropy for disease susceptibility, diagnosis and treatment. Genome Med. 2014;6(2):17.</w:t>
      </w:r>
    </w:p>
    <w:p w14:paraId="16186734" w14:textId="77777777" w:rsidR="00A44B35" w:rsidRPr="0089728B" w:rsidRDefault="00A44B35" w:rsidP="00A44B35">
      <w:pPr>
        <w:pStyle w:val="EndNoteBibliography"/>
        <w:rPr>
          <w:noProof/>
        </w:rPr>
      </w:pPr>
      <w:r w:rsidRPr="0089728B">
        <w:rPr>
          <w:noProof/>
        </w:rPr>
        <w:lastRenderedPageBreak/>
        <w:t>9.</w:t>
      </w:r>
      <w:r w:rsidRPr="0089728B">
        <w:rPr>
          <w:noProof/>
        </w:rPr>
        <w:tab/>
        <w:t>Dubin J, Müller H-G. Dynamical Correlation for Multivariate Longitudinal Data. Journal of the American Statistical Association. 2015;100(471):872-81.</w:t>
      </w:r>
    </w:p>
    <w:p w14:paraId="02D5D89A" w14:textId="53B9B317" w:rsidR="006C2643" w:rsidRPr="0089728B" w:rsidRDefault="006C2643" w:rsidP="006C2643">
      <w:pPr>
        <w:ind w:left="851" w:hanging="851"/>
        <w:rPr>
          <w:lang w:val="en-US"/>
        </w:rPr>
      </w:pPr>
      <w:r w:rsidRPr="0089728B">
        <w:fldChar w:fldCharType="end"/>
      </w:r>
    </w:p>
    <w:p w14:paraId="6A23F303" w14:textId="77777777" w:rsidR="00F12081" w:rsidRPr="0089728B" w:rsidRDefault="00F12081">
      <w:pPr>
        <w:spacing w:line="276" w:lineRule="auto"/>
        <w:rPr>
          <w:lang w:val="en-US"/>
        </w:rPr>
      </w:pPr>
    </w:p>
    <w:p w14:paraId="002EBC9F" w14:textId="77777777" w:rsidR="00F12081" w:rsidRPr="0089728B" w:rsidRDefault="00987A8C">
      <w:pPr>
        <w:pStyle w:val="Rubrik"/>
        <w:rPr>
          <w:lang w:val="en-US"/>
        </w:rPr>
      </w:pPr>
      <w:r w:rsidRPr="0089728B">
        <w:rPr>
          <w:sz w:val="48"/>
          <w:lang w:val="en-GB"/>
        </w:rPr>
        <w:t>Supplementary results</w:t>
      </w:r>
    </w:p>
    <w:p w14:paraId="1C06BCE9" w14:textId="6148657F" w:rsidR="00F12081" w:rsidRPr="0089728B" w:rsidRDefault="00987A8C">
      <w:pPr>
        <w:spacing w:line="276" w:lineRule="auto"/>
        <w:rPr>
          <w:lang w:val="en-US"/>
        </w:rPr>
      </w:pPr>
      <w:r w:rsidRPr="0089728B">
        <w:rPr>
          <w:rFonts w:ascii="Times New Roman" w:hAnsi="Times New Roman" w:cs="Times New Roman"/>
          <w:sz w:val="24"/>
          <w:szCs w:val="24"/>
          <w:lang w:val="en-US"/>
        </w:rPr>
        <w:t>When constructing the mathematical model</w:t>
      </w:r>
      <w:r w:rsidR="001807BC" w:rsidRPr="0089728B">
        <w:rPr>
          <w:rFonts w:ascii="Times New Roman" w:hAnsi="Times New Roman" w:cs="Times New Roman"/>
          <w:sz w:val="24"/>
          <w:szCs w:val="24"/>
          <w:lang w:val="en-US"/>
        </w:rPr>
        <w:t>,</w:t>
      </w:r>
      <w:r w:rsidRPr="0089728B">
        <w:rPr>
          <w:rFonts w:ascii="Times New Roman" w:hAnsi="Times New Roman" w:cs="Times New Roman"/>
          <w:sz w:val="24"/>
          <w:szCs w:val="24"/>
          <w:lang w:val="en-US"/>
        </w:rPr>
        <w:t xml:space="preserve"> it was noted that there was a small but significant correlation (Pearson rho 0.0538, P=0.00016) between the level of mRNA expression of a transcript and its weight in the model. </w:t>
      </w:r>
    </w:p>
    <w:p w14:paraId="498A035F" w14:textId="6A32D503" w:rsidR="00F12081" w:rsidRDefault="00987A8C">
      <w:pPr>
        <w:pStyle w:val="Rubrik"/>
        <w:rPr>
          <w:lang w:val="en-GB"/>
        </w:rPr>
      </w:pPr>
      <w:r w:rsidRPr="0089728B">
        <w:rPr>
          <w:lang w:val="en-GB"/>
        </w:rPr>
        <w:t>Supplementary Figures</w:t>
      </w:r>
    </w:p>
    <w:p w14:paraId="3B22C8FB" w14:textId="37AE0EAC" w:rsidR="003E3B67" w:rsidRPr="003E3B67" w:rsidRDefault="003E3B67" w:rsidP="003E3B67">
      <w:pPr>
        <w:rPr>
          <w:lang w:val="en-GB"/>
        </w:rPr>
      </w:pPr>
      <w:r w:rsidRPr="003E3B67">
        <w:rPr>
          <w:noProof/>
          <w:lang w:val="en-US"/>
        </w:rPr>
        <w:drawing>
          <wp:inline distT="0" distB="0" distL="0" distR="0" wp14:anchorId="392EC436" wp14:editId="1661A80E">
            <wp:extent cx="5760720" cy="5575256"/>
            <wp:effectExtent l="0" t="0" r="0" b="6985"/>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5575256"/>
                    </a:xfrm>
                    <a:prstGeom prst="rect">
                      <a:avLst/>
                    </a:prstGeom>
                    <a:noFill/>
                    <a:ln>
                      <a:noFill/>
                    </a:ln>
                  </pic:spPr>
                </pic:pic>
              </a:graphicData>
            </a:graphic>
          </wp:inline>
        </w:drawing>
      </w:r>
    </w:p>
    <w:p w14:paraId="59F08E89" w14:textId="18BC0876" w:rsidR="00F12081" w:rsidRPr="0089728B" w:rsidRDefault="00F12081">
      <w:pPr>
        <w:rPr>
          <w:rFonts w:ascii="Arial" w:hAnsi="Arial" w:cs="Arial"/>
          <w:sz w:val="24"/>
          <w:szCs w:val="24"/>
          <w:lang w:val="en-GB"/>
        </w:rPr>
      </w:pPr>
    </w:p>
    <w:p w14:paraId="014A1207" w14:textId="2433EEC8" w:rsidR="00F12081" w:rsidRDefault="00987A8C" w:rsidP="001F065A">
      <w:pPr>
        <w:spacing w:line="360" w:lineRule="auto"/>
        <w:rPr>
          <w:rFonts w:ascii="Times New Roman" w:hAnsi="Times New Roman" w:cs="Times New Roman"/>
          <w:sz w:val="24"/>
          <w:szCs w:val="24"/>
          <w:lang w:val="en-GB"/>
        </w:rPr>
      </w:pPr>
      <w:r w:rsidRPr="004D562C">
        <w:rPr>
          <w:rFonts w:ascii="Times New Roman" w:hAnsi="Times New Roman" w:cs="Times New Roman"/>
          <w:b/>
          <w:sz w:val="24"/>
          <w:szCs w:val="24"/>
          <w:lang w:val="en-GB"/>
        </w:rPr>
        <w:lastRenderedPageBreak/>
        <w:t>Figure S1:</w:t>
      </w:r>
      <w:r w:rsidR="00AC79FA">
        <w:rPr>
          <w:rFonts w:ascii="Times New Roman" w:hAnsi="Times New Roman" w:cs="Times New Roman"/>
          <w:b/>
          <w:sz w:val="24"/>
          <w:szCs w:val="24"/>
          <w:lang w:val="en-GB"/>
        </w:rPr>
        <w:t xml:space="preserve"> </w:t>
      </w:r>
      <w:r w:rsidR="00AC79FA" w:rsidRPr="00BE6E2A">
        <w:rPr>
          <w:rFonts w:ascii="Times New Roman" w:hAnsi="Times New Roman" w:cs="Times New Roman"/>
          <w:b/>
          <w:bCs/>
          <w:sz w:val="24"/>
          <w:szCs w:val="24"/>
          <w:lang w:val="en-GB"/>
        </w:rPr>
        <w:t>Estab</w:t>
      </w:r>
      <w:r w:rsidR="00AC79FA">
        <w:rPr>
          <w:rFonts w:ascii="Times New Roman" w:hAnsi="Times New Roman" w:cs="Times New Roman"/>
          <w:b/>
          <w:bCs/>
          <w:sz w:val="24"/>
          <w:szCs w:val="24"/>
          <w:lang w:val="en-GB"/>
        </w:rPr>
        <w:t>lishment of RNA-seq Time series.</w:t>
      </w:r>
      <w:r w:rsidR="00AC79FA" w:rsidRPr="00BE6E2A">
        <w:rPr>
          <w:rFonts w:ascii="Times New Roman" w:hAnsi="Times New Roman" w:cs="Times New Roman"/>
          <w:b/>
          <w:bCs/>
          <w:sz w:val="24"/>
          <w:szCs w:val="24"/>
          <w:lang w:val="en-GB"/>
        </w:rPr>
        <w:t xml:space="preserve"> </w:t>
      </w:r>
      <w:r w:rsidRPr="001F065A">
        <w:rPr>
          <w:rFonts w:ascii="Times New Roman" w:hAnsi="Times New Roman" w:cs="Times New Roman"/>
          <w:sz w:val="24"/>
          <w:szCs w:val="24"/>
          <w:lang w:val="en-GB"/>
        </w:rPr>
        <w:t>In vitro T</w:t>
      </w:r>
      <w:r w:rsidRPr="001F065A">
        <w:rPr>
          <w:rFonts w:ascii="Times New Roman" w:hAnsi="Times New Roman" w:cs="Times New Roman"/>
          <w:sz w:val="24"/>
          <w:szCs w:val="24"/>
          <w:vertAlign w:val="subscript"/>
          <w:lang w:val="en-GB"/>
        </w:rPr>
        <w:t>H</w:t>
      </w:r>
      <w:r w:rsidRPr="001F065A">
        <w:rPr>
          <w:rFonts w:ascii="Times New Roman" w:hAnsi="Times New Roman" w:cs="Times New Roman"/>
          <w:sz w:val="24"/>
          <w:szCs w:val="24"/>
          <w:lang w:val="en-GB"/>
        </w:rPr>
        <w:t>1 differentiation from naïve T cells resulted in significant consistent upregulation of</w:t>
      </w:r>
      <w:r w:rsidRPr="004D562C">
        <w:rPr>
          <w:rFonts w:ascii="Times New Roman" w:hAnsi="Times New Roman" w:cs="Times New Roman"/>
          <w:b/>
          <w:sz w:val="24"/>
          <w:szCs w:val="24"/>
          <w:lang w:val="en-GB"/>
        </w:rPr>
        <w:t xml:space="preserve"> </w:t>
      </w:r>
      <w:r w:rsidRPr="004D562C">
        <w:rPr>
          <w:rFonts w:ascii="Times New Roman" w:hAnsi="Times New Roman" w:cs="Times New Roman"/>
          <w:i/>
          <w:sz w:val="24"/>
          <w:szCs w:val="24"/>
          <w:lang w:val="en-GB"/>
        </w:rPr>
        <w:t>IL2</w:t>
      </w:r>
      <w:r w:rsidRPr="004D562C">
        <w:rPr>
          <w:rFonts w:ascii="Times New Roman" w:hAnsi="Times New Roman" w:cs="Times New Roman"/>
          <w:sz w:val="24"/>
          <w:szCs w:val="24"/>
          <w:lang w:val="en-GB"/>
        </w:rPr>
        <w:t xml:space="preserve"> and </w:t>
      </w:r>
      <w:r w:rsidRPr="004D562C">
        <w:rPr>
          <w:rFonts w:ascii="Times New Roman" w:hAnsi="Times New Roman" w:cs="Times New Roman"/>
          <w:i/>
          <w:sz w:val="24"/>
          <w:szCs w:val="24"/>
          <w:lang w:val="en-GB"/>
        </w:rPr>
        <w:t>IFNG</w:t>
      </w:r>
      <w:r w:rsidRPr="004D562C">
        <w:rPr>
          <w:rFonts w:ascii="Times New Roman" w:hAnsi="Times New Roman" w:cs="Times New Roman"/>
          <w:sz w:val="24"/>
          <w:szCs w:val="24"/>
          <w:lang w:val="en-GB"/>
        </w:rPr>
        <w:t xml:space="preserve"> expression observed at 30 minutes and at 60 minutes (p &lt; 0.05, student’s t-test) as measured by qRT-PCR.</w:t>
      </w:r>
    </w:p>
    <w:p w14:paraId="251DAE62" w14:textId="5D8A92FB" w:rsidR="003E3B67" w:rsidRPr="004D562C" w:rsidRDefault="003E3B67" w:rsidP="003E3B67">
      <w:pPr>
        <w:spacing w:line="360" w:lineRule="auto"/>
        <w:rPr>
          <w:rFonts w:ascii="Times New Roman" w:hAnsi="Times New Roman" w:cs="Times New Roman"/>
          <w:sz w:val="24"/>
          <w:szCs w:val="24"/>
          <w:lang w:val="en-GB"/>
        </w:rPr>
      </w:pPr>
      <w:r w:rsidRPr="003E3B67">
        <w:rPr>
          <w:rFonts w:ascii="Times New Roman" w:hAnsi="Times New Roman" w:cs="Times New Roman"/>
          <w:noProof/>
          <w:sz w:val="24"/>
          <w:szCs w:val="24"/>
          <w:lang w:val="en-US"/>
        </w:rPr>
        <w:drawing>
          <wp:inline distT="0" distB="0" distL="0" distR="0" wp14:anchorId="14A35B3E" wp14:editId="59D1B7F2">
            <wp:extent cx="4336415" cy="4050030"/>
            <wp:effectExtent l="0" t="0" r="6985" b="762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36415" cy="4050030"/>
                    </a:xfrm>
                    <a:prstGeom prst="rect">
                      <a:avLst/>
                    </a:prstGeom>
                    <a:noFill/>
                    <a:ln>
                      <a:noFill/>
                    </a:ln>
                  </pic:spPr>
                </pic:pic>
              </a:graphicData>
            </a:graphic>
          </wp:inline>
        </w:drawing>
      </w:r>
    </w:p>
    <w:p w14:paraId="42272B0F" w14:textId="1614A043" w:rsidR="00F12081" w:rsidRPr="00AC79FA" w:rsidRDefault="00987A8C" w:rsidP="001F065A">
      <w:pPr>
        <w:pStyle w:val="Normalwebb"/>
        <w:spacing w:line="360" w:lineRule="auto"/>
        <w:rPr>
          <w:color w:val="000000"/>
          <w:lang w:val="en-GB"/>
        </w:rPr>
      </w:pPr>
      <w:r w:rsidRPr="0089728B">
        <w:rPr>
          <w:b/>
          <w:lang w:val="en-GB"/>
        </w:rPr>
        <w:t>Figure S2. Hierarchichal clustering of time-series RNA-seq (A) and mass-spectronomy proteomics data of Th1 differentiation showed that samples clustered well with respect to time.</w:t>
      </w:r>
      <w:r w:rsidRPr="0089728B">
        <w:rPr>
          <w:lang w:val="en-GB"/>
        </w:rPr>
        <w:t xml:space="preserve"> </w:t>
      </w:r>
      <w:r w:rsidRPr="0089728B">
        <w:rPr>
          <w:color w:val="000000"/>
          <w:lang w:val="en-GB"/>
        </w:rPr>
        <w:t xml:space="preserve">We analysed the data quality, and the similarities of the different measured time points, by hierarchical clustering. For all 4860 genes and corresponding protein time series that were used for the model estimation, we performed a Z-normalization of each time series and performed a hierarchical clustering using the Python package Scipy. We used the default parameters ‘single linkage’, minimizing the Euclidian distance between clusters. In A), we clustered the mRNA gene expressions and found all biological repeats except the time point t=2h to cluster with their closest neighbours in time. In B), we saw a perfect clustering of the time point in a consecutive order. The clustering in A) and B) show that there is a distinguishable biological signal of activation throughout both the mRNA expression and protein abundance datasets. </w:t>
      </w:r>
    </w:p>
    <w:p w14:paraId="2C3E1FD4" w14:textId="3E92A8A0" w:rsidR="003E3B67" w:rsidRDefault="003E3B67" w:rsidP="003E3B67">
      <w:pPr>
        <w:spacing w:line="360" w:lineRule="auto"/>
        <w:rPr>
          <w:rFonts w:ascii="Times New Roman" w:hAnsi="Times New Roman" w:cs="Times New Roman"/>
          <w:b/>
          <w:bCs/>
          <w:sz w:val="24"/>
          <w:szCs w:val="24"/>
          <w:lang w:val="en-GB"/>
        </w:rPr>
      </w:pPr>
    </w:p>
    <w:p w14:paraId="38F0AED1" w14:textId="77777777" w:rsidR="003E3B67" w:rsidRDefault="003E3B67" w:rsidP="001F065A">
      <w:pPr>
        <w:spacing w:line="360" w:lineRule="auto"/>
        <w:rPr>
          <w:rFonts w:ascii="Times New Roman" w:hAnsi="Times New Roman" w:cs="Times New Roman"/>
          <w:b/>
          <w:bCs/>
          <w:sz w:val="24"/>
          <w:szCs w:val="24"/>
          <w:lang w:val="en-GB"/>
        </w:rPr>
      </w:pPr>
      <w:r w:rsidRPr="003E3B67">
        <w:rPr>
          <w:rFonts w:ascii="Times New Roman" w:hAnsi="Times New Roman" w:cs="Times New Roman"/>
          <w:b/>
          <w:bCs/>
          <w:noProof/>
          <w:sz w:val="24"/>
          <w:szCs w:val="24"/>
          <w:lang w:val="en-US"/>
        </w:rPr>
        <w:lastRenderedPageBreak/>
        <w:drawing>
          <wp:inline distT="0" distB="0" distL="0" distR="0" wp14:anchorId="0D7FF734" wp14:editId="6BABAFB8">
            <wp:extent cx="5741670" cy="3402330"/>
            <wp:effectExtent l="0" t="0" r="0" b="7620"/>
            <wp:docPr id="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131" r="161"/>
                    <a:stretch/>
                  </pic:blipFill>
                  <pic:spPr bwMode="auto">
                    <a:xfrm>
                      <a:off x="0" y="0"/>
                      <a:ext cx="5743803" cy="3403594"/>
                    </a:xfrm>
                    <a:prstGeom prst="rect">
                      <a:avLst/>
                    </a:prstGeom>
                    <a:noFill/>
                    <a:ln>
                      <a:noFill/>
                    </a:ln>
                    <a:extLst>
                      <a:ext uri="{53640926-AAD7-44D8-BBD7-CCE9431645EC}">
                        <a14:shadowObscured xmlns:a14="http://schemas.microsoft.com/office/drawing/2010/main"/>
                      </a:ext>
                    </a:extLst>
                  </pic:spPr>
                </pic:pic>
              </a:graphicData>
            </a:graphic>
          </wp:inline>
        </w:drawing>
      </w:r>
    </w:p>
    <w:p w14:paraId="4FFBCE4F" w14:textId="4BBA9E60" w:rsidR="001C2C17" w:rsidRDefault="004D562C" w:rsidP="003E3B67">
      <w:pPr>
        <w:spacing w:line="360" w:lineRule="auto"/>
        <w:rPr>
          <w:rFonts w:ascii="Times New Roman" w:hAnsi="Times New Roman" w:cs="Times New Roman"/>
          <w:sz w:val="24"/>
          <w:szCs w:val="24"/>
          <w:lang w:val="en-GB"/>
        </w:rPr>
      </w:pPr>
      <w:r w:rsidRPr="0089728B">
        <w:rPr>
          <w:rFonts w:ascii="Times New Roman" w:hAnsi="Times New Roman" w:cs="Times New Roman"/>
          <w:b/>
          <w:bCs/>
          <w:sz w:val="24"/>
          <w:szCs w:val="24"/>
          <w:lang w:val="en-GB"/>
        </w:rPr>
        <w:t xml:space="preserve">Figure S3. Additional examples of genes with multiple correlating and anti-correlating transcripts: </w:t>
      </w:r>
      <w:r w:rsidRPr="0089728B">
        <w:rPr>
          <w:rFonts w:ascii="Times New Roman" w:hAnsi="Times New Roman" w:cs="Times New Roman"/>
          <w:sz w:val="24"/>
          <w:szCs w:val="24"/>
          <w:lang w:val="en-GB"/>
        </w:rPr>
        <w:t xml:space="preserve">GATA3, MYC, PTPN9 and ZAP70 are all examples of genes that has both correlating and anti correlating transcripts. Each transcript is colour coded according to their pearson correlation between mRNA and protein expression. Relative mRNA and protein expression is depicted as heatmaps on the right and the average coverage of reads over exons is displayed as blue line plot in the middle. </w:t>
      </w:r>
    </w:p>
    <w:p w14:paraId="515A9BD2" w14:textId="27B96F12" w:rsidR="005F1629" w:rsidRDefault="005F1629" w:rsidP="003E3B67">
      <w:pPr>
        <w:spacing w:line="360" w:lineRule="auto"/>
        <w:rPr>
          <w:rFonts w:ascii="Times New Roman" w:hAnsi="Times New Roman" w:cs="Times New Roman"/>
          <w:sz w:val="24"/>
          <w:szCs w:val="24"/>
          <w:lang w:val="en-GB"/>
        </w:rPr>
      </w:pPr>
      <w:r w:rsidRPr="005F1629">
        <w:rPr>
          <w:rFonts w:ascii="Times New Roman" w:hAnsi="Times New Roman" w:cs="Times New Roman"/>
          <w:noProof/>
          <w:sz w:val="24"/>
          <w:szCs w:val="24"/>
          <w:lang w:val="en-US"/>
        </w:rPr>
        <w:drawing>
          <wp:inline distT="0" distB="0" distL="0" distR="0" wp14:anchorId="7B5D6126" wp14:editId="66CE9515">
            <wp:extent cx="5760720" cy="2351465"/>
            <wp:effectExtent l="0" t="0" r="0" b="0"/>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351465"/>
                    </a:xfrm>
                    <a:prstGeom prst="rect">
                      <a:avLst/>
                    </a:prstGeom>
                    <a:noFill/>
                    <a:ln>
                      <a:noFill/>
                    </a:ln>
                  </pic:spPr>
                </pic:pic>
              </a:graphicData>
            </a:graphic>
          </wp:inline>
        </w:drawing>
      </w:r>
    </w:p>
    <w:p w14:paraId="48918B68" w14:textId="124F28ED" w:rsidR="00C30441" w:rsidRPr="00AC6349" w:rsidRDefault="001C2C17" w:rsidP="00AC6349">
      <w:pPr>
        <w:spacing w:line="360" w:lineRule="auto"/>
        <w:rPr>
          <w:rFonts w:ascii="Times New Roman" w:eastAsia="Times New Roman" w:hAnsi="Times New Roman" w:cs="Times New Roman"/>
          <w:sz w:val="24"/>
          <w:szCs w:val="24"/>
          <w:lang w:val="en-GB"/>
        </w:rPr>
      </w:pPr>
      <w:r w:rsidRPr="00BE6E2A">
        <w:rPr>
          <w:rFonts w:ascii="Times New Roman" w:eastAsia="Times New Roman" w:hAnsi="Times New Roman" w:cs="Times New Roman"/>
          <w:b/>
          <w:bCs/>
          <w:sz w:val="24"/>
          <w:szCs w:val="24"/>
          <w:lang w:val="en-GB"/>
        </w:rPr>
        <w:t xml:space="preserve">Figure S4: Model selection and Cross validation scheme: </w:t>
      </w:r>
      <w:r w:rsidRPr="00BE6E2A">
        <w:rPr>
          <w:rFonts w:ascii="Times New Roman" w:eastAsia="Times New Roman" w:hAnsi="Times New Roman" w:cs="Times New Roman"/>
          <w:sz w:val="24"/>
          <w:szCs w:val="24"/>
          <w:lang w:val="en-GB"/>
        </w:rPr>
        <w:t xml:space="preserve">A graphical representation of the model selection and cross validation procedure. In brief, first the 0.5h time point was interpolated for the proteomics and a L1-penalized linear regression model was applied. Time delay was then added to the model by first interpolating a quadratic distribution of time points </w:t>
      </w:r>
      <w:r w:rsidRPr="00BE6E2A">
        <w:rPr>
          <w:rFonts w:ascii="Times New Roman" w:eastAsia="Times New Roman" w:hAnsi="Times New Roman" w:cs="Times New Roman"/>
          <w:sz w:val="24"/>
          <w:szCs w:val="24"/>
          <w:lang w:val="en-GB"/>
        </w:rPr>
        <w:lastRenderedPageBreak/>
        <w:t>such that the distance between interpolated time points was 43s to 15 minutes followed by the addition of a general protein time delay, τ. Finally, the optimal values for τ and λ was selected for each protein by using a leave on out cross validation.</w:t>
      </w:r>
    </w:p>
    <w:p w14:paraId="2E946DB6" w14:textId="3CA9A7A0" w:rsidR="00F12081" w:rsidRPr="0089728B" w:rsidRDefault="00987A8C">
      <w:pPr>
        <w:rPr>
          <w:rFonts w:asciiTheme="majorHAnsi" w:hAnsiTheme="majorHAnsi"/>
          <w:sz w:val="56"/>
          <w:szCs w:val="56"/>
          <w:lang w:val="en-GB"/>
        </w:rPr>
      </w:pPr>
      <w:r w:rsidRPr="001F065A">
        <w:rPr>
          <w:rFonts w:ascii="Times New Roman" w:hAnsi="Times New Roman" w:cs="Times New Roman"/>
          <w:sz w:val="56"/>
          <w:szCs w:val="56"/>
          <w:lang w:val="en-GB"/>
        </w:rPr>
        <w:t>Supplementary</w:t>
      </w:r>
      <w:r w:rsidR="002B481C" w:rsidRPr="001F065A">
        <w:rPr>
          <w:rFonts w:ascii="Times New Roman" w:eastAsia="Times New Roman" w:hAnsi="Times New Roman" w:cs="Times New Roman"/>
          <w:color w:val="201F1E"/>
          <w:lang w:val="en-US"/>
        </w:rPr>
        <w:t xml:space="preserve"> </w:t>
      </w:r>
      <w:r w:rsidR="002B481C" w:rsidRPr="001F065A">
        <w:rPr>
          <w:rFonts w:ascii="Times New Roman" w:eastAsia="Times New Roman" w:hAnsi="Times New Roman" w:cs="Times New Roman"/>
          <w:color w:val="201F1E"/>
          <w:sz w:val="56"/>
          <w:szCs w:val="56"/>
          <w:lang w:val="en-US"/>
        </w:rPr>
        <w:t>Tabels</w:t>
      </w:r>
    </w:p>
    <w:p w14:paraId="65501C7F" w14:textId="77777777" w:rsidR="00F12081" w:rsidRPr="0089728B" w:rsidRDefault="00F12081">
      <w:pPr>
        <w:rPr>
          <w:rFonts w:ascii="Times New Roman" w:hAnsi="Times New Roman" w:cs="Times New Roman"/>
          <w:b/>
          <w:sz w:val="24"/>
          <w:lang w:val="en-US"/>
        </w:rPr>
      </w:pPr>
    </w:p>
    <w:p w14:paraId="4D62191A" w14:textId="53906916" w:rsidR="00F12081" w:rsidRPr="0089728B" w:rsidRDefault="00987A8C">
      <w:pPr>
        <w:rPr>
          <w:rFonts w:ascii="Times New Roman" w:hAnsi="Times New Roman" w:cs="Times New Roman"/>
          <w:sz w:val="24"/>
          <w:lang w:val="en-GB"/>
        </w:rPr>
      </w:pPr>
      <w:r w:rsidRPr="0089728B">
        <w:rPr>
          <w:rFonts w:ascii="Times New Roman" w:hAnsi="Times New Roman" w:cs="Times New Roman"/>
          <w:b/>
          <w:sz w:val="24"/>
          <w:lang w:val="en-GB"/>
        </w:rPr>
        <w:t>Table S</w:t>
      </w:r>
      <w:r w:rsidR="002B481C">
        <w:rPr>
          <w:rFonts w:ascii="Times New Roman" w:hAnsi="Times New Roman" w:cs="Times New Roman"/>
          <w:b/>
          <w:sz w:val="24"/>
          <w:lang w:val="en-GB"/>
        </w:rPr>
        <w:t>1</w:t>
      </w:r>
      <w:r w:rsidRPr="0089728B">
        <w:rPr>
          <w:rFonts w:ascii="Times New Roman" w:hAnsi="Times New Roman" w:cs="Times New Roman"/>
          <w:b/>
          <w:sz w:val="24"/>
          <w:lang w:val="en-GB"/>
        </w:rPr>
        <w:t xml:space="preserve">: Table of all genes with their transcripts and modelling coefficients across all three models.  </w:t>
      </w:r>
      <w:r w:rsidRPr="0089728B">
        <w:rPr>
          <w:rFonts w:ascii="Times New Roman" w:hAnsi="Times New Roman" w:cs="Times New Roman"/>
          <w:sz w:val="24"/>
          <w:lang w:val="en-GB"/>
        </w:rPr>
        <w:t>Each sheet represents one cell-type, namely human T</w:t>
      </w:r>
      <w:r w:rsidRPr="0089728B">
        <w:rPr>
          <w:rFonts w:ascii="Times New Roman" w:hAnsi="Times New Roman" w:cs="Times New Roman"/>
          <w:sz w:val="24"/>
          <w:vertAlign w:val="subscript"/>
          <w:lang w:val="en-GB"/>
        </w:rPr>
        <w:t>H</w:t>
      </w:r>
      <w:r w:rsidRPr="0089728B">
        <w:rPr>
          <w:rFonts w:ascii="Times New Roman" w:hAnsi="Times New Roman" w:cs="Times New Roman"/>
          <w:sz w:val="24"/>
          <w:lang w:val="en-GB"/>
        </w:rPr>
        <w:t>1, T</w:t>
      </w:r>
      <w:r w:rsidRPr="0089728B">
        <w:rPr>
          <w:rFonts w:ascii="Times New Roman" w:hAnsi="Times New Roman" w:cs="Times New Roman"/>
          <w:sz w:val="24"/>
          <w:vertAlign w:val="subscript"/>
          <w:lang w:val="en-GB"/>
        </w:rPr>
        <w:t>REG</w:t>
      </w:r>
      <w:r w:rsidRPr="0089728B">
        <w:rPr>
          <w:rFonts w:ascii="Times New Roman" w:hAnsi="Times New Roman" w:cs="Times New Roman"/>
          <w:sz w:val="24"/>
          <w:lang w:val="en-GB"/>
        </w:rPr>
        <w:t xml:space="preserve">, and mice B-cells, were each row represent one transcript to protein association (see section time-delayed models for details). Column A is the gene name of the corresponding protein, column B the splice variant name, column C the value of the linear coefficient, column D is the correlation between measured and predicted protein abundance values, column E is the corresponding time-delay (τ). </w:t>
      </w:r>
    </w:p>
    <w:p w14:paraId="4769DE40" w14:textId="661C412A" w:rsidR="00F12081" w:rsidRPr="0089728B" w:rsidRDefault="00987A8C">
      <w:pPr>
        <w:rPr>
          <w:rFonts w:ascii="Times New Roman" w:hAnsi="Times New Roman" w:cs="Times New Roman"/>
          <w:sz w:val="24"/>
          <w:lang w:val="en-GB"/>
        </w:rPr>
      </w:pPr>
      <w:r w:rsidRPr="0089728B">
        <w:rPr>
          <w:rFonts w:ascii="Times New Roman" w:eastAsia="Times New Roman" w:hAnsi="Times New Roman" w:cs="Times New Roman"/>
          <w:b/>
          <w:color w:val="201F1E"/>
          <w:sz w:val="24"/>
          <w:szCs w:val="24"/>
          <w:lang w:val="en-US"/>
        </w:rPr>
        <w:t>Table S</w:t>
      </w:r>
      <w:r w:rsidR="002B481C">
        <w:rPr>
          <w:rFonts w:ascii="Times New Roman" w:eastAsia="Times New Roman" w:hAnsi="Times New Roman" w:cs="Times New Roman"/>
          <w:b/>
          <w:color w:val="201F1E"/>
          <w:sz w:val="24"/>
          <w:szCs w:val="24"/>
          <w:lang w:val="en-US"/>
        </w:rPr>
        <w:t>2</w:t>
      </w:r>
      <w:r w:rsidRPr="0089728B">
        <w:rPr>
          <w:rFonts w:ascii="Times New Roman" w:eastAsia="Times New Roman" w:hAnsi="Times New Roman" w:cs="Times New Roman"/>
          <w:b/>
          <w:color w:val="201F1E"/>
          <w:sz w:val="24"/>
          <w:szCs w:val="24"/>
          <w:lang w:val="en-US"/>
        </w:rPr>
        <w:t xml:space="preserve">: Top 20 differentially expressed proteins in multiple sclerosis. </w:t>
      </w:r>
      <w:r w:rsidRPr="0089728B">
        <w:rPr>
          <w:rFonts w:ascii="Times New Roman" w:eastAsia="Times New Roman" w:hAnsi="Times New Roman" w:cs="Times New Roman"/>
          <w:color w:val="201F1E"/>
          <w:sz w:val="24"/>
          <w:szCs w:val="24"/>
          <w:lang w:val="en-US"/>
        </w:rPr>
        <w:t>Markers previously associated with multiple sclerosis are indicated in grey.</w:t>
      </w:r>
      <w:r w:rsidR="002B481C">
        <w:rPr>
          <w:rFonts w:ascii="Times New Roman" w:eastAsia="Times New Roman" w:hAnsi="Times New Roman" w:cs="Times New Roman"/>
          <w:color w:val="201F1E"/>
          <w:sz w:val="24"/>
          <w:szCs w:val="24"/>
          <w:lang w:val="en-US"/>
        </w:rPr>
        <w:t xml:space="preserve"> </w:t>
      </w:r>
      <w:r w:rsidR="002B481C" w:rsidRPr="00BE6E2A">
        <w:rPr>
          <w:rFonts w:ascii="Times New Roman" w:eastAsia="Times New Roman" w:hAnsi="Times New Roman" w:cs="Times New Roman"/>
          <w:sz w:val="24"/>
          <w:szCs w:val="24"/>
          <w:lang w:val="en-US"/>
        </w:rPr>
        <w:t>The study included nine healthy controls, six relapse remitting and nine secondary progressive MS patients.</w:t>
      </w:r>
    </w:p>
    <w:p w14:paraId="23B222A7" w14:textId="77777777" w:rsidR="00F12081" w:rsidRPr="0089728B" w:rsidRDefault="00F12081">
      <w:pPr>
        <w:spacing w:after="0" w:line="276" w:lineRule="auto"/>
        <w:rPr>
          <w:rFonts w:ascii="Times New Roman" w:eastAsia="Times New Roman" w:hAnsi="Times New Roman" w:cs="Times New Roman"/>
          <w:b/>
          <w:color w:val="201F1E"/>
          <w:sz w:val="24"/>
          <w:szCs w:val="24"/>
          <w:lang w:val="en-US"/>
        </w:rPr>
      </w:pPr>
    </w:p>
    <w:p w14:paraId="249867F6" w14:textId="64FCCFBB" w:rsidR="002B481C" w:rsidRPr="00BE6E2A" w:rsidRDefault="00987A8C" w:rsidP="002B481C">
      <w:pPr>
        <w:spacing w:after="0" w:line="276" w:lineRule="auto"/>
        <w:rPr>
          <w:rFonts w:ascii="Times New Roman" w:eastAsia="Times New Roman" w:hAnsi="Times New Roman" w:cs="Times New Roman"/>
          <w:b/>
          <w:bCs/>
          <w:sz w:val="24"/>
          <w:szCs w:val="24"/>
          <w:lang w:val="en-US"/>
        </w:rPr>
      </w:pPr>
      <w:r w:rsidRPr="0089728B">
        <w:rPr>
          <w:rFonts w:ascii="Times New Roman" w:eastAsia="Times New Roman" w:hAnsi="Times New Roman" w:cs="Times New Roman"/>
          <w:b/>
          <w:color w:val="201F1E"/>
          <w:sz w:val="24"/>
          <w:szCs w:val="24"/>
          <w:lang w:val="en-US"/>
        </w:rPr>
        <w:t>Table S</w:t>
      </w:r>
      <w:r w:rsidR="002B481C">
        <w:rPr>
          <w:rFonts w:ascii="Times New Roman" w:eastAsia="Times New Roman" w:hAnsi="Times New Roman" w:cs="Times New Roman"/>
          <w:b/>
          <w:color w:val="201F1E"/>
          <w:sz w:val="24"/>
          <w:szCs w:val="24"/>
          <w:lang w:val="en-US"/>
        </w:rPr>
        <w:t>3</w:t>
      </w:r>
      <w:r w:rsidRPr="0089728B">
        <w:rPr>
          <w:rFonts w:ascii="Times New Roman" w:eastAsia="Times New Roman" w:hAnsi="Times New Roman" w:cs="Times New Roman"/>
          <w:b/>
          <w:color w:val="201F1E"/>
          <w:sz w:val="24"/>
          <w:szCs w:val="24"/>
          <w:lang w:val="en-US"/>
        </w:rPr>
        <w:t xml:space="preserve">: Top 20 differentially expressed proteins in asthma. </w:t>
      </w:r>
      <w:r w:rsidRPr="0089728B">
        <w:rPr>
          <w:rFonts w:ascii="Times New Roman" w:eastAsia="Times New Roman" w:hAnsi="Times New Roman" w:cs="Times New Roman"/>
          <w:color w:val="201F1E"/>
          <w:sz w:val="24"/>
          <w:szCs w:val="24"/>
          <w:lang w:val="en-US"/>
        </w:rPr>
        <w:t>Markers previously associated with asthma are indicated in grey.</w:t>
      </w:r>
      <w:r w:rsidR="002B481C">
        <w:rPr>
          <w:rFonts w:ascii="Times New Roman" w:eastAsia="Times New Roman" w:hAnsi="Times New Roman" w:cs="Times New Roman"/>
          <w:color w:val="201F1E"/>
          <w:sz w:val="24"/>
          <w:szCs w:val="24"/>
          <w:lang w:val="en-US"/>
        </w:rPr>
        <w:t xml:space="preserve"> </w:t>
      </w:r>
      <w:r w:rsidR="002B481C" w:rsidRPr="00BE6E2A">
        <w:rPr>
          <w:rFonts w:ascii="Times New Roman" w:eastAsia="Times New Roman" w:hAnsi="Times New Roman" w:cs="Times New Roman"/>
          <w:sz w:val="24"/>
          <w:szCs w:val="24"/>
          <w:lang w:val="en-US"/>
        </w:rPr>
        <w:t xml:space="preserve">The study included 15 healthy controls and 40 asthmatic patients. </w:t>
      </w:r>
    </w:p>
    <w:p w14:paraId="24112E5B" w14:textId="422C1FB7" w:rsidR="002B481C" w:rsidRDefault="002B481C">
      <w:pPr>
        <w:spacing w:after="0" w:line="276" w:lineRule="auto"/>
        <w:rPr>
          <w:rFonts w:ascii="Times New Roman" w:eastAsia="Times New Roman" w:hAnsi="Times New Roman" w:cs="Times New Roman"/>
          <w:color w:val="201F1E"/>
          <w:sz w:val="24"/>
          <w:szCs w:val="24"/>
          <w:lang w:val="en-US"/>
        </w:rPr>
      </w:pPr>
    </w:p>
    <w:p w14:paraId="31C99456" w14:textId="2DCD0803" w:rsidR="002B481C" w:rsidRPr="002B481C" w:rsidRDefault="002B481C" w:rsidP="002B481C">
      <w:pPr>
        <w:rPr>
          <w:rFonts w:ascii="Arial" w:hAnsi="Arial" w:cs="Arial"/>
          <w:sz w:val="24"/>
          <w:szCs w:val="24"/>
          <w:lang w:val="en-US"/>
        </w:rPr>
      </w:pPr>
      <w:r w:rsidRPr="0089728B">
        <w:rPr>
          <w:rFonts w:ascii="Times New Roman" w:eastAsia="Times New Roman" w:hAnsi="Times New Roman" w:cs="Times New Roman"/>
          <w:b/>
          <w:color w:val="201F1E"/>
          <w:sz w:val="24"/>
          <w:szCs w:val="24"/>
          <w:lang w:val="en-US"/>
        </w:rPr>
        <w:t>Table S4: Genes predicated to be differentially expressed in MS by the model even though none of their splice variants was significantly differentially expressed.</w:t>
      </w:r>
    </w:p>
    <w:p w14:paraId="1D138130" w14:textId="77777777" w:rsidR="002B481C" w:rsidRDefault="002B481C">
      <w:pPr>
        <w:spacing w:after="0" w:line="276" w:lineRule="auto"/>
        <w:rPr>
          <w:rFonts w:ascii="Times New Roman" w:eastAsia="Times New Roman" w:hAnsi="Times New Roman" w:cs="Times New Roman"/>
          <w:b/>
          <w:color w:val="201F1E"/>
          <w:sz w:val="24"/>
          <w:szCs w:val="24"/>
          <w:lang w:val="en-US"/>
        </w:rPr>
      </w:pPr>
    </w:p>
    <w:p w14:paraId="7953E15E" w14:textId="51BA3337" w:rsidR="00F12081" w:rsidRDefault="002B481C">
      <w:pPr>
        <w:spacing w:after="0" w:line="276" w:lineRule="auto"/>
        <w:rPr>
          <w:rFonts w:ascii="Times New Roman" w:eastAsia="Times New Roman" w:hAnsi="Times New Roman" w:cs="Times New Roman"/>
          <w:b/>
          <w:color w:val="201F1E"/>
          <w:sz w:val="24"/>
          <w:szCs w:val="24"/>
          <w:lang w:val="en-US"/>
        </w:rPr>
      </w:pPr>
      <w:r w:rsidRPr="0089728B">
        <w:rPr>
          <w:rFonts w:ascii="Times New Roman" w:eastAsia="Times New Roman" w:hAnsi="Times New Roman" w:cs="Times New Roman"/>
          <w:b/>
          <w:color w:val="201F1E"/>
          <w:sz w:val="24"/>
          <w:szCs w:val="24"/>
          <w:lang w:val="en-US"/>
        </w:rPr>
        <w:t>Table S</w:t>
      </w:r>
      <w:r>
        <w:rPr>
          <w:rFonts w:ascii="Times New Roman" w:eastAsia="Times New Roman" w:hAnsi="Times New Roman" w:cs="Times New Roman"/>
          <w:b/>
          <w:color w:val="201F1E"/>
          <w:sz w:val="24"/>
          <w:szCs w:val="24"/>
          <w:lang w:val="en-US"/>
        </w:rPr>
        <w:t>5</w:t>
      </w:r>
      <w:r w:rsidRPr="0089728B">
        <w:rPr>
          <w:rFonts w:ascii="Times New Roman" w:eastAsia="Times New Roman" w:hAnsi="Times New Roman" w:cs="Times New Roman"/>
          <w:b/>
          <w:color w:val="201F1E"/>
          <w:sz w:val="24"/>
          <w:szCs w:val="24"/>
          <w:lang w:val="en-US"/>
        </w:rPr>
        <w:t>: Patient and healthy control characteristics at inclusion and follow-up</w:t>
      </w:r>
    </w:p>
    <w:p w14:paraId="53ABD34A" w14:textId="01D59C4C" w:rsidR="002B481C" w:rsidRDefault="002B481C">
      <w:pPr>
        <w:spacing w:after="0" w:line="276" w:lineRule="auto"/>
        <w:rPr>
          <w:rFonts w:ascii="Times New Roman" w:eastAsia="Times New Roman" w:hAnsi="Times New Roman" w:cs="Times New Roman"/>
          <w:b/>
          <w:color w:val="201F1E"/>
          <w:sz w:val="24"/>
          <w:szCs w:val="24"/>
          <w:lang w:val="en-US"/>
        </w:rPr>
      </w:pPr>
    </w:p>
    <w:p w14:paraId="7AD9BDFD" w14:textId="53294569" w:rsidR="002B481C" w:rsidRPr="001F065A" w:rsidRDefault="002B481C">
      <w:pPr>
        <w:spacing w:after="0" w:line="276" w:lineRule="auto"/>
        <w:rPr>
          <w:rFonts w:ascii="Arial" w:hAnsi="Arial" w:cs="Arial"/>
          <w:sz w:val="24"/>
          <w:szCs w:val="24"/>
          <w:lang w:val="en-US"/>
        </w:rPr>
      </w:pPr>
      <w:r>
        <w:rPr>
          <w:rFonts w:ascii="Times New Roman" w:eastAsia="Times New Roman" w:hAnsi="Times New Roman" w:cs="Times New Roman"/>
          <w:b/>
          <w:sz w:val="24"/>
          <w:szCs w:val="24"/>
          <w:lang w:val="en-US"/>
        </w:rPr>
        <w:t xml:space="preserve">Table S6: </w:t>
      </w:r>
      <w:r w:rsidRPr="00E1421B">
        <w:rPr>
          <w:rFonts w:ascii="Times New Roman" w:eastAsia="Times New Roman" w:hAnsi="Times New Roman" w:cs="Times New Roman"/>
          <w:b/>
          <w:sz w:val="24"/>
          <w:szCs w:val="24"/>
          <w:lang w:val="en-US"/>
        </w:rPr>
        <w:t>sCD27 levels measured by ELISA.</w:t>
      </w:r>
    </w:p>
    <w:p w14:paraId="285289FC" w14:textId="0184513B" w:rsidR="002B481C" w:rsidRDefault="002B481C">
      <w:pPr>
        <w:spacing w:after="0" w:line="276" w:lineRule="auto"/>
        <w:rPr>
          <w:rFonts w:ascii="Times New Roman" w:eastAsia="Times New Roman" w:hAnsi="Times New Roman" w:cs="Times New Roman"/>
          <w:color w:val="201F1E"/>
          <w:sz w:val="24"/>
          <w:szCs w:val="24"/>
          <w:lang w:val="en-US"/>
        </w:rPr>
      </w:pPr>
      <w:bookmarkStart w:id="1" w:name="_GoBack"/>
      <w:bookmarkEnd w:id="1"/>
    </w:p>
    <w:p w14:paraId="75492AA4" w14:textId="0878F3B7" w:rsidR="002B481C" w:rsidRPr="0089728B" w:rsidRDefault="002B481C" w:rsidP="002B481C">
      <w:pPr>
        <w:spacing w:after="0" w:line="276" w:lineRule="auto"/>
        <w:rPr>
          <w:rFonts w:ascii="Arial" w:hAnsi="Arial" w:cs="Arial"/>
          <w:sz w:val="24"/>
          <w:szCs w:val="24"/>
          <w:lang w:val="en-US"/>
        </w:rPr>
      </w:pPr>
    </w:p>
    <w:p w14:paraId="4C2CFF40" w14:textId="77777777" w:rsidR="002B481C" w:rsidRDefault="002B481C">
      <w:pPr>
        <w:spacing w:after="0" w:line="276" w:lineRule="auto"/>
        <w:rPr>
          <w:rFonts w:ascii="Times New Roman" w:eastAsia="Times New Roman" w:hAnsi="Times New Roman" w:cs="Times New Roman"/>
          <w:b/>
          <w:color w:val="201F1E"/>
          <w:sz w:val="24"/>
          <w:szCs w:val="24"/>
          <w:lang w:val="en-US"/>
        </w:rPr>
      </w:pPr>
    </w:p>
    <w:p w14:paraId="0958E7FF" w14:textId="77777777" w:rsidR="00F12081" w:rsidRDefault="00F12081">
      <w:pPr>
        <w:spacing w:after="0" w:line="276" w:lineRule="auto"/>
        <w:rPr>
          <w:rFonts w:ascii="Times New Roman" w:eastAsia="Times New Roman" w:hAnsi="Times New Roman" w:cs="Times New Roman"/>
          <w:b/>
          <w:color w:val="201F1E"/>
          <w:sz w:val="24"/>
          <w:szCs w:val="24"/>
          <w:lang w:val="en-US"/>
        </w:rPr>
      </w:pPr>
    </w:p>
    <w:p w14:paraId="32C8D50A" w14:textId="77777777" w:rsidR="00F12081" w:rsidRDefault="00F12081">
      <w:pPr>
        <w:rPr>
          <w:rFonts w:ascii="Times New Roman" w:eastAsia="Times New Roman" w:hAnsi="Times New Roman" w:cs="Times New Roman"/>
          <w:b/>
          <w:color w:val="201F1E"/>
          <w:sz w:val="24"/>
          <w:szCs w:val="24"/>
          <w:lang w:val="en-US"/>
        </w:rPr>
      </w:pPr>
    </w:p>
    <w:p w14:paraId="5DA1AB56" w14:textId="77777777" w:rsidR="00F12081" w:rsidRDefault="00F12081">
      <w:pPr>
        <w:rPr>
          <w:lang w:val="en-US"/>
        </w:rPr>
      </w:pPr>
    </w:p>
    <w:p w14:paraId="6C828311" w14:textId="77777777" w:rsidR="002008A0" w:rsidRPr="001F065A" w:rsidRDefault="002008A0">
      <w:pPr>
        <w:rPr>
          <w:lang w:val="en-US"/>
        </w:rPr>
      </w:pPr>
    </w:p>
    <w:p w14:paraId="062C8F45" w14:textId="01E80647" w:rsidR="002008A0" w:rsidRPr="001F065A" w:rsidRDefault="002008A0">
      <w:pPr>
        <w:rPr>
          <w:lang w:val="en-US"/>
        </w:rPr>
      </w:pPr>
    </w:p>
    <w:sectPr w:rsidR="002008A0" w:rsidRPr="001F065A">
      <w:pgSz w:w="11906" w:h="16838"/>
      <w:pgMar w:top="1417" w:right="1417" w:bottom="1417" w:left="1417" w:header="0" w:footer="0" w:gutter="0"/>
      <w:cols w:space="720"/>
      <w:formProt w:val="0"/>
      <w:docGrid w:linePitch="360" w:charSpace="-2049"/>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1C65B43" w16cid:durableId="2239538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_Genome Med&lt;/Style&gt;&lt;LeftDelim&gt;{&lt;/LeftDelim&gt;&lt;RightDelim&gt;}&lt;/RightDelim&gt;&lt;FontName&gt;Times New Roman&lt;/FontName&gt;&lt;FontSize&gt;11&lt;/FontSize&gt;&lt;ReflistTitle&gt;&lt;/ReflistTitle&gt;&lt;StartingRefnum&gt;1&lt;/StartingRefnum&gt;&lt;FirstLineIndent&gt;0&lt;/FirstLineIndent&gt;&lt;HangingIndent&gt;283&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fz09ssz9r2a52wetrvzpv999dwt5xrs2rsaz&quot;&gt;MS-graviditetsimmunologi_new&lt;record-ids&gt;&lt;item&gt;54&lt;/item&gt;&lt;item&gt;82&lt;/item&gt;&lt;item&gt;342&lt;/item&gt;&lt;item&gt;474&lt;/item&gt;&lt;item&gt;511&lt;/item&gt;&lt;item&gt;522&lt;/item&gt;&lt;item&gt;536&lt;/item&gt;&lt;item&gt;587&lt;/item&gt;&lt;item&gt;588&lt;/item&gt;&lt;/record-ids&gt;&lt;/item&gt;&lt;/Libraries&gt;"/>
  </w:docVars>
  <w:rsids>
    <w:rsidRoot w:val="00F12081"/>
    <w:rsid w:val="0004716C"/>
    <w:rsid w:val="001807BC"/>
    <w:rsid w:val="001C2C17"/>
    <w:rsid w:val="001F065A"/>
    <w:rsid w:val="002008A0"/>
    <w:rsid w:val="00224238"/>
    <w:rsid w:val="002B481C"/>
    <w:rsid w:val="00350203"/>
    <w:rsid w:val="003A77BE"/>
    <w:rsid w:val="003E3B67"/>
    <w:rsid w:val="004D562C"/>
    <w:rsid w:val="00543E58"/>
    <w:rsid w:val="00566723"/>
    <w:rsid w:val="005F1629"/>
    <w:rsid w:val="006C2643"/>
    <w:rsid w:val="0072405D"/>
    <w:rsid w:val="007963C9"/>
    <w:rsid w:val="0089728B"/>
    <w:rsid w:val="009032E3"/>
    <w:rsid w:val="00932D98"/>
    <w:rsid w:val="00935723"/>
    <w:rsid w:val="00987A8C"/>
    <w:rsid w:val="009D1304"/>
    <w:rsid w:val="00A44B35"/>
    <w:rsid w:val="00A45A48"/>
    <w:rsid w:val="00A91BC7"/>
    <w:rsid w:val="00AC6349"/>
    <w:rsid w:val="00AC79FA"/>
    <w:rsid w:val="00AF5BBE"/>
    <w:rsid w:val="00BF6088"/>
    <w:rsid w:val="00C30441"/>
    <w:rsid w:val="00C4192E"/>
    <w:rsid w:val="00CC6EA1"/>
    <w:rsid w:val="00E832BF"/>
    <w:rsid w:val="00F12081"/>
  </w:rsids>
  <m:mathPr>
    <m:mathFont m:val="Cambria Math"/>
    <m:brkBin m:val="before"/>
    <m:brkBinSub m:val="--"/>
    <m:smallFrac m:val="0"/>
    <m:dispDef/>
    <m:lMargin m:val="0"/>
    <m:rMargin m:val="0"/>
    <m:defJc m:val="centerGroup"/>
    <m:wrapIndent m:val="1440"/>
    <m:intLim m:val="subSup"/>
    <m:naryLim m:val="undOvr"/>
  </m:mathPr>
  <w:themeFontLang w:val="sv-S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7B0D7"/>
  <w15:docId w15:val="{8CC2F26D-A8BC-0C43-9FD3-5CDE3B204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paragraph" w:styleId="Rubrik1">
    <w:name w:val="heading 1"/>
    <w:basedOn w:val="Normal"/>
    <w:next w:val="Normal"/>
    <w:link w:val="Rubrik1Char"/>
    <w:uiPriority w:val="9"/>
    <w:qFormat/>
    <w:rsid w:val="00C311B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qFormat/>
    <w:rsid w:val="00C311BE"/>
    <w:rPr>
      <w:rFonts w:asciiTheme="majorHAnsi" w:eastAsiaTheme="majorEastAsia" w:hAnsiTheme="majorHAnsi" w:cstheme="majorBidi"/>
      <w:color w:val="2E74B5" w:themeColor="accent1" w:themeShade="BF"/>
      <w:sz w:val="32"/>
      <w:szCs w:val="32"/>
    </w:rPr>
  </w:style>
  <w:style w:type="character" w:customStyle="1" w:styleId="RubrikChar">
    <w:name w:val="Rubrik Char"/>
    <w:basedOn w:val="Standardstycketeckensnitt"/>
    <w:link w:val="Rubrik"/>
    <w:uiPriority w:val="10"/>
    <w:qFormat/>
    <w:rsid w:val="00C311BE"/>
    <w:rPr>
      <w:rFonts w:asciiTheme="majorHAnsi" w:eastAsiaTheme="majorEastAsia" w:hAnsiTheme="majorHAnsi" w:cstheme="majorBidi"/>
      <w:spacing w:val="-10"/>
      <w:sz w:val="56"/>
      <w:szCs w:val="56"/>
    </w:rPr>
  </w:style>
  <w:style w:type="character" w:styleId="Kommentarsreferens">
    <w:name w:val="annotation reference"/>
    <w:basedOn w:val="Standardstycketeckensnitt"/>
    <w:uiPriority w:val="99"/>
    <w:semiHidden/>
    <w:unhideWhenUsed/>
    <w:qFormat/>
    <w:rsid w:val="00C311BE"/>
    <w:rPr>
      <w:sz w:val="16"/>
      <w:szCs w:val="16"/>
    </w:rPr>
  </w:style>
  <w:style w:type="character" w:customStyle="1" w:styleId="KommentarerChar">
    <w:name w:val="Kommentarer Char"/>
    <w:basedOn w:val="Standardstycketeckensnitt"/>
    <w:link w:val="Kommentarer"/>
    <w:uiPriority w:val="99"/>
    <w:semiHidden/>
    <w:qFormat/>
    <w:rsid w:val="00C311BE"/>
    <w:rPr>
      <w:sz w:val="20"/>
      <w:szCs w:val="20"/>
    </w:rPr>
  </w:style>
  <w:style w:type="character" w:customStyle="1" w:styleId="RubrikChar1">
    <w:name w:val="Rubrik Char1"/>
    <w:basedOn w:val="Standardstycketeckensnitt"/>
    <w:uiPriority w:val="10"/>
    <w:qFormat/>
    <w:rsid w:val="00C311BE"/>
    <w:rPr>
      <w:rFonts w:asciiTheme="majorHAnsi" w:eastAsiaTheme="majorEastAsia" w:hAnsiTheme="majorHAnsi" w:cstheme="majorBidi"/>
      <w:spacing w:val="-10"/>
      <w:sz w:val="56"/>
      <w:szCs w:val="56"/>
    </w:rPr>
  </w:style>
  <w:style w:type="character" w:customStyle="1" w:styleId="KommentarerChar1">
    <w:name w:val="Kommentarer Char1"/>
    <w:basedOn w:val="Standardstycketeckensnitt"/>
    <w:uiPriority w:val="99"/>
    <w:semiHidden/>
    <w:qFormat/>
    <w:rsid w:val="00C311BE"/>
    <w:rPr>
      <w:sz w:val="20"/>
      <w:szCs w:val="20"/>
    </w:rPr>
  </w:style>
  <w:style w:type="character" w:customStyle="1" w:styleId="BallongtextChar">
    <w:name w:val="Ballongtext Char"/>
    <w:basedOn w:val="Standardstycketeckensnitt"/>
    <w:link w:val="Ballongtext"/>
    <w:uiPriority w:val="99"/>
    <w:semiHidden/>
    <w:qFormat/>
    <w:rsid w:val="00C311BE"/>
    <w:rPr>
      <w:rFonts w:ascii="Segoe UI" w:hAnsi="Segoe UI" w:cs="Segoe UI"/>
      <w:sz w:val="18"/>
      <w:szCs w:val="18"/>
    </w:rPr>
  </w:style>
  <w:style w:type="character" w:customStyle="1" w:styleId="KommentarsmneChar">
    <w:name w:val="Kommentarsämne Char"/>
    <w:basedOn w:val="KommentarerChar"/>
    <w:link w:val="Kommentarsmne"/>
    <w:uiPriority w:val="99"/>
    <w:semiHidden/>
    <w:qFormat/>
    <w:rsid w:val="00C311BE"/>
    <w:rPr>
      <w:b/>
      <w:bCs/>
      <w:sz w:val="20"/>
      <w:szCs w:val="20"/>
    </w:rPr>
  </w:style>
  <w:style w:type="character" w:customStyle="1" w:styleId="InternetLink">
    <w:name w:val="Internet Link"/>
    <w:basedOn w:val="Standardstycketeckensnitt"/>
    <w:uiPriority w:val="99"/>
    <w:unhideWhenUsed/>
    <w:rsid w:val="00A04523"/>
    <w:rPr>
      <w:color w:val="0563C1" w:themeColor="hyperlink"/>
      <w:u w:val="single"/>
    </w:rPr>
  </w:style>
  <w:style w:type="character" w:styleId="Betoning">
    <w:name w:val="Emphasis"/>
    <w:basedOn w:val="Standardstycketeckensnitt"/>
    <w:uiPriority w:val="20"/>
    <w:qFormat/>
    <w:rsid w:val="00920CB5"/>
    <w:rPr>
      <w:i/>
      <w:iCs/>
    </w:rPr>
  </w:style>
  <w:style w:type="character" w:styleId="Stark">
    <w:name w:val="Strong"/>
    <w:basedOn w:val="Standardstycketeckensnitt"/>
    <w:uiPriority w:val="22"/>
    <w:qFormat/>
    <w:rsid w:val="00435ABD"/>
    <w:rPr>
      <w:b/>
      <w:bCs/>
    </w:rPr>
  </w:style>
  <w:style w:type="character" w:customStyle="1" w:styleId="IngetavstndChar">
    <w:name w:val="Inget avstånd Char"/>
    <w:basedOn w:val="Standardstycketeckensnitt"/>
    <w:link w:val="Ingetavstnd"/>
    <w:uiPriority w:val="1"/>
    <w:qFormat/>
    <w:locked/>
    <w:rsid w:val="00435ABD"/>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EndNoteBibliographyTitleChar">
    <w:name w:val="EndNote Bibliography Title Char"/>
    <w:basedOn w:val="Standardstycketeckensnitt"/>
    <w:link w:val="EndNoteBibliographyTitle"/>
    <w:qFormat/>
    <w:rsid w:val="00785C9B"/>
    <w:rPr>
      <w:rFonts w:ascii="Times New Roman" w:hAnsi="Times New Roman" w:cs="Times New Roman"/>
      <w:lang w:val="en-US"/>
    </w:rPr>
  </w:style>
  <w:style w:type="character" w:customStyle="1" w:styleId="EndNoteBibliographyChar">
    <w:name w:val="EndNote Bibliography Char"/>
    <w:basedOn w:val="Standardstycketeckensnitt"/>
    <w:link w:val="EndNoteBibliography"/>
    <w:qFormat/>
    <w:rsid w:val="00785C9B"/>
    <w:rPr>
      <w:rFonts w:ascii="Times New Roman" w:hAnsi="Times New Roman" w:cs="Times New Roman"/>
      <w:lang w:val="en-US"/>
    </w:rPr>
  </w:style>
  <w:style w:type="character" w:customStyle="1" w:styleId="Olstomnmnande1">
    <w:name w:val="Olöst omnämnande1"/>
    <w:basedOn w:val="Standardstycketeckensnitt"/>
    <w:uiPriority w:val="99"/>
    <w:semiHidden/>
    <w:unhideWhenUsed/>
    <w:qFormat/>
    <w:rsid w:val="00A04523"/>
    <w:rPr>
      <w:color w:val="605E5C"/>
      <w:shd w:val="clear" w:color="auto" w:fill="E1DFDD"/>
    </w:rPr>
  </w:style>
  <w:style w:type="paragraph" w:customStyle="1" w:styleId="Heading">
    <w:name w:val="Heading"/>
    <w:basedOn w:val="Normal"/>
    <w:next w:val="Brdtext"/>
    <w:qFormat/>
    <w:pPr>
      <w:keepNext/>
      <w:spacing w:before="240" w:after="120"/>
    </w:pPr>
    <w:rPr>
      <w:rFonts w:ascii="Liberation Sans" w:eastAsia="WenQuanYi Micro Hei" w:hAnsi="Liberation Sans" w:cs="Lohit Devanagari"/>
      <w:sz w:val="28"/>
      <w:szCs w:val="28"/>
    </w:rPr>
  </w:style>
  <w:style w:type="paragraph" w:styleId="Brdtext">
    <w:name w:val="Body Text"/>
    <w:basedOn w:val="Normal"/>
    <w:pPr>
      <w:spacing w:after="140" w:line="288" w:lineRule="auto"/>
    </w:pPr>
  </w:style>
  <w:style w:type="paragraph" w:styleId="Lista">
    <w:name w:val="List"/>
    <w:basedOn w:val="Brdtext"/>
    <w:rPr>
      <w:rFonts w:cs="Lohit Devanagari"/>
    </w:rPr>
  </w:style>
  <w:style w:type="paragraph" w:styleId="Beskrivning">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Normalwebb">
    <w:name w:val="Normal (Web)"/>
    <w:basedOn w:val="Normal"/>
    <w:uiPriority w:val="99"/>
    <w:unhideWhenUsed/>
    <w:qFormat/>
    <w:rsid w:val="00C311BE"/>
    <w:pPr>
      <w:spacing w:beforeAutospacing="1" w:afterAutospacing="1" w:line="240" w:lineRule="auto"/>
    </w:pPr>
    <w:rPr>
      <w:rFonts w:ascii="Times New Roman" w:eastAsia="Times New Roman" w:hAnsi="Times New Roman" w:cs="Times New Roman"/>
      <w:sz w:val="24"/>
      <w:szCs w:val="24"/>
      <w:lang w:eastAsia="sv-SE"/>
    </w:rPr>
  </w:style>
  <w:style w:type="paragraph" w:styleId="Rubrik">
    <w:name w:val="Title"/>
    <w:basedOn w:val="Normal"/>
    <w:next w:val="Normal"/>
    <w:link w:val="RubrikChar"/>
    <w:uiPriority w:val="10"/>
    <w:qFormat/>
    <w:rsid w:val="00C311BE"/>
    <w:pPr>
      <w:spacing w:after="0" w:line="240" w:lineRule="auto"/>
      <w:contextualSpacing/>
    </w:pPr>
    <w:rPr>
      <w:rFonts w:asciiTheme="majorHAnsi" w:eastAsiaTheme="majorEastAsia" w:hAnsiTheme="majorHAnsi" w:cstheme="majorBidi"/>
      <w:spacing w:val="-10"/>
      <w:sz w:val="56"/>
      <w:szCs w:val="56"/>
    </w:rPr>
  </w:style>
  <w:style w:type="paragraph" w:styleId="Kommentarer">
    <w:name w:val="annotation text"/>
    <w:basedOn w:val="Normal"/>
    <w:link w:val="KommentarerChar"/>
    <w:uiPriority w:val="99"/>
    <w:semiHidden/>
    <w:unhideWhenUsed/>
    <w:qFormat/>
    <w:rsid w:val="00C311BE"/>
    <w:pPr>
      <w:spacing w:line="240" w:lineRule="auto"/>
    </w:pPr>
    <w:rPr>
      <w:sz w:val="20"/>
      <w:szCs w:val="20"/>
    </w:rPr>
  </w:style>
  <w:style w:type="paragraph" w:styleId="Ballongtext">
    <w:name w:val="Balloon Text"/>
    <w:basedOn w:val="Normal"/>
    <w:link w:val="BallongtextChar"/>
    <w:uiPriority w:val="99"/>
    <w:semiHidden/>
    <w:unhideWhenUsed/>
    <w:qFormat/>
    <w:rsid w:val="00C311BE"/>
    <w:pPr>
      <w:spacing w:after="0" w:line="240" w:lineRule="auto"/>
    </w:pPr>
    <w:rPr>
      <w:rFonts w:ascii="Segoe UI" w:hAnsi="Segoe UI" w:cs="Segoe UI"/>
      <w:sz w:val="18"/>
      <w:szCs w:val="18"/>
    </w:rPr>
  </w:style>
  <w:style w:type="paragraph" w:styleId="Kommentarsmne">
    <w:name w:val="annotation subject"/>
    <w:basedOn w:val="Kommentarer"/>
    <w:link w:val="KommentarsmneChar"/>
    <w:uiPriority w:val="99"/>
    <w:semiHidden/>
    <w:unhideWhenUsed/>
    <w:qFormat/>
    <w:rsid w:val="00C311BE"/>
    <w:rPr>
      <w:b/>
      <w:bCs/>
    </w:rPr>
  </w:style>
  <w:style w:type="paragraph" w:styleId="Liststycke">
    <w:name w:val="List Paragraph"/>
    <w:basedOn w:val="Normal"/>
    <w:uiPriority w:val="34"/>
    <w:qFormat/>
    <w:rsid w:val="008B15FD"/>
    <w:pPr>
      <w:ind w:left="720"/>
      <w:contextualSpacing/>
    </w:pPr>
  </w:style>
  <w:style w:type="paragraph" w:styleId="Ingetavstnd">
    <w:name w:val="No Spacing"/>
    <w:link w:val="IngetavstndChar"/>
    <w:uiPriority w:val="1"/>
    <w:qFormat/>
    <w:rsid w:val="00435ABD"/>
  </w:style>
  <w:style w:type="paragraph" w:customStyle="1" w:styleId="EndNoteBibliographyTitle">
    <w:name w:val="EndNote Bibliography Title"/>
    <w:basedOn w:val="Normal"/>
    <w:link w:val="EndNoteBibliographyTitleChar"/>
    <w:qFormat/>
    <w:rsid w:val="00785C9B"/>
    <w:pPr>
      <w:spacing w:after="0"/>
      <w:jc w:val="center"/>
    </w:pPr>
    <w:rPr>
      <w:rFonts w:ascii="Times New Roman" w:hAnsi="Times New Roman" w:cs="Times New Roman"/>
      <w:lang w:val="en-US"/>
    </w:rPr>
  </w:style>
  <w:style w:type="paragraph" w:customStyle="1" w:styleId="EndNoteBibliography">
    <w:name w:val="EndNote Bibliography"/>
    <w:basedOn w:val="Normal"/>
    <w:link w:val="EndNoteBibliographyChar"/>
    <w:qFormat/>
    <w:rsid w:val="00785C9B"/>
    <w:pPr>
      <w:spacing w:line="240" w:lineRule="auto"/>
    </w:pPr>
    <w:rPr>
      <w:rFonts w:ascii="Times New Roman" w:hAnsi="Times New Roman" w:cs="Times New Roman"/>
      <w:lang w:val="en-US"/>
    </w:rPr>
  </w:style>
  <w:style w:type="paragraph" w:styleId="Litteraturfrteckning">
    <w:name w:val="Bibliography"/>
    <w:basedOn w:val="Normal"/>
    <w:next w:val="Normal"/>
    <w:uiPriority w:val="37"/>
    <w:unhideWhenUsed/>
    <w:qFormat/>
    <w:rsid w:val="00C70791"/>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hyperlink" Target="https://gitlab.com/Gustafsson-lab/splice_protein_predictions" TargetMode="External"/><Relationship Id="rId11" Type="http://schemas.openxmlformats.org/officeDocument/2006/relationships/image" Target="media/image6.emf"/><Relationship Id="rId5" Type="http://schemas.openxmlformats.org/officeDocument/2006/relationships/image" Target="media/image1.png"/><Relationship Id="rId10" Type="http://schemas.openxmlformats.org/officeDocument/2006/relationships/image" Target="media/image5.emf"/><Relationship Id="rId4" Type="http://schemas.openxmlformats.org/officeDocument/2006/relationships/webSettings" Target="web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B5C615-423D-4876-8222-F7A1310AA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11</Pages>
  <Words>3324</Words>
  <Characters>18951</Characters>
  <Application>Microsoft Office Word</Application>
  <DocSecurity>0</DocSecurity>
  <Lines>157</Lines>
  <Paragraphs>44</Paragraphs>
  <ScaleCrop>false</ScaleCrop>
  <HeadingPairs>
    <vt:vector size="2" baseType="variant">
      <vt:variant>
        <vt:lpstr>Rubrik</vt:lpstr>
      </vt:variant>
      <vt:variant>
        <vt:i4>1</vt:i4>
      </vt:variant>
    </vt:vector>
  </HeadingPairs>
  <TitlesOfParts>
    <vt:vector size="1" baseType="lpstr">
      <vt:lpstr/>
    </vt:vector>
  </TitlesOfParts>
  <Company>Linköpings universitet</Company>
  <LinksUpToDate>false</LinksUpToDate>
  <CharactersWithSpaces>22231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Olof Rundquist</dc:creator>
  <dc:description/>
  <cp:lastModifiedBy>Olof Rundquist</cp:lastModifiedBy>
  <cp:revision>7</cp:revision>
  <dcterms:created xsi:type="dcterms:W3CDTF">2021-08-10T15:22:00Z</dcterms:created>
  <dcterms:modified xsi:type="dcterms:W3CDTF">2021-09-10T12:49:00Z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Linköpings universitet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ZOTERO_PREF_1">
    <vt:lpwstr>&lt;data data-version="3" zotero-version="5.0.69"&gt;&lt;session id="dU4uiZEL"/&gt;&lt;style id="http://www.zotero.org/styles/nature" hasBibliography="1" bibliographyStyleHasBeenSet="1"/&gt;&lt;prefs&gt;&lt;pref name="fieldType" value="Field"/&gt;&lt;pref name="automaticJournalAbbreviati</vt:lpwstr>
  </property>
  <property fmtid="{D5CDD505-2E9C-101B-9397-08002B2CF9AE}" pid="10" name="ZOTERO_PREF_2">
    <vt:lpwstr>ons" value="true"/&gt;&lt;/prefs&gt;&lt;/data&gt;</vt:lpwstr>
  </property>
</Properties>
</file>