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1854" w14:textId="50F11FD5" w:rsidR="008D6665" w:rsidRPr="00EC30F2" w:rsidRDefault="000B1C0B" w:rsidP="00A113C9">
      <w:pPr>
        <w:spacing w:afterLines="100" w:after="312" w:line="360" w:lineRule="auto"/>
        <w:jc w:val="both"/>
        <w:outlineLvl w:val="0"/>
        <w:rPr>
          <w:rFonts w:ascii="Times New Roman" w:hAnsi="Times New Roman" w:cs="Times New Roman"/>
          <w:b/>
          <w:bCs/>
          <w:sz w:val="24"/>
          <w14:ligatures w14:val="none"/>
        </w:rPr>
      </w:pPr>
      <w:r w:rsidRPr="00A113C9">
        <w:rPr>
          <w:rFonts w:ascii="Times New Roman" w:hAnsi="Times New Roman" w:cs="Times New Roman" w:hint="eastAsia"/>
          <w:b/>
          <w:bCs/>
          <w:sz w:val="24"/>
          <w14:ligatures w14:val="none"/>
        </w:rPr>
        <w:t xml:space="preserve">Supplementary Information: </w:t>
      </w:r>
      <w:r w:rsidR="00EC30F2" w:rsidRPr="00EC30F2">
        <w:rPr>
          <w:rFonts w:ascii="Times New Roman" w:hAnsi="Times New Roman" w:cs="Times New Roman" w:hint="eastAsia"/>
          <w:b/>
          <w:bCs/>
          <w:sz w:val="24"/>
          <w14:ligatures w14:val="none"/>
        </w:rPr>
        <w:t>Breaking the Paradigm of Stacking: A Minimalist Infrared Detection System Based on Meta-Composite Design with Athermalized Performance</w:t>
      </w:r>
    </w:p>
    <w:p w14:paraId="483E34BF" w14:textId="4F656258" w:rsidR="00BF2372" w:rsidRPr="00D45FEF" w:rsidRDefault="00BF2372" w:rsidP="00BF2372">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lang w:eastAsia="zh-CN"/>
        </w:rPr>
        <w:t xml:space="preserve">Supplementary Information </w:t>
      </w:r>
      <w:r>
        <w:rPr>
          <w:rFonts w:ascii="Times New Roman" w:eastAsiaTheme="minorEastAsia" w:hAnsi="Times New Roman" w:cs="Times New Roman" w:hint="eastAsia"/>
          <w:lang w:eastAsia="zh-CN"/>
        </w:rPr>
        <w:t>1</w:t>
      </w:r>
      <w:r w:rsidRPr="00D45FEF">
        <w:rPr>
          <w:rFonts w:ascii="Times New Roman" w:eastAsiaTheme="minorEastAsia" w:hAnsi="Times New Roman" w:cs="Times New Roman"/>
          <w:lang w:eastAsia="zh-CN"/>
        </w:rPr>
        <w:t xml:space="preserve">. </w:t>
      </w:r>
      <w:r w:rsidRPr="00BF2372">
        <w:rPr>
          <w:rFonts w:ascii="Times New Roman" w:eastAsiaTheme="minorEastAsia" w:hAnsi="Times New Roman" w:cs="Times New Roman"/>
          <w:lang w:eastAsia="zh-CN"/>
        </w:rPr>
        <w:t>Detailed Performance Specifications of MCOS</w:t>
      </w:r>
    </w:p>
    <w:p w14:paraId="1D3D6D34" w14:textId="1518A3F5" w:rsidR="00797ABB" w:rsidRPr="00BF2372" w:rsidRDefault="00BF2372" w:rsidP="00BF2372">
      <w:pPr>
        <w:pStyle w:val="Subtitle1"/>
        <w:spacing w:line="400" w:lineRule="exact"/>
        <w:ind w:firstLineChars="100" w:firstLine="240"/>
        <w:rPr>
          <w:rFonts w:ascii="Times New Roman" w:eastAsiaTheme="minorEastAsia" w:hAnsi="Times New Roman"/>
          <w:b w:val="0"/>
          <w:bCs w:val="0"/>
          <w:lang w:eastAsia="zh-CN"/>
        </w:rPr>
      </w:pPr>
      <w:r w:rsidRPr="00BF2372">
        <w:rPr>
          <w:rFonts w:ascii="Times New Roman" w:eastAsiaTheme="minorEastAsia" w:hAnsi="Times New Roman"/>
          <w:b w:val="0"/>
          <w:bCs w:val="0"/>
          <w:lang w:eastAsia="zh-CN"/>
        </w:rPr>
        <w:t xml:space="preserve">The detailed system performance specifications for the MCOS are summarized in Table </w:t>
      </w:r>
      <w:r w:rsidR="00640DAC">
        <w:rPr>
          <w:rFonts w:ascii="Times New Roman" w:eastAsiaTheme="minorEastAsia" w:hAnsi="Times New Roman" w:hint="eastAsia"/>
          <w:b w:val="0"/>
          <w:bCs w:val="0"/>
          <w:lang w:eastAsia="zh-CN"/>
        </w:rPr>
        <w:t>S</w:t>
      </w:r>
      <w:r w:rsidRPr="00BF2372">
        <w:rPr>
          <w:rFonts w:ascii="Times New Roman" w:eastAsiaTheme="minorEastAsia" w:hAnsi="Times New Roman"/>
          <w:b w:val="0"/>
          <w:bCs w:val="0"/>
          <w:lang w:eastAsia="zh-CN"/>
        </w:rPr>
        <w:t>1.</w:t>
      </w:r>
    </w:p>
    <w:p w14:paraId="1C1D6DE0" w14:textId="33A9FFA6" w:rsidR="00BF2372" w:rsidRDefault="00BF2372" w:rsidP="00BF2372">
      <w:pPr>
        <w:spacing w:beforeLines="50" w:before="156" w:line="360" w:lineRule="auto"/>
        <w:jc w:val="center"/>
        <w:rPr>
          <w:rFonts w:ascii="Times New Roman" w:hAnsi="Times New Roman" w:cs="Times New Roman"/>
          <w:color w:val="000000" w:themeColor="text1"/>
          <w:sz w:val="24"/>
        </w:rPr>
      </w:pPr>
      <w:r>
        <w:rPr>
          <w:rFonts w:ascii="Times New Roman" w:hAnsi="Times New Roman" w:cs="Times New Roman" w:hint="eastAsia"/>
          <w:b/>
          <w:bCs/>
          <w:color w:val="000000" w:themeColor="text1"/>
          <w:sz w:val="24"/>
        </w:rPr>
        <w:t xml:space="preserve">Table S1. </w:t>
      </w:r>
      <w:r>
        <w:rPr>
          <w:rFonts w:ascii="Times New Roman" w:hAnsi="Times New Roman" w:cs="Times New Roman" w:hint="eastAsia"/>
          <w:color w:val="000000" w:themeColor="text1"/>
          <w:sz w:val="24"/>
        </w:rPr>
        <w:t>System parameters.</w:t>
      </w:r>
    </w:p>
    <w:tbl>
      <w:tblPr>
        <w:tblStyle w:val="21"/>
        <w:tblW w:w="5211" w:type="dxa"/>
        <w:jc w:val="center"/>
        <w:tblLayout w:type="fixed"/>
        <w:tblLook w:val="04A0" w:firstRow="1" w:lastRow="0" w:firstColumn="1" w:lastColumn="0" w:noHBand="0" w:noVBand="1"/>
      </w:tblPr>
      <w:tblGrid>
        <w:gridCol w:w="2294"/>
        <w:gridCol w:w="2917"/>
      </w:tblGrid>
      <w:tr w:rsidR="00BF2372" w14:paraId="6F0B2B8D" w14:textId="77777777" w:rsidTr="00FD13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4" w:type="dxa"/>
            <w:tcBorders>
              <w:top w:val="single" w:sz="12" w:space="0" w:color="auto"/>
              <w:bottom w:val="single" w:sz="8" w:space="0" w:color="auto"/>
            </w:tcBorders>
          </w:tcPr>
          <w:p w14:paraId="300CDC21" w14:textId="77777777" w:rsidR="00BF2372" w:rsidRPr="00C54B92" w:rsidRDefault="00BF2372" w:rsidP="00FD13C4">
            <w:pPr>
              <w:spacing w:line="360" w:lineRule="auto"/>
              <w:jc w:val="center"/>
              <w:rPr>
                <w:color w:val="000000" w:themeColor="text1"/>
                <w:sz w:val="24"/>
              </w:rPr>
            </w:pPr>
            <w:r w:rsidRPr="00C54B92">
              <w:rPr>
                <w:rFonts w:hint="eastAsia"/>
                <w:color w:val="000000" w:themeColor="text1"/>
                <w:sz w:val="24"/>
              </w:rPr>
              <w:t>Indicator</w:t>
            </w:r>
          </w:p>
        </w:tc>
        <w:tc>
          <w:tcPr>
            <w:tcW w:w="2917" w:type="dxa"/>
            <w:tcBorders>
              <w:top w:val="single" w:sz="12" w:space="0" w:color="auto"/>
              <w:bottom w:val="single" w:sz="8" w:space="0" w:color="auto"/>
            </w:tcBorders>
          </w:tcPr>
          <w:p w14:paraId="7865A8D7" w14:textId="77777777" w:rsidR="00BF2372" w:rsidRPr="00C54B92" w:rsidRDefault="00BF2372" w:rsidP="00FD13C4">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C54B92">
              <w:rPr>
                <w:rFonts w:hint="eastAsia"/>
                <w:color w:val="000000" w:themeColor="text1"/>
                <w:sz w:val="24"/>
              </w:rPr>
              <w:t>Value</w:t>
            </w:r>
          </w:p>
        </w:tc>
      </w:tr>
      <w:tr w:rsidR="00BF2372" w14:paraId="4BBD20A1" w14:textId="77777777" w:rsidTr="00FD13C4">
        <w:trPr>
          <w:jc w:val="center"/>
        </w:trPr>
        <w:tc>
          <w:tcPr>
            <w:cnfStyle w:val="001000000000" w:firstRow="0" w:lastRow="0" w:firstColumn="1" w:lastColumn="0" w:oddVBand="0" w:evenVBand="0" w:oddHBand="0" w:evenHBand="0" w:firstRowFirstColumn="0" w:firstRowLastColumn="0" w:lastRowFirstColumn="0" w:lastRowLastColumn="0"/>
            <w:tcW w:w="2294" w:type="dxa"/>
            <w:tcBorders>
              <w:top w:val="single" w:sz="8" w:space="0" w:color="auto"/>
              <w:bottom w:val="single" w:sz="4" w:space="0" w:color="7F7F7F" w:themeColor="text1" w:themeTint="80"/>
            </w:tcBorders>
          </w:tcPr>
          <w:p w14:paraId="1A92AC59" w14:textId="77777777" w:rsidR="00BF2372" w:rsidRDefault="00BF2372" w:rsidP="00FD13C4">
            <w:pPr>
              <w:spacing w:line="360" w:lineRule="auto"/>
              <w:jc w:val="center"/>
              <w:rPr>
                <w:b w:val="0"/>
                <w:bCs w:val="0"/>
                <w:color w:val="000000" w:themeColor="text1"/>
                <w:sz w:val="24"/>
              </w:rPr>
            </w:pPr>
            <w:r>
              <w:rPr>
                <w:b w:val="0"/>
                <w:bCs w:val="0"/>
                <w:color w:val="000000" w:themeColor="text1"/>
                <w:sz w:val="24"/>
              </w:rPr>
              <w:t>Wavelength (</w:t>
            </w:r>
            <w:r w:rsidRPr="000D4C1B">
              <w:rPr>
                <w:b w:val="0"/>
                <w:bCs w:val="0"/>
                <w:sz w:val="24"/>
                <w:szCs w:val="24"/>
              </w:rPr>
              <w:t>μm</w:t>
            </w:r>
            <w:r>
              <w:rPr>
                <w:b w:val="0"/>
                <w:bCs w:val="0"/>
                <w:color w:val="000000" w:themeColor="text1"/>
                <w:sz w:val="24"/>
              </w:rPr>
              <w:t>)</w:t>
            </w:r>
          </w:p>
        </w:tc>
        <w:tc>
          <w:tcPr>
            <w:tcW w:w="2917" w:type="dxa"/>
            <w:tcBorders>
              <w:top w:val="single" w:sz="8" w:space="0" w:color="auto"/>
              <w:bottom w:val="single" w:sz="4" w:space="0" w:color="7F7F7F" w:themeColor="text1" w:themeTint="80"/>
            </w:tcBorders>
          </w:tcPr>
          <w:p w14:paraId="07EA8A02" w14:textId="77777777" w:rsidR="00BF2372" w:rsidRDefault="00BF2372" w:rsidP="00FD13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8-12</w:t>
            </w:r>
          </w:p>
        </w:tc>
      </w:tr>
      <w:tr w:rsidR="00BF2372" w14:paraId="6F30F25B" w14:textId="77777777" w:rsidTr="00FD13C4">
        <w:trPr>
          <w:jc w:val="center"/>
        </w:trPr>
        <w:tc>
          <w:tcPr>
            <w:cnfStyle w:val="001000000000" w:firstRow="0" w:lastRow="0" w:firstColumn="1" w:lastColumn="0" w:oddVBand="0" w:evenVBand="0" w:oddHBand="0" w:evenHBand="0" w:firstRowFirstColumn="0" w:firstRowLastColumn="0" w:lastRowFirstColumn="0" w:lastRowLastColumn="0"/>
            <w:tcW w:w="2294" w:type="dxa"/>
            <w:tcBorders>
              <w:top w:val="single" w:sz="4" w:space="0" w:color="7F7F7F" w:themeColor="text1" w:themeTint="80"/>
              <w:bottom w:val="single" w:sz="4" w:space="0" w:color="7F7F7F" w:themeColor="text1" w:themeTint="80"/>
            </w:tcBorders>
          </w:tcPr>
          <w:p w14:paraId="31999948" w14:textId="77777777" w:rsidR="00BF2372" w:rsidRDefault="00BF2372" w:rsidP="00FD13C4">
            <w:pPr>
              <w:spacing w:line="360" w:lineRule="auto"/>
              <w:jc w:val="center"/>
              <w:rPr>
                <w:color w:val="000000" w:themeColor="text1"/>
                <w:sz w:val="24"/>
              </w:rPr>
            </w:pPr>
            <w:r>
              <w:rPr>
                <w:b w:val="0"/>
                <w:bCs w:val="0"/>
                <w:color w:val="000000" w:themeColor="text1"/>
                <w:sz w:val="24"/>
              </w:rPr>
              <w:t>F/#</w:t>
            </w:r>
          </w:p>
        </w:tc>
        <w:tc>
          <w:tcPr>
            <w:tcW w:w="2917" w:type="dxa"/>
            <w:tcBorders>
              <w:top w:val="single" w:sz="4" w:space="0" w:color="7F7F7F" w:themeColor="text1" w:themeTint="80"/>
              <w:bottom w:val="single" w:sz="4" w:space="0" w:color="7F7F7F" w:themeColor="text1" w:themeTint="80"/>
            </w:tcBorders>
          </w:tcPr>
          <w:p w14:paraId="6C9A1BFF" w14:textId="77777777" w:rsidR="00BF2372" w:rsidRDefault="00BF2372" w:rsidP="00FD13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1.05</w:t>
            </w:r>
          </w:p>
        </w:tc>
      </w:tr>
      <w:tr w:rsidR="00BF2372" w14:paraId="47AF25D7" w14:textId="77777777" w:rsidTr="00FD13C4">
        <w:trPr>
          <w:jc w:val="center"/>
        </w:trPr>
        <w:tc>
          <w:tcPr>
            <w:cnfStyle w:val="001000000000" w:firstRow="0" w:lastRow="0" w:firstColumn="1" w:lastColumn="0" w:oddVBand="0" w:evenVBand="0" w:oddHBand="0" w:evenHBand="0" w:firstRowFirstColumn="0" w:firstRowLastColumn="0" w:lastRowFirstColumn="0" w:lastRowLastColumn="0"/>
            <w:tcW w:w="2294" w:type="dxa"/>
            <w:tcBorders>
              <w:top w:val="single" w:sz="4" w:space="0" w:color="7F7F7F" w:themeColor="text1" w:themeTint="80"/>
              <w:bottom w:val="single" w:sz="4" w:space="0" w:color="7F7F7F" w:themeColor="text1" w:themeTint="80"/>
            </w:tcBorders>
          </w:tcPr>
          <w:p w14:paraId="43CE7C7A" w14:textId="77777777" w:rsidR="00BF2372" w:rsidRDefault="00BF2372" w:rsidP="00FD13C4">
            <w:pPr>
              <w:spacing w:line="360" w:lineRule="auto"/>
              <w:jc w:val="center"/>
              <w:rPr>
                <w:color w:val="000000" w:themeColor="text1"/>
                <w:sz w:val="24"/>
              </w:rPr>
            </w:pPr>
            <w:r w:rsidRPr="00B010E5">
              <w:rPr>
                <w:rFonts w:hint="eastAsia"/>
                <w:b w:val="0"/>
                <w:bCs w:val="0"/>
                <w:color w:val="000000" w:themeColor="text1"/>
                <w:sz w:val="24"/>
              </w:rPr>
              <w:t>Aperture</w:t>
            </w:r>
            <w:r>
              <w:rPr>
                <w:rFonts w:hint="eastAsia"/>
                <w:b w:val="0"/>
                <w:bCs w:val="0"/>
                <w:color w:val="000000" w:themeColor="text1"/>
                <w:sz w:val="24"/>
              </w:rPr>
              <w:t>(mm)</w:t>
            </w:r>
          </w:p>
        </w:tc>
        <w:tc>
          <w:tcPr>
            <w:tcW w:w="2917" w:type="dxa"/>
            <w:tcBorders>
              <w:top w:val="single" w:sz="4" w:space="0" w:color="7F7F7F" w:themeColor="text1" w:themeTint="80"/>
              <w:bottom w:val="single" w:sz="4" w:space="0" w:color="7F7F7F" w:themeColor="text1" w:themeTint="80"/>
            </w:tcBorders>
          </w:tcPr>
          <w:p w14:paraId="638A320E" w14:textId="77777777" w:rsidR="00BF2372" w:rsidRDefault="00BF2372" w:rsidP="00FD13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58</w:t>
            </w:r>
          </w:p>
        </w:tc>
      </w:tr>
      <w:tr w:rsidR="00BF2372" w14:paraId="07023C5D" w14:textId="77777777" w:rsidTr="00FD13C4">
        <w:trPr>
          <w:jc w:val="center"/>
        </w:trPr>
        <w:tc>
          <w:tcPr>
            <w:cnfStyle w:val="001000000000" w:firstRow="0" w:lastRow="0" w:firstColumn="1" w:lastColumn="0" w:oddVBand="0" w:evenVBand="0" w:oddHBand="0" w:evenHBand="0" w:firstRowFirstColumn="0" w:firstRowLastColumn="0" w:lastRowFirstColumn="0" w:lastRowLastColumn="0"/>
            <w:tcW w:w="2294" w:type="dxa"/>
            <w:tcBorders>
              <w:top w:val="single" w:sz="4" w:space="0" w:color="7F7F7F" w:themeColor="text1" w:themeTint="80"/>
              <w:bottom w:val="single" w:sz="4" w:space="0" w:color="7F7F7F" w:themeColor="text1" w:themeTint="80"/>
            </w:tcBorders>
          </w:tcPr>
          <w:p w14:paraId="254B9262" w14:textId="77777777" w:rsidR="00BF2372" w:rsidRDefault="00BF2372" w:rsidP="00FD13C4">
            <w:pPr>
              <w:spacing w:line="360" w:lineRule="auto"/>
              <w:jc w:val="center"/>
              <w:rPr>
                <w:color w:val="000000" w:themeColor="text1"/>
                <w:sz w:val="24"/>
              </w:rPr>
            </w:pPr>
            <w:r>
              <w:rPr>
                <w:b w:val="0"/>
                <w:bCs w:val="0"/>
                <w:color w:val="000000" w:themeColor="text1"/>
                <w:sz w:val="24"/>
              </w:rPr>
              <w:t>FOV (°)</w:t>
            </w:r>
          </w:p>
        </w:tc>
        <w:tc>
          <w:tcPr>
            <w:tcW w:w="2917" w:type="dxa"/>
            <w:tcBorders>
              <w:top w:val="single" w:sz="4" w:space="0" w:color="7F7F7F" w:themeColor="text1" w:themeTint="80"/>
              <w:bottom w:val="single" w:sz="4" w:space="0" w:color="7F7F7F" w:themeColor="text1" w:themeTint="80"/>
            </w:tcBorders>
          </w:tcPr>
          <w:p w14:paraId="5F3B74F1" w14:textId="77777777" w:rsidR="00BF2372" w:rsidRDefault="00BF2372" w:rsidP="00FD13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20</w:t>
            </w:r>
          </w:p>
        </w:tc>
      </w:tr>
      <w:tr w:rsidR="00BF2372" w14:paraId="0D33BDD9" w14:textId="77777777" w:rsidTr="00FD13C4">
        <w:trPr>
          <w:jc w:val="center"/>
        </w:trPr>
        <w:tc>
          <w:tcPr>
            <w:cnfStyle w:val="001000000000" w:firstRow="0" w:lastRow="0" w:firstColumn="1" w:lastColumn="0" w:oddVBand="0" w:evenVBand="0" w:oddHBand="0" w:evenHBand="0" w:firstRowFirstColumn="0" w:firstRowLastColumn="0" w:lastRowFirstColumn="0" w:lastRowLastColumn="0"/>
            <w:tcW w:w="2294" w:type="dxa"/>
            <w:tcBorders>
              <w:bottom w:val="single" w:sz="12" w:space="0" w:color="auto"/>
            </w:tcBorders>
          </w:tcPr>
          <w:p w14:paraId="7BD26418" w14:textId="1334FA09" w:rsidR="00BF2372" w:rsidRDefault="00BF2372" w:rsidP="00FD13C4">
            <w:pPr>
              <w:spacing w:line="360" w:lineRule="auto"/>
              <w:jc w:val="center"/>
              <w:rPr>
                <w:b w:val="0"/>
                <w:bCs w:val="0"/>
                <w:color w:val="000000" w:themeColor="text1"/>
                <w:sz w:val="24"/>
              </w:rPr>
            </w:pPr>
            <w:r w:rsidRPr="00BF2372">
              <w:rPr>
                <w:rFonts w:hint="eastAsia"/>
                <w:b w:val="0"/>
                <w:bCs w:val="0"/>
                <w:color w:val="000000" w:themeColor="text1"/>
                <w:sz w:val="24"/>
              </w:rPr>
              <w:t xml:space="preserve">Focal length </w:t>
            </w:r>
            <w:r>
              <w:rPr>
                <w:rFonts w:hint="eastAsia"/>
                <w:b w:val="0"/>
                <w:bCs w:val="0"/>
                <w:color w:val="000000" w:themeColor="text1"/>
                <w:sz w:val="24"/>
              </w:rPr>
              <w:t>(mm)</w:t>
            </w:r>
          </w:p>
        </w:tc>
        <w:tc>
          <w:tcPr>
            <w:tcW w:w="2917" w:type="dxa"/>
            <w:tcBorders>
              <w:bottom w:val="single" w:sz="12" w:space="0" w:color="auto"/>
            </w:tcBorders>
          </w:tcPr>
          <w:p w14:paraId="5156E248" w14:textId="77777777" w:rsidR="00BF2372" w:rsidRDefault="00BF2372" w:rsidP="00FD13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60</w:t>
            </w:r>
          </w:p>
        </w:tc>
      </w:tr>
    </w:tbl>
    <w:p w14:paraId="4A685FB3" w14:textId="1975395C" w:rsidR="00BF2372" w:rsidRPr="00BF2372" w:rsidRDefault="00BF2372" w:rsidP="00BF2372">
      <w:pPr>
        <w:pStyle w:val="Subtitle1"/>
        <w:spacing w:beforeLines="50" w:before="156" w:line="400" w:lineRule="exact"/>
        <w:ind w:firstLineChars="100" w:firstLine="240"/>
        <w:rPr>
          <w:rFonts w:ascii="Times New Roman" w:eastAsiaTheme="minorEastAsia" w:hAnsi="Times New Roman"/>
          <w:b w:val="0"/>
          <w:bCs w:val="0"/>
          <w:lang w:eastAsia="zh-CN"/>
        </w:rPr>
      </w:pPr>
      <w:r w:rsidRPr="00BF2372">
        <w:rPr>
          <w:rFonts w:ascii="Times New Roman" w:eastAsiaTheme="minorEastAsia" w:hAnsi="Times New Roman" w:hint="eastAsia"/>
          <w:b w:val="0"/>
          <w:bCs w:val="0"/>
          <w:lang w:eastAsia="zh-CN"/>
        </w:rPr>
        <w:t>Table S2 presents a comparison of the specific performance parameters between this work and other studies.</w:t>
      </w:r>
    </w:p>
    <w:p w14:paraId="1D1FEA70" w14:textId="4751866B" w:rsidR="00BF2372" w:rsidRDefault="00BF2372" w:rsidP="00BF2372">
      <w:pPr>
        <w:spacing w:beforeLines="50" w:before="156" w:line="240" w:lineRule="auto"/>
        <w:jc w:val="center"/>
        <w:rPr>
          <w:rFonts w:ascii="Times New Roman" w:hAnsi="Times New Roman" w:cs="Times New Roman"/>
          <w:color w:val="000000" w:themeColor="text1"/>
          <w:sz w:val="24"/>
        </w:rPr>
      </w:pPr>
      <w:r>
        <w:rPr>
          <w:rFonts w:ascii="Times New Roman" w:hAnsi="Times New Roman" w:cs="Times New Roman" w:hint="eastAsia"/>
          <w:b/>
          <w:bCs/>
          <w:color w:val="000000" w:themeColor="text1"/>
          <w:sz w:val="24"/>
        </w:rPr>
        <w:t xml:space="preserve">Table S2. </w:t>
      </w:r>
      <w:r w:rsidRPr="00BF2372">
        <w:rPr>
          <w:rFonts w:ascii="Times New Roman" w:hAnsi="Times New Roman" w:cs="Times New Roman" w:hint="eastAsia"/>
          <w:color w:val="000000" w:themeColor="text1"/>
          <w:sz w:val="24"/>
        </w:rPr>
        <w:t>Performance comparison between MCOS and other hybrid refractive-diffractive systems</w:t>
      </w:r>
      <w:r>
        <w:rPr>
          <w:rFonts w:ascii="Times New Roman" w:hAnsi="Times New Roman" w:cs="Times New Roman" w:hint="eastAsia"/>
          <w:color w:val="000000" w:themeColor="text1"/>
          <w:sz w:val="24"/>
        </w:rPr>
        <w:t>.</w:t>
      </w:r>
    </w:p>
    <w:tbl>
      <w:tblPr>
        <w:tblStyle w:val="21"/>
        <w:tblW w:w="8306" w:type="dxa"/>
        <w:jc w:val="center"/>
        <w:tblLayout w:type="fixed"/>
        <w:tblLook w:val="04A0" w:firstRow="1" w:lastRow="0" w:firstColumn="1" w:lastColumn="0" w:noHBand="0" w:noVBand="1"/>
      </w:tblPr>
      <w:tblGrid>
        <w:gridCol w:w="1134"/>
        <w:gridCol w:w="1560"/>
        <w:gridCol w:w="1275"/>
        <w:gridCol w:w="1276"/>
        <w:gridCol w:w="1134"/>
        <w:gridCol w:w="1927"/>
      </w:tblGrid>
      <w:tr w:rsidR="00BF2372" w14:paraId="0E7FC4B2" w14:textId="77777777" w:rsidTr="00FD13C4">
        <w:trPr>
          <w:cnfStyle w:val="100000000000" w:firstRow="1" w:lastRow="0" w:firstColumn="0" w:lastColumn="0" w:oddVBand="0" w:evenVBand="0" w:oddHBand="0"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bottom w:val="single" w:sz="8" w:space="0" w:color="auto"/>
            </w:tcBorders>
            <w:vAlign w:val="center"/>
          </w:tcPr>
          <w:p w14:paraId="6C718FD8" w14:textId="77777777" w:rsidR="00BF2372" w:rsidRPr="00DD1DCB" w:rsidRDefault="00BF2372" w:rsidP="00FD13C4">
            <w:pPr>
              <w:spacing w:line="360" w:lineRule="auto"/>
              <w:jc w:val="center"/>
              <w:rPr>
                <w:color w:val="000000" w:themeColor="text1"/>
                <w:sz w:val="24"/>
              </w:rPr>
            </w:pPr>
          </w:p>
        </w:tc>
        <w:tc>
          <w:tcPr>
            <w:tcW w:w="1560" w:type="dxa"/>
            <w:tcBorders>
              <w:top w:val="single" w:sz="12" w:space="0" w:color="auto"/>
              <w:bottom w:val="single" w:sz="8" w:space="0" w:color="auto"/>
            </w:tcBorders>
            <w:vAlign w:val="center"/>
          </w:tcPr>
          <w:p w14:paraId="5BA84468" w14:textId="77777777" w:rsidR="00BF2372" w:rsidRPr="00DD1DCB" w:rsidRDefault="00BF2372" w:rsidP="00FD13C4">
            <w:pPr>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DD1DCB">
              <w:rPr>
                <w:color w:val="000000" w:themeColor="text1"/>
                <w:sz w:val="24"/>
              </w:rPr>
              <w:t xml:space="preserve">Wavelength </w:t>
            </w:r>
            <w:r w:rsidRPr="007403C2">
              <w:rPr>
                <w:b w:val="0"/>
                <w:bCs w:val="0"/>
                <w:color w:val="000000" w:themeColor="text1"/>
                <w:sz w:val="24"/>
              </w:rPr>
              <w:t>(</w:t>
            </w:r>
            <w:r w:rsidRPr="007403C2">
              <w:rPr>
                <w:b w:val="0"/>
                <w:bCs w:val="0"/>
                <w:sz w:val="24"/>
                <w:szCs w:val="24"/>
              </w:rPr>
              <w:t>μm</w:t>
            </w:r>
            <w:r w:rsidRPr="007403C2">
              <w:rPr>
                <w:b w:val="0"/>
                <w:bCs w:val="0"/>
                <w:color w:val="000000" w:themeColor="text1"/>
                <w:sz w:val="24"/>
              </w:rPr>
              <w:t>)</w:t>
            </w:r>
          </w:p>
        </w:tc>
        <w:tc>
          <w:tcPr>
            <w:tcW w:w="1275" w:type="dxa"/>
            <w:tcBorders>
              <w:top w:val="single" w:sz="12" w:space="0" w:color="auto"/>
              <w:bottom w:val="single" w:sz="8" w:space="0" w:color="auto"/>
            </w:tcBorders>
            <w:vAlign w:val="center"/>
          </w:tcPr>
          <w:p w14:paraId="61553C32" w14:textId="77777777" w:rsidR="00BF2372" w:rsidRDefault="00BF2372" w:rsidP="00FD13C4">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Pr>
                <w:rFonts w:hint="eastAsia"/>
                <w:color w:val="000000" w:themeColor="text1"/>
                <w:sz w:val="24"/>
              </w:rPr>
              <w:t>F</w:t>
            </w:r>
            <w:r w:rsidRPr="00F626B2">
              <w:rPr>
                <w:rFonts w:hint="eastAsia"/>
                <w:color w:val="000000" w:themeColor="text1"/>
                <w:sz w:val="24"/>
              </w:rPr>
              <w:t>ocusing efficiency</w:t>
            </w:r>
          </w:p>
          <w:p w14:paraId="1DF33204" w14:textId="77777777" w:rsidR="00BF2372" w:rsidRPr="007403C2" w:rsidRDefault="00BF2372" w:rsidP="00FD13C4">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sidRPr="007403C2">
              <w:rPr>
                <w:rFonts w:hint="eastAsia"/>
                <w:b w:val="0"/>
                <w:bCs w:val="0"/>
                <w:color w:val="000000" w:themeColor="text1"/>
                <w:sz w:val="24"/>
              </w:rPr>
              <w:t>(%)</w:t>
            </w:r>
          </w:p>
        </w:tc>
        <w:tc>
          <w:tcPr>
            <w:tcW w:w="1276" w:type="dxa"/>
            <w:tcBorders>
              <w:top w:val="single" w:sz="12" w:space="0" w:color="auto"/>
              <w:bottom w:val="single" w:sz="8" w:space="0" w:color="auto"/>
            </w:tcBorders>
            <w:vAlign w:val="center"/>
          </w:tcPr>
          <w:p w14:paraId="15D293DB" w14:textId="77777777" w:rsidR="00BF2372" w:rsidRPr="00DD1DCB" w:rsidRDefault="00BF2372" w:rsidP="00FD13C4">
            <w:pPr>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5B0E8A">
              <w:rPr>
                <w:rFonts w:hint="eastAsia"/>
                <w:color w:val="000000" w:themeColor="text1"/>
                <w:sz w:val="24"/>
              </w:rPr>
              <w:t>Aperture</w:t>
            </w:r>
          </w:p>
          <w:p w14:paraId="4A7EE836" w14:textId="77777777" w:rsidR="00BF2372" w:rsidRPr="007403C2" w:rsidRDefault="00BF2372" w:rsidP="00FD13C4">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sidRPr="007403C2">
              <w:rPr>
                <w:b w:val="0"/>
                <w:bCs w:val="0"/>
                <w:color w:val="000000" w:themeColor="text1"/>
                <w:sz w:val="24"/>
              </w:rPr>
              <w:t>(</w:t>
            </w:r>
            <w:r>
              <w:rPr>
                <w:rFonts w:hint="eastAsia"/>
                <w:b w:val="0"/>
                <w:bCs w:val="0"/>
                <w:color w:val="000000" w:themeColor="text1"/>
                <w:sz w:val="24"/>
              </w:rPr>
              <w:t>mm</w:t>
            </w:r>
            <w:r w:rsidRPr="007403C2">
              <w:rPr>
                <w:b w:val="0"/>
                <w:bCs w:val="0"/>
                <w:color w:val="000000" w:themeColor="text1"/>
                <w:sz w:val="24"/>
              </w:rPr>
              <w:t>)</w:t>
            </w:r>
          </w:p>
        </w:tc>
        <w:tc>
          <w:tcPr>
            <w:tcW w:w="1134" w:type="dxa"/>
            <w:tcBorders>
              <w:top w:val="single" w:sz="12" w:space="0" w:color="auto"/>
              <w:bottom w:val="single" w:sz="8" w:space="0" w:color="auto"/>
            </w:tcBorders>
            <w:vAlign w:val="center"/>
          </w:tcPr>
          <w:p w14:paraId="019F4D8B" w14:textId="77777777" w:rsidR="00BF2372" w:rsidRPr="00DD1DCB" w:rsidRDefault="00BF2372" w:rsidP="00FD13C4">
            <w:pPr>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FOV</w:t>
            </w:r>
            <w:r>
              <w:rPr>
                <w:color w:val="000000" w:themeColor="text1"/>
                <w:sz w:val="24"/>
              </w:rPr>
              <w:br/>
            </w:r>
            <w:r>
              <w:rPr>
                <w:rFonts w:hint="eastAsia"/>
                <w:color w:val="000000" w:themeColor="text1"/>
                <w:sz w:val="24"/>
              </w:rPr>
              <w:t>(</w:t>
            </w:r>
            <w:r>
              <w:rPr>
                <w:rFonts w:hint="eastAsia"/>
                <w:color w:val="000000" w:themeColor="text1"/>
                <w:sz w:val="24"/>
              </w:rPr>
              <w:t>°</w:t>
            </w:r>
            <w:r>
              <w:rPr>
                <w:rFonts w:hint="eastAsia"/>
                <w:color w:val="000000" w:themeColor="text1"/>
                <w:sz w:val="24"/>
              </w:rPr>
              <w:t>)</w:t>
            </w:r>
          </w:p>
        </w:tc>
        <w:tc>
          <w:tcPr>
            <w:tcW w:w="1927" w:type="dxa"/>
            <w:tcBorders>
              <w:top w:val="single" w:sz="12" w:space="0" w:color="auto"/>
              <w:bottom w:val="single" w:sz="8" w:space="0" w:color="auto"/>
            </w:tcBorders>
            <w:vAlign w:val="center"/>
          </w:tcPr>
          <w:p w14:paraId="576E6C84" w14:textId="77777777" w:rsidR="00BF2372" w:rsidRDefault="00BF2372" w:rsidP="00FD13C4">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Pr>
                <w:rFonts w:hint="eastAsia"/>
                <w:color w:val="000000" w:themeColor="text1"/>
                <w:sz w:val="24"/>
              </w:rPr>
              <w:t>A</w:t>
            </w:r>
            <w:r w:rsidRPr="00F626B2">
              <w:rPr>
                <w:rFonts w:hint="eastAsia"/>
                <w:color w:val="000000" w:themeColor="text1"/>
                <w:sz w:val="24"/>
              </w:rPr>
              <w:t>thermalization</w:t>
            </w:r>
          </w:p>
          <w:p w14:paraId="4245E570" w14:textId="77777777" w:rsidR="00BF2372" w:rsidRPr="00DD1DCB" w:rsidRDefault="00BF2372" w:rsidP="00FD13C4">
            <w:pPr>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range</w:t>
            </w:r>
            <w:r>
              <w:rPr>
                <w:color w:val="000000" w:themeColor="text1"/>
                <w:sz w:val="24"/>
              </w:rPr>
              <w:br/>
            </w:r>
            <w:r w:rsidRPr="007403C2">
              <w:rPr>
                <w:rFonts w:hint="eastAsia"/>
                <w:b w:val="0"/>
                <w:bCs w:val="0"/>
                <w:color w:val="000000" w:themeColor="text1"/>
                <w:sz w:val="24"/>
              </w:rPr>
              <w:t>(</w:t>
            </w:r>
            <w:r w:rsidRPr="007403C2">
              <w:rPr>
                <w:rFonts w:hint="eastAsia"/>
                <w:b w:val="0"/>
                <w:bCs w:val="0"/>
                <w:color w:val="000000" w:themeColor="text1"/>
                <w:sz w:val="24"/>
              </w:rPr>
              <w:t>℃</w:t>
            </w:r>
            <w:r w:rsidRPr="007403C2">
              <w:rPr>
                <w:rFonts w:hint="eastAsia"/>
                <w:b w:val="0"/>
                <w:bCs w:val="0"/>
                <w:color w:val="000000" w:themeColor="text1"/>
                <w:sz w:val="24"/>
              </w:rPr>
              <w:t>)</w:t>
            </w:r>
          </w:p>
        </w:tc>
      </w:tr>
      <w:tr w:rsidR="00BF2372" w14:paraId="511371B4" w14:textId="77777777" w:rsidTr="00FD13C4">
        <w:trPr>
          <w:trHeight w:val="47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uto"/>
              <w:bottom w:val="single" w:sz="4" w:space="0" w:color="7F7F7F" w:themeColor="text1" w:themeTint="80"/>
            </w:tcBorders>
          </w:tcPr>
          <w:p w14:paraId="56A98D52" w14:textId="6D81A221" w:rsidR="00BF2372" w:rsidRPr="00F626B2" w:rsidRDefault="00BF2372" w:rsidP="00FD13C4">
            <w:pPr>
              <w:jc w:val="center"/>
              <w:rPr>
                <w:b w:val="0"/>
                <w:bCs w:val="0"/>
                <w:color w:val="000000" w:themeColor="text1"/>
                <w:sz w:val="24"/>
              </w:rPr>
            </w:pPr>
            <w:r w:rsidRPr="00F626B2">
              <w:rPr>
                <w:rFonts w:hint="eastAsia"/>
                <w:b w:val="0"/>
                <w:bCs w:val="0"/>
                <w:color w:val="000000" w:themeColor="text1"/>
                <w:sz w:val="24"/>
              </w:rPr>
              <w:t>Ref.</w:t>
            </w:r>
            <w:r>
              <w:rPr>
                <w:rFonts w:hint="eastAsia"/>
                <w:b w:val="0"/>
                <w:bCs w:val="0"/>
                <w:color w:val="000000" w:themeColor="text1"/>
                <w:sz w:val="24"/>
              </w:rPr>
              <w:t>[</w:t>
            </w:r>
            <w:r w:rsidR="0019044E">
              <w:rPr>
                <w:rFonts w:hint="eastAsia"/>
                <w:b w:val="0"/>
                <w:bCs w:val="0"/>
                <w:color w:val="000000" w:themeColor="text1"/>
                <w:sz w:val="24"/>
              </w:rPr>
              <w:t>1</w:t>
            </w:r>
            <w:r>
              <w:rPr>
                <w:rFonts w:hint="eastAsia"/>
                <w:b w:val="0"/>
                <w:bCs w:val="0"/>
                <w:color w:val="000000" w:themeColor="text1"/>
                <w:sz w:val="24"/>
              </w:rPr>
              <w:t>]</w:t>
            </w:r>
          </w:p>
        </w:tc>
        <w:tc>
          <w:tcPr>
            <w:tcW w:w="1560" w:type="dxa"/>
            <w:tcBorders>
              <w:top w:val="single" w:sz="4" w:space="0" w:color="7F7F7F" w:themeColor="text1" w:themeTint="80"/>
              <w:bottom w:val="single" w:sz="4" w:space="0" w:color="7F7F7F" w:themeColor="text1" w:themeTint="80"/>
            </w:tcBorders>
          </w:tcPr>
          <w:p w14:paraId="419F6685"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B16C8">
              <w:rPr>
                <w:color w:val="000000" w:themeColor="text1"/>
                <w:sz w:val="24"/>
              </w:rPr>
              <w:t>0.55</w:t>
            </w:r>
            <w:r>
              <w:rPr>
                <w:rFonts w:hint="eastAsia"/>
                <w:color w:val="000000" w:themeColor="text1"/>
                <w:sz w:val="24"/>
              </w:rPr>
              <w:t>-</w:t>
            </w:r>
            <w:r w:rsidRPr="002B16C8">
              <w:rPr>
                <w:color w:val="000000" w:themeColor="text1"/>
                <w:sz w:val="24"/>
              </w:rPr>
              <w:t>0.8</w:t>
            </w:r>
          </w:p>
        </w:tc>
        <w:tc>
          <w:tcPr>
            <w:tcW w:w="1275" w:type="dxa"/>
            <w:tcBorders>
              <w:top w:val="single" w:sz="4" w:space="0" w:color="7F7F7F" w:themeColor="text1" w:themeTint="80"/>
              <w:bottom w:val="single" w:sz="4" w:space="0" w:color="7F7F7F" w:themeColor="text1" w:themeTint="80"/>
            </w:tcBorders>
          </w:tcPr>
          <w:p w14:paraId="1B2CCD17"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B16C8">
              <w:rPr>
                <w:rFonts w:hint="eastAsia"/>
                <w:color w:val="000000" w:themeColor="text1"/>
                <w:sz w:val="24"/>
              </w:rPr>
              <w:t>8.5</w:t>
            </w:r>
          </w:p>
        </w:tc>
        <w:tc>
          <w:tcPr>
            <w:tcW w:w="1276" w:type="dxa"/>
            <w:tcBorders>
              <w:top w:val="single" w:sz="4" w:space="0" w:color="7F7F7F" w:themeColor="text1" w:themeTint="80"/>
              <w:bottom w:val="single" w:sz="4" w:space="0" w:color="7F7F7F" w:themeColor="text1" w:themeTint="80"/>
            </w:tcBorders>
          </w:tcPr>
          <w:p w14:paraId="20C4BDDB"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10</w:t>
            </w:r>
          </w:p>
        </w:tc>
        <w:tc>
          <w:tcPr>
            <w:tcW w:w="1134" w:type="dxa"/>
            <w:tcBorders>
              <w:top w:val="single" w:sz="4" w:space="0" w:color="7F7F7F" w:themeColor="text1" w:themeTint="80"/>
              <w:bottom w:val="single" w:sz="4" w:space="0" w:color="7F7F7F" w:themeColor="text1" w:themeTint="80"/>
            </w:tcBorders>
          </w:tcPr>
          <w:p w14:paraId="36B42D83"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w:t>
            </w:r>
          </w:p>
        </w:tc>
        <w:tc>
          <w:tcPr>
            <w:tcW w:w="1927" w:type="dxa"/>
            <w:tcBorders>
              <w:top w:val="single" w:sz="4" w:space="0" w:color="7F7F7F" w:themeColor="text1" w:themeTint="80"/>
              <w:bottom w:val="single" w:sz="4" w:space="0" w:color="7F7F7F" w:themeColor="text1" w:themeTint="80"/>
            </w:tcBorders>
          </w:tcPr>
          <w:p w14:paraId="3942C1D9"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No</w:t>
            </w:r>
          </w:p>
        </w:tc>
      </w:tr>
      <w:tr w:rsidR="00BF2372" w:rsidRPr="00A152C9" w14:paraId="431B6386" w14:textId="77777777" w:rsidTr="00FD13C4">
        <w:trPr>
          <w:trHeight w:val="47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7F7F7F" w:themeColor="text1" w:themeTint="80"/>
              <w:bottom w:val="single" w:sz="4" w:space="0" w:color="7F7F7F" w:themeColor="text1" w:themeTint="80"/>
            </w:tcBorders>
          </w:tcPr>
          <w:p w14:paraId="71FDF85B" w14:textId="3DDEBDC4" w:rsidR="00BF2372" w:rsidRPr="003F07F4" w:rsidRDefault="00BF2372" w:rsidP="00FD13C4">
            <w:pPr>
              <w:jc w:val="center"/>
              <w:rPr>
                <w:b w:val="0"/>
                <w:bCs w:val="0"/>
                <w:color w:val="000000" w:themeColor="text1"/>
                <w:sz w:val="24"/>
              </w:rPr>
            </w:pPr>
            <w:r w:rsidRPr="003F07F4">
              <w:rPr>
                <w:rFonts w:hint="eastAsia"/>
                <w:b w:val="0"/>
                <w:bCs w:val="0"/>
                <w:color w:val="000000" w:themeColor="text1"/>
                <w:sz w:val="24"/>
              </w:rPr>
              <w:t>Ref.[</w:t>
            </w:r>
            <w:r w:rsidR="0019044E">
              <w:rPr>
                <w:rFonts w:hint="eastAsia"/>
                <w:b w:val="0"/>
                <w:bCs w:val="0"/>
                <w:color w:val="000000" w:themeColor="text1"/>
                <w:sz w:val="24"/>
              </w:rPr>
              <w:t>2</w:t>
            </w:r>
            <w:r w:rsidRPr="003F07F4">
              <w:rPr>
                <w:rFonts w:hint="eastAsia"/>
                <w:b w:val="0"/>
                <w:bCs w:val="0"/>
                <w:color w:val="000000" w:themeColor="text1"/>
                <w:sz w:val="24"/>
              </w:rPr>
              <w:t>]</w:t>
            </w:r>
          </w:p>
        </w:tc>
        <w:tc>
          <w:tcPr>
            <w:tcW w:w="1560" w:type="dxa"/>
            <w:tcBorders>
              <w:top w:val="single" w:sz="4" w:space="0" w:color="7F7F7F" w:themeColor="text1" w:themeTint="80"/>
              <w:bottom w:val="single" w:sz="4" w:space="0" w:color="7F7F7F" w:themeColor="text1" w:themeTint="80"/>
            </w:tcBorders>
          </w:tcPr>
          <w:p w14:paraId="372D9F77" w14:textId="77777777" w:rsidR="00BF2372" w:rsidRPr="003F07F4"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color w:val="000000" w:themeColor="text1"/>
                <w:sz w:val="24"/>
              </w:rPr>
              <w:t>0.42 - 0.68</w:t>
            </w:r>
          </w:p>
        </w:tc>
        <w:tc>
          <w:tcPr>
            <w:tcW w:w="1275" w:type="dxa"/>
            <w:tcBorders>
              <w:top w:val="single" w:sz="4" w:space="0" w:color="7F7F7F" w:themeColor="text1" w:themeTint="80"/>
              <w:bottom w:val="single" w:sz="4" w:space="0" w:color="7F7F7F" w:themeColor="text1" w:themeTint="80"/>
            </w:tcBorders>
          </w:tcPr>
          <w:p w14:paraId="6C4B5AFD" w14:textId="77777777" w:rsidR="00BF2372" w:rsidRPr="003F07F4"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rFonts w:hint="eastAsia"/>
                <w:color w:val="000000" w:themeColor="text1"/>
                <w:sz w:val="24"/>
              </w:rPr>
              <w:t>-</w:t>
            </w:r>
          </w:p>
        </w:tc>
        <w:tc>
          <w:tcPr>
            <w:tcW w:w="1276" w:type="dxa"/>
            <w:tcBorders>
              <w:top w:val="single" w:sz="4" w:space="0" w:color="7F7F7F" w:themeColor="text1" w:themeTint="80"/>
              <w:bottom w:val="single" w:sz="4" w:space="0" w:color="7F7F7F" w:themeColor="text1" w:themeTint="80"/>
            </w:tcBorders>
          </w:tcPr>
          <w:p w14:paraId="21EE960C" w14:textId="77777777" w:rsidR="00BF2372" w:rsidRPr="003F07F4"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rFonts w:hint="eastAsia"/>
                <w:color w:val="000000" w:themeColor="text1"/>
                <w:sz w:val="24"/>
              </w:rPr>
              <w:t>8</w:t>
            </w:r>
          </w:p>
        </w:tc>
        <w:tc>
          <w:tcPr>
            <w:tcW w:w="1134" w:type="dxa"/>
            <w:tcBorders>
              <w:top w:val="single" w:sz="4" w:space="0" w:color="7F7F7F" w:themeColor="text1" w:themeTint="80"/>
              <w:bottom w:val="single" w:sz="4" w:space="0" w:color="7F7F7F" w:themeColor="text1" w:themeTint="80"/>
            </w:tcBorders>
          </w:tcPr>
          <w:p w14:paraId="58FF00D5" w14:textId="77777777" w:rsidR="00BF2372" w:rsidRPr="003F07F4"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rFonts w:hint="eastAsia"/>
                <w:color w:val="000000" w:themeColor="text1"/>
                <w:sz w:val="24"/>
              </w:rPr>
              <w:t>-</w:t>
            </w:r>
          </w:p>
        </w:tc>
        <w:tc>
          <w:tcPr>
            <w:tcW w:w="1927" w:type="dxa"/>
            <w:tcBorders>
              <w:top w:val="single" w:sz="4" w:space="0" w:color="7F7F7F" w:themeColor="text1" w:themeTint="80"/>
              <w:bottom w:val="single" w:sz="4" w:space="0" w:color="7F7F7F" w:themeColor="text1" w:themeTint="80"/>
            </w:tcBorders>
          </w:tcPr>
          <w:p w14:paraId="49CFC73E" w14:textId="77777777" w:rsidR="00BF2372" w:rsidRPr="003F07F4"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rFonts w:hint="eastAsia"/>
                <w:color w:val="000000" w:themeColor="text1"/>
                <w:sz w:val="24"/>
              </w:rPr>
              <w:t>No</w:t>
            </w:r>
          </w:p>
        </w:tc>
      </w:tr>
      <w:tr w:rsidR="00BF2372" w14:paraId="1EB9B9F9" w14:textId="77777777" w:rsidTr="00FD13C4">
        <w:trPr>
          <w:trHeight w:val="47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7F7F7F" w:themeColor="text1" w:themeTint="80"/>
              <w:bottom w:val="single" w:sz="4" w:space="0" w:color="7F7F7F" w:themeColor="text1" w:themeTint="80"/>
            </w:tcBorders>
            <w:vAlign w:val="center"/>
          </w:tcPr>
          <w:p w14:paraId="0CC5E8E5" w14:textId="6741814A" w:rsidR="00BF2372" w:rsidRPr="00F626B2" w:rsidRDefault="00BF2372" w:rsidP="00FD13C4">
            <w:pPr>
              <w:jc w:val="center"/>
              <w:rPr>
                <w:b w:val="0"/>
                <w:bCs w:val="0"/>
                <w:color w:val="000000" w:themeColor="text1"/>
                <w:sz w:val="24"/>
              </w:rPr>
            </w:pPr>
            <w:r w:rsidRPr="00F626B2">
              <w:rPr>
                <w:rFonts w:hint="eastAsia"/>
                <w:b w:val="0"/>
                <w:bCs w:val="0"/>
                <w:color w:val="000000" w:themeColor="text1"/>
                <w:sz w:val="24"/>
              </w:rPr>
              <w:t>Ref.</w:t>
            </w:r>
            <w:r>
              <w:rPr>
                <w:rFonts w:hint="eastAsia"/>
                <w:b w:val="0"/>
                <w:bCs w:val="0"/>
                <w:color w:val="000000" w:themeColor="text1"/>
                <w:sz w:val="24"/>
              </w:rPr>
              <w:t>[</w:t>
            </w:r>
            <w:r w:rsidR="0019044E">
              <w:rPr>
                <w:rFonts w:hint="eastAsia"/>
                <w:b w:val="0"/>
                <w:bCs w:val="0"/>
                <w:color w:val="000000" w:themeColor="text1"/>
                <w:sz w:val="24"/>
              </w:rPr>
              <w:t>3</w:t>
            </w:r>
            <w:r>
              <w:rPr>
                <w:rFonts w:hint="eastAsia"/>
                <w:b w:val="0"/>
                <w:bCs w:val="0"/>
                <w:color w:val="000000" w:themeColor="text1"/>
                <w:sz w:val="24"/>
              </w:rPr>
              <w:t>]</w:t>
            </w:r>
          </w:p>
        </w:tc>
        <w:tc>
          <w:tcPr>
            <w:tcW w:w="1560" w:type="dxa"/>
            <w:tcBorders>
              <w:top w:val="single" w:sz="4" w:space="0" w:color="7F7F7F" w:themeColor="text1" w:themeTint="80"/>
              <w:bottom w:val="single" w:sz="4" w:space="0" w:color="7F7F7F" w:themeColor="text1" w:themeTint="80"/>
            </w:tcBorders>
            <w:vAlign w:val="center"/>
          </w:tcPr>
          <w:p w14:paraId="1F844B2C"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0.</w:t>
            </w:r>
            <w:r w:rsidRPr="00A152C9">
              <w:rPr>
                <w:color w:val="000000" w:themeColor="text1"/>
                <w:sz w:val="24"/>
              </w:rPr>
              <w:t>455</w:t>
            </w:r>
            <w:r>
              <w:rPr>
                <w:rFonts w:hint="eastAsia"/>
                <w:color w:val="000000" w:themeColor="text1"/>
                <w:sz w:val="24"/>
              </w:rPr>
              <w:t>,0.</w:t>
            </w:r>
            <w:r w:rsidRPr="00A152C9">
              <w:rPr>
                <w:color w:val="000000" w:themeColor="text1"/>
                <w:sz w:val="24"/>
              </w:rPr>
              <w:t>525</w:t>
            </w:r>
            <w:r>
              <w:rPr>
                <w:rFonts w:hint="eastAsia"/>
                <w:color w:val="000000" w:themeColor="text1"/>
                <w:sz w:val="24"/>
              </w:rPr>
              <w:t>,</w:t>
            </w:r>
          </w:p>
          <w:p w14:paraId="31449061" w14:textId="77777777" w:rsidR="00BF2372" w:rsidRPr="002B16C8"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0.</w:t>
            </w:r>
            <w:r w:rsidRPr="00A152C9">
              <w:rPr>
                <w:color w:val="000000" w:themeColor="text1"/>
                <w:sz w:val="24"/>
              </w:rPr>
              <w:t>630</w:t>
            </w:r>
          </w:p>
        </w:tc>
        <w:tc>
          <w:tcPr>
            <w:tcW w:w="1275" w:type="dxa"/>
            <w:tcBorders>
              <w:top w:val="single" w:sz="4" w:space="0" w:color="7F7F7F" w:themeColor="text1" w:themeTint="80"/>
              <w:bottom w:val="single" w:sz="4" w:space="0" w:color="7F7F7F" w:themeColor="text1" w:themeTint="80"/>
            </w:tcBorders>
            <w:vAlign w:val="center"/>
          </w:tcPr>
          <w:p w14:paraId="2E63B853"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w:t>
            </w:r>
            <w:r w:rsidRPr="00A152C9">
              <w:rPr>
                <w:color w:val="000000" w:themeColor="text1"/>
                <w:sz w:val="24"/>
              </w:rPr>
              <w:t>60</w:t>
            </w:r>
          </w:p>
          <w:p w14:paraId="42A30EE3"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(max)</w:t>
            </w:r>
          </w:p>
        </w:tc>
        <w:tc>
          <w:tcPr>
            <w:tcW w:w="1276" w:type="dxa"/>
            <w:tcBorders>
              <w:top w:val="single" w:sz="4" w:space="0" w:color="7F7F7F" w:themeColor="text1" w:themeTint="80"/>
              <w:bottom w:val="single" w:sz="4" w:space="0" w:color="7F7F7F" w:themeColor="text1" w:themeTint="80"/>
            </w:tcBorders>
            <w:vAlign w:val="center"/>
          </w:tcPr>
          <w:p w14:paraId="047EDFED"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3.2</w:t>
            </w:r>
          </w:p>
        </w:tc>
        <w:tc>
          <w:tcPr>
            <w:tcW w:w="1134" w:type="dxa"/>
            <w:tcBorders>
              <w:top w:val="single" w:sz="4" w:space="0" w:color="7F7F7F" w:themeColor="text1" w:themeTint="80"/>
              <w:bottom w:val="single" w:sz="4" w:space="0" w:color="7F7F7F" w:themeColor="text1" w:themeTint="80"/>
            </w:tcBorders>
            <w:vAlign w:val="center"/>
          </w:tcPr>
          <w:p w14:paraId="12614930"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30</w:t>
            </w:r>
          </w:p>
        </w:tc>
        <w:tc>
          <w:tcPr>
            <w:tcW w:w="1927" w:type="dxa"/>
            <w:tcBorders>
              <w:top w:val="single" w:sz="4" w:space="0" w:color="7F7F7F" w:themeColor="text1" w:themeTint="80"/>
              <w:bottom w:val="single" w:sz="4" w:space="0" w:color="7F7F7F" w:themeColor="text1" w:themeTint="80"/>
            </w:tcBorders>
            <w:vAlign w:val="center"/>
          </w:tcPr>
          <w:p w14:paraId="394171DB"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No</w:t>
            </w:r>
          </w:p>
        </w:tc>
      </w:tr>
      <w:tr w:rsidR="00BF2372" w14:paraId="605CF728" w14:textId="77777777" w:rsidTr="00FD13C4">
        <w:trPr>
          <w:trHeight w:val="47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7F7F7F" w:themeColor="text1" w:themeTint="80"/>
              <w:bottom w:val="single" w:sz="4" w:space="0" w:color="7F7F7F" w:themeColor="text1" w:themeTint="80"/>
            </w:tcBorders>
          </w:tcPr>
          <w:p w14:paraId="56205002" w14:textId="425D18FD" w:rsidR="00BF2372" w:rsidRPr="00F626B2" w:rsidRDefault="00BF2372" w:rsidP="00FD13C4">
            <w:pPr>
              <w:jc w:val="center"/>
              <w:rPr>
                <w:b w:val="0"/>
                <w:bCs w:val="0"/>
                <w:color w:val="000000" w:themeColor="text1"/>
                <w:sz w:val="24"/>
              </w:rPr>
            </w:pPr>
            <w:r w:rsidRPr="00F626B2">
              <w:rPr>
                <w:rFonts w:hint="eastAsia"/>
                <w:b w:val="0"/>
                <w:bCs w:val="0"/>
                <w:color w:val="000000" w:themeColor="text1"/>
                <w:sz w:val="24"/>
              </w:rPr>
              <w:t>Ref.</w:t>
            </w:r>
            <w:r>
              <w:rPr>
                <w:rFonts w:hint="eastAsia"/>
                <w:b w:val="0"/>
                <w:bCs w:val="0"/>
                <w:color w:val="000000" w:themeColor="text1"/>
                <w:sz w:val="24"/>
              </w:rPr>
              <w:t>[</w:t>
            </w:r>
            <w:r w:rsidR="0019044E">
              <w:rPr>
                <w:rFonts w:hint="eastAsia"/>
                <w:b w:val="0"/>
                <w:bCs w:val="0"/>
                <w:color w:val="000000" w:themeColor="text1"/>
                <w:sz w:val="24"/>
              </w:rPr>
              <w:t>4</w:t>
            </w:r>
            <w:r>
              <w:rPr>
                <w:rFonts w:hint="eastAsia"/>
                <w:b w:val="0"/>
                <w:bCs w:val="0"/>
                <w:color w:val="000000" w:themeColor="text1"/>
                <w:sz w:val="24"/>
              </w:rPr>
              <w:t>]</w:t>
            </w:r>
          </w:p>
        </w:tc>
        <w:tc>
          <w:tcPr>
            <w:tcW w:w="1560" w:type="dxa"/>
            <w:tcBorders>
              <w:top w:val="single" w:sz="4" w:space="0" w:color="7F7F7F" w:themeColor="text1" w:themeTint="80"/>
              <w:bottom w:val="single" w:sz="4" w:space="0" w:color="7F7F7F" w:themeColor="text1" w:themeTint="80"/>
            </w:tcBorders>
          </w:tcPr>
          <w:p w14:paraId="30AA52AA"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0.4-0.7</w:t>
            </w:r>
          </w:p>
        </w:tc>
        <w:tc>
          <w:tcPr>
            <w:tcW w:w="1275" w:type="dxa"/>
            <w:tcBorders>
              <w:top w:val="single" w:sz="4" w:space="0" w:color="7F7F7F" w:themeColor="text1" w:themeTint="80"/>
              <w:bottom w:val="single" w:sz="4" w:space="0" w:color="7F7F7F" w:themeColor="text1" w:themeTint="80"/>
            </w:tcBorders>
          </w:tcPr>
          <w:p w14:paraId="113219DB"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color w:val="000000" w:themeColor="text1"/>
                <w:sz w:val="24"/>
              </w:rPr>
              <w:t>51–70</w:t>
            </w:r>
          </w:p>
        </w:tc>
        <w:tc>
          <w:tcPr>
            <w:tcW w:w="1276" w:type="dxa"/>
            <w:tcBorders>
              <w:top w:val="single" w:sz="4" w:space="0" w:color="7F7F7F" w:themeColor="text1" w:themeTint="80"/>
              <w:bottom w:val="single" w:sz="4" w:space="0" w:color="7F7F7F" w:themeColor="text1" w:themeTint="80"/>
            </w:tcBorders>
          </w:tcPr>
          <w:p w14:paraId="4A168EB8"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0.09</w:t>
            </w:r>
          </w:p>
        </w:tc>
        <w:tc>
          <w:tcPr>
            <w:tcW w:w="1134" w:type="dxa"/>
            <w:tcBorders>
              <w:top w:val="single" w:sz="4" w:space="0" w:color="7F7F7F" w:themeColor="text1" w:themeTint="80"/>
              <w:bottom w:val="single" w:sz="4" w:space="0" w:color="7F7F7F" w:themeColor="text1" w:themeTint="80"/>
            </w:tcBorders>
          </w:tcPr>
          <w:p w14:paraId="5E6E1078"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w:t>
            </w:r>
          </w:p>
        </w:tc>
        <w:tc>
          <w:tcPr>
            <w:tcW w:w="1927" w:type="dxa"/>
            <w:tcBorders>
              <w:top w:val="single" w:sz="4" w:space="0" w:color="7F7F7F" w:themeColor="text1" w:themeTint="80"/>
              <w:bottom w:val="single" w:sz="4" w:space="0" w:color="7F7F7F" w:themeColor="text1" w:themeTint="80"/>
            </w:tcBorders>
          </w:tcPr>
          <w:p w14:paraId="3F7AAD73"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No</w:t>
            </w:r>
          </w:p>
        </w:tc>
      </w:tr>
      <w:tr w:rsidR="00BF2372" w14:paraId="792D8399" w14:textId="77777777" w:rsidTr="00FD13C4">
        <w:trPr>
          <w:trHeight w:val="47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7F7F7F" w:themeColor="text1" w:themeTint="80"/>
              <w:bottom w:val="single" w:sz="4" w:space="0" w:color="7F7F7F" w:themeColor="text1" w:themeTint="80"/>
            </w:tcBorders>
          </w:tcPr>
          <w:p w14:paraId="6982A653" w14:textId="3C078DE1" w:rsidR="00BF2372" w:rsidRPr="00F626B2" w:rsidRDefault="00BF2372" w:rsidP="00FD13C4">
            <w:pPr>
              <w:jc w:val="center"/>
              <w:rPr>
                <w:b w:val="0"/>
                <w:bCs w:val="0"/>
                <w:color w:val="000000" w:themeColor="text1"/>
                <w:sz w:val="24"/>
              </w:rPr>
            </w:pPr>
            <w:r w:rsidRPr="00F626B2">
              <w:rPr>
                <w:rFonts w:hint="eastAsia"/>
                <w:b w:val="0"/>
                <w:bCs w:val="0"/>
                <w:color w:val="000000" w:themeColor="text1"/>
                <w:sz w:val="24"/>
              </w:rPr>
              <w:t>Ref.</w:t>
            </w:r>
            <w:r>
              <w:rPr>
                <w:rFonts w:hint="eastAsia"/>
                <w:b w:val="0"/>
                <w:bCs w:val="0"/>
                <w:color w:val="000000" w:themeColor="text1"/>
                <w:sz w:val="24"/>
              </w:rPr>
              <w:t>[</w:t>
            </w:r>
            <w:r w:rsidR="0019044E">
              <w:rPr>
                <w:rFonts w:hint="eastAsia"/>
                <w:b w:val="0"/>
                <w:bCs w:val="0"/>
                <w:color w:val="000000" w:themeColor="text1"/>
                <w:sz w:val="24"/>
              </w:rPr>
              <w:t>5</w:t>
            </w:r>
            <w:r>
              <w:rPr>
                <w:rFonts w:hint="eastAsia"/>
                <w:b w:val="0"/>
                <w:bCs w:val="0"/>
                <w:color w:val="000000" w:themeColor="text1"/>
                <w:sz w:val="24"/>
              </w:rPr>
              <w:t>]</w:t>
            </w:r>
          </w:p>
        </w:tc>
        <w:tc>
          <w:tcPr>
            <w:tcW w:w="1560" w:type="dxa"/>
            <w:tcBorders>
              <w:top w:val="single" w:sz="4" w:space="0" w:color="7F7F7F" w:themeColor="text1" w:themeTint="80"/>
              <w:bottom w:val="single" w:sz="4" w:space="0" w:color="7F7F7F" w:themeColor="text1" w:themeTint="80"/>
            </w:tcBorders>
          </w:tcPr>
          <w:p w14:paraId="5433B477"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8-14</w:t>
            </w:r>
          </w:p>
        </w:tc>
        <w:tc>
          <w:tcPr>
            <w:tcW w:w="1275" w:type="dxa"/>
            <w:tcBorders>
              <w:top w:val="single" w:sz="4" w:space="0" w:color="7F7F7F" w:themeColor="text1" w:themeTint="80"/>
              <w:bottom w:val="single" w:sz="4" w:space="0" w:color="7F7F7F" w:themeColor="text1" w:themeTint="80"/>
            </w:tcBorders>
          </w:tcPr>
          <w:p w14:paraId="5E9F0BCD"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w:t>
            </w:r>
            <w:r>
              <w:rPr>
                <w:rFonts w:hint="eastAsia"/>
                <w:color w:val="000000" w:themeColor="text1"/>
                <w:sz w:val="24"/>
              </w:rPr>
              <w:t>50</w:t>
            </w:r>
          </w:p>
        </w:tc>
        <w:tc>
          <w:tcPr>
            <w:tcW w:w="1276" w:type="dxa"/>
            <w:tcBorders>
              <w:top w:val="single" w:sz="4" w:space="0" w:color="7F7F7F" w:themeColor="text1" w:themeTint="80"/>
              <w:bottom w:val="single" w:sz="4" w:space="0" w:color="7F7F7F" w:themeColor="text1" w:themeTint="80"/>
            </w:tcBorders>
          </w:tcPr>
          <w:p w14:paraId="169497C2"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7</w:t>
            </w:r>
          </w:p>
        </w:tc>
        <w:tc>
          <w:tcPr>
            <w:tcW w:w="1134" w:type="dxa"/>
            <w:tcBorders>
              <w:top w:val="single" w:sz="4" w:space="0" w:color="7F7F7F" w:themeColor="text1" w:themeTint="80"/>
              <w:bottom w:val="single" w:sz="4" w:space="0" w:color="7F7F7F" w:themeColor="text1" w:themeTint="80"/>
            </w:tcBorders>
          </w:tcPr>
          <w:p w14:paraId="5D8EB09C"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30</w:t>
            </w:r>
          </w:p>
        </w:tc>
        <w:tc>
          <w:tcPr>
            <w:tcW w:w="1927" w:type="dxa"/>
            <w:tcBorders>
              <w:top w:val="single" w:sz="4" w:space="0" w:color="7F7F7F" w:themeColor="text1" w:themeTint="80"/>
              <w:bottom w:val="single" w:sz="4" w:space="0" w:color="7F7F7F" w:themeColor="text1" w:themeTint="80"/>
            </w:tcBorders>
          </w:tcPr>
          <w:p w14:paraId="461A4749"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No</w:t>
            </w:r>
          </w:p>
        </w:tc>
      </w:tr>
      <w:tr w:rsidR="00BF2372" w14:paraId="17CB555B" w14:textId="77777777" w:rsidTr="00FD13C4">
        <w:trPr>
          <w:trHeight w:val="461"/>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7F7F7F" w:themeColor="text1" w:themeTint="80"/>
              <w:bottom w:val="single" w:sz="4" w:space="0" w:color="7F7F7F" w:themeColor="text1" w:themeTint="80"/>
            </w:tcBorders>
            <w:vAlign w:val="center"/>
          </w:tcPr>
          <w:p w14:paraId="621E7ABE" w14:textId="56286E45" w:rsidR="00BF2372" w:rsidRPr="00F626B2" w:rsidRDefault="00BF2372" w:rsidP="00FD13C4">
            <w:pPr>
              <w:jc w:val="center"/>
              <w:rPr>
                <w:b w:val="0"/>
                <w:bCs w:val="0"/>
                <w:color w:val="000000" w:themeColor="text1"/>
                <w:sz w:val="24"/>
              </w:rPr>
            </w:pPr>
            <w:r w:rsidRPr="00F626B2">
              <w:rPr>
                <w:rFonts w:hint="eastAsia"/>
                <w:b w:val="0"/>
                <w:bCs w:val="0"/>
                <w:color w:val="000000" w:themeColor="text1"/>
                <w:sz w:val="24"/>
              </w:rPr>
              <w:t>Ref.</w:t>
            </w:r>
            <w:r>
              <w:rPr>
                <w:rFonts w:hint="eastAsia"/>
                <w:b w:val="0"/>
                <w:bCs w:val="0"/>
                <w:color w:val="000000" w:themeColor="text1"/>
                <w:sz w:val="24"/>
              </w:rPr>
              <w:t>[</w:t>
            </w:r>
            <w:r w:rsidR="0019044E">
              <w:rPr>
                <w:rFonts w:hint="eastAsia"/>
                <w:b w:val="0"/>
                <w:bCs w:val="0"/>
                <w:color w:val="000000" w:themeColor="text1"/>
                <w:sz w:val="24"/>
              </w:rPr>
              <w:t>6</w:t>
            </w:r>
            <w:r>
              <w:rPr>
                <w:rFonts w:hint="eastAsia"/>
                <w:b w:val="0"/>
                <w:bCs w:val="0"/>
                <w:color w:val="000000" w:themeColor="text1"/>
                <w:sz w:val="24"/>
              </w:rPr>
              <w:t>]</w:t>
            </w:r>
          </w:p>
        </w:tc>
        <w:tc>
          <w:tcPr>
            <w:tcW w:w="1560" w:type="dxa"/>
            <w:tcBorders>
              <w:top w:val="single" w:sz="4" w:space="0" w:color="7F7F7F" w:themeColor="text1" w:themeTint="80"/>
              <w:bottom w:val="single" w:sz="4" w:space="0" w:color="7F7F7F" w:themeColor="text1" w:themeTint="80"/>
            </w:tcBorders>
            <w:vAlign w:val="center"/>
          </w:tcPr>
          <w:p w14:paraId="4657B619"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B16C8">
              <w:rPr>
                <w:color w:val="000000" w:themeColor="text1"/>
                <w:sz w:val="24"/>
              </w:rPr>
              <w:t>0.9</w:t>
            </w:r>
            <w:r>
              <w:rPr>
                <w:rFonts w:hint="eastAsia"/>
                <w:color w:val="000000" w:themeColor="text1"/>
                <w:sz w:val="24"/>
              </w:rPr>
              <w:t>-</w:t>
            </w:r>
            <w:r w:rsidRPr="002B16C8">
              <w:rPr>
                <w:color w:val="000000" w:themeColor="text1"/>
                <w:sz w:val="24"/>
              </w:rPr>
              <w:t>1.7</w:t>
            </w:r>
          </w:p>
        </w:tc>
        <w:tc>
          <w:tcPr>
            <w:tcW w:w="1275" w:type="dxa"/>
            <w:tcBorders>
              <w:top w:val="single" w:sz="4" w:space="0" w:color="7F7F7F" w:themeColor="text1" w:themeTint="80"/>
              <w:bottom w:val="single" w:sz="4" w:space="0" w:color="7F7F7F" w:themeColor="text1" w:themeTint="80"/>
            </w:tcBorders>
            <w:vAlign w:val="center"/>
          </w:tcPr>
          <w:p w14:paraId="2DF1A637"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152C9">
              <w:rPr>
                <w:color w:val="000000" w:themeColor="text1"/>
                <w:sz w:val="24"/>
              </w:rPr>
              <w:t>96.7</w:t>
            </w:r>
          </w:p>
          <w:p w14:paraId="2A824A3F"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(r</w:t>
            </w:r>
            <w:r w:rsidRPr="003F07F4">
              <w:rPr>
                <w:color w:val="000000" w:themeColor="text1"/>
                <w:sz w:val="24"/>
              </w:rPr>
              <w:t>elative</w:t>
            </w:r>
            <w:r>
              <w:rPr>
                <w:rFonts w:hint="eastAsia"/>
                <w:color w:val="000000" w:themeColor="text1"/>
                <w:sz w:val="24"/>
              </w:rPr>
              <w:t>)</w:t>
            </w:r>
          </w:p>
        </w:tc>
        <w:tc>
          <w:tcPr>
            <w:tcW w:w="1276" w:type="dxa"/>
            <w:tcBorders>
              <w:top w:val="single" w:sz="4" w:space="0" w:color="7F7F7F" w:themeColor="text1" w:themeTint="80"/>
              <w:bottom w:val="single" w:sz="4" w:space="0" w:color="7F7F7F" w:themeColor="text1" w:themeTint="80"/>
            </w:tcBorders>
            <w:vAlign w:val="center"/>
          </w:tcPr>
          <w:p w14:paraId="63672A8D"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12.7</w:t>
            </w:r>
          </w:p>
        </w:tc>
        <w:tc>
          <w:tcPr>
            <w:tcW w:w="1134" w:type="dxa"/>
            <w:tcBorders>
              <w:top w:val="single" w:sz="4" w:space="0" w:color="7F7F7F" w:themeColor="text1" w:themeTint="80"/>
              <w:bottom w:val="single" w:sz="4" w:space="0" w:color="7F7F7F" w:themeColor="text1" w:themeTint="80"/>
            </w:tcBorders>
            <w:vAlign w:val="center"/>
          </w:tcPr>
          <w:p w14:paraId="07D850FF"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F07F4">
              <w:rPr>
                <w:rFonts w:hint="eastAsia"/>
                <w:color w:val="000000" w:themeColor="text1"/>
                <w:sz w:val="24"/>
              </w:rPr>
              <w:t>178</w:t>
            </w:r>
          </w:p>
        </w:tc>
        <w:tc>
          <w:tcPr>
            <w:tcW w:w="1927" w:type="dxa"/>
            <w:tcBorders>
              <w:top w:val="single" w:sz="4" w:space="0" w:color="7F7F7F" w:themeColor="text1" w:themeTint="80"/>
              <w:bottom w:val="single" w:sz="4" w:space="0" w:color="7F7F7F" w:themeColor="text1" w:themeTint="80"/>
            </w:tcBorders>
            <w:vAlign w:val="center"/>
          </w:tcPr>
          <w:p w14:paraId="10A7FE16"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No</w:t>
            </w:r>
          </w:p>
        </w:tc>
      </w:tr>
      <w:tr w:rsidR="00BF2372" w14:paraId="2BABD330" w14:textId="77777777" w:rsidTr="00FD13C4">
        <w:trPr>
          <w:trHeight w:val="522"/>
          <w:jc w:val="center"/>
        </w:trPr>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tcPr>
          <w:p w14:paraId="6E9642D9" w14:textId="77777777" w:rsidR="00BF2372" w:rsidRPr="00F626B2" w:rsidRDefault="00BF2372" w:rsidP="00FD13C4">
            <w:pPr>
              <w:jc w:val="center"/>
              <w:rPr>
                <w:b w:val="0"/>
                <w:bCs w:val="0"/>
                <w:color w:val="000000" w:themeColor="text1"/>
                <w:sz w:val="24"/>
              </w:rPr>
            </w:pPr>
            <w:r>
              <w:rPr>
                <w:rFonts w:hint="eastAsia"/>
                <w:b w:val="0"/>
                <w:bCs w:val="0"/>
                <w:color w:val="000000" w:themeColor="text1"/>
                <w:sz w:val="24"/>
              </w:rPr>
              <w:t>This Work</w:t>
            </w:r>
          </w:p>
        </w:tc>
        <w:tc>
          <w:tcPr>
            <w:tcW w:w="1560" w:type="dxa"/>
            <w:tcBorders>
              <w:bottom w:val="single" w:sz="12" w:space="0" w:color="auto"/>
            </w:tcBorders>
            <w:vAlign w:val="center"/>
          </w:tcPr>
          <w:p w14:paraId="158F60EB"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8-12</w:t>
            </w:r>
          </w:p>
        </w:tc>
        <w:tc>
          <w:tcPr>
            <w:tcW w:w="1275" w:type="dxa"/>
            <w:tcBorders>
              <w:bottom w:val="single" w:sz="12" w:space="0" w:color="auto"/>
            </w:tcBorders>
            <w:vAlign w:val="center"/>
          </w:tcPr>
          <w:p w14:paraId="3885C202"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5B0E8A">
              <w:rPr>
                <w:rFonts w:hint="eastAsia"/>
                <w:color w:val="000000" w:themeColor="text1"/>
                <w:sz w:val="24"/>
              </w:rPr>
              <w:t>87.46</w:t>
            </w:r>
          </w:p>
        </w:tc>
        <w:tc>
          <w:tcPr>
            <w:tcW w:w="1276" w:type="dxa"/>
            <w:tcBorders>
              <w:bottom w:val="single" w:sz="12" w:space="0" w:color="auto"/>
            </w:tcBorders>
            <w:vAlign w:val="center"/>
          </w:tcPr>
          <w:p w14:paraId="7E7087C3"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58</w:t>
            </w:r>
          </w:p>
        </w:tc>
        <w:tc>
          <w:tcPr>
            <w:tcW w:w="1134" w:type="dxa"/>
            <w:tcBorders>
              <w:bottom w:val="single" w:sz="12" w:space="0" w:color="auto"/>
            </w:tcBorders>
            <w:vAlign w:val="center"/>
          </w:tcPr>
          <w:p w14:paraId="3E153728"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20</w:t>
            </w:r>
          </w:p>
        </w:tc>
        <w:tc>
          <w:tcPr>
            <w:tcW w:w="1927" w:type="dxa"/>
            <w:tcBorders>
              <w:bottom w:val="single" w:sz="12" w:space="0" w:color="auto"/>
            </w:tcBorders>
            <w:vAlign w:val="center"/>
          </w:tcPr>
          <w:p w14:paraId="4EF1C1FC" w14:textId="77777777" w:rsidR="00BF2372" w:rsidRDefault="00BF2372" w:rsidP="00FD13C4">
            <w:pPr>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rFonts w:hint="eastAsia"/>
                <w:color w:val="000000" w:themeColor="text1"/>
                <w:sz w:val="24"/>
              </w:rPr>
              <w:t>-40~60</w:t>
            </w:r>
          </w:p>
        </w:tc>
      </w:tr>
    </w:tbl>
    <w:p w14:paraId="605CB400" w14:textId="77777777" w:rsidR="006C7666" w:rsidRDefault="006C7666">
      <w:pPr>
        <w:widowControl/>
        <w:rPr>
          <w:rFonts w:ascii="宋体" w:eastAsia="宋体" w:hAnsi="宋体" w:cs="宋体" w:hint="eastAsia"/>
          <w:b/>
          <w:bCs/>
          <w:sz w:val="24"/>
          <w14:ligatures w14:val="none"/>
        </w:rPr>
      </w:pPr>
      <w:r>
        <w:rPr>
          <w:rFonts w:ascii="宋体" w:eastAsia="宋体" w:hAnsi="宋体" w:cs="宋体" w:hint="eastAsia"/>
        </w:rPr>
        <w:br w:type="page"/>
      </w:r>
    </w:p>
    <w:p w14:paraId="63A593EB" w14:textId="288F29D2" w:rsidR="00994594" w:rsidRPr="00D45FEF" w:rsidRDefault="00994594" w:rsidP="00A113C9">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lang w:eastAsia="zh-CN"/>
        </w:rPr>
        <w:lastRenderedPageBreak/>
        <w:t>Supplementary Information 2. Ray-tracing analysis and structural parameters of MCOS</w:t>
      </w:r>
    </w:p>
    <w:p w14:paraId="389A58BE" w14:textId="1C69297B" w:rsidR="00994594" w:rsidRPr="00D45FEF" w:rsidRDefault="00994594"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Fig. S</w:t>
      </w:r>
      <w:r w:rsidR="00640DAC">
        <w:rPr>
          <w:rFonts w:ascii="Times New Roman" w:eastAsiaTheme="minorEastAsia" w:hAnsi="Times New Roman" w:hint="eastAsia"/>
          <w:b w:val="0"/>
          <w:bCs w:val="0"/>
          <w:lang w:eastAsia="zh-CN"/>
        </w:rPr>
        <w:t>1</w:t>
      </w:r>
      <w:r w:rsidRPr="00D45FEF">
        <w:rPr>
          <w:rFonts w:ascii="Times New Roman" w:eastAsiaTheme="minorEastAsia" w:hAnsi="Times New Roman" w:hint="eastAsia"/>
          <w:b w:val="0"/>
          <w:bCs w:val="0"/>
          <w:lang w:eastAsia="zh-CN"/>
        </w:rPr>
        <w:t xml:space="preserve"> illustrates the detailed configuration of the MCOS, optimized through ray-optics simulations. The system achieves high-performance light-field modulation and imaging via a meta-hybrid design combining a metasurface with a diffractive aspherical surface.</w:t>
      </w:r>
    </w:p>
    <w:p w14:paraId="0F475DFA" w14:textId="6FC7B5FD" w:rsidR="009C329F" w:rsidRPr="00D45FEF" w:rsidRDefault="00654806" w:rsidP="004D563D">
      <w:pPr>
        <w:spacing w:after="0"/>
        <w:jc w:val="center"/>
        <w:rPr>
          <w:rFonts w:ascii="Times New Roman" w:eastAsia="宋体" w:hAnsi="Times New Roman"/>
          <w:sz w:val="21"/>
          <w:szCs w:val="21"/>
        </w:rPr>
      </w:pPr>
      <w:r>
        <w:rPr>
          <w:rFonts w:ascii="Times New Roman" w:eastAsia="宋体" w:hAnsi="Times New Roman"/>
          <w:noProof/>
          <w:sz w:val="21"/>
          <w:szCs w:val="21"/>
        </w:rPr>
        <w:drawing>
          <wp:inline distT="0" distB="0" distL="0" distR="0" wp14:anchorId="5B9D996E" wp14:editId="23B0DDD8">
            <wp:extent cx="4054666" cy="2707341"/>
            <wp:effectExtent l="0" t="0" r="0" b="0"/>
            <wp:docPr id="995205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05017" name="图片 9952050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0953" cy="2724893"/>
                    </a:xfrm>
                    <a:prstGeom prst="rect">
                      <a:avLst/>
                    </a:prstGeom>
                  </pic:spPr>
                </pic:pic>
              </a:graphicData>
            </a:graphic>
          </wp:inline>
        </w:drawing>
      </w:r>
    </w:p>
    <w:p w14:paraId="2CEAD115" w14:textId="4DF732BD" w:rsidR="00994594" w:rsidRPr="00D45FEF" w:rsidRDefault="00994594" w:rsidP="00994594">
      <w:pPr>
        <w:pStyle w:val="Subtitle1"/>
        <w:spacing w:afterLines="50" w:after="156" w:line="400" w:lineRule="exact"/>
        <w:rPr>
          <w:rFonts w:ascii="Times New Roman" w:eastAsiaTheme="minorEastAsia" w:hAnsi="Times New Roman"/>
          <w:lang w:eastAsia="zh-CN"/>
        </w:rPr>
      </w:pPr>
      <w:r w:rsidRPr="00D45FEF">
        <w:rPr>
          <w:rFonts w:ascii="Times New Roman" w:eastAsiaTheme="minorEastAsia" w:hAnsi="Times New Roman" w:hint="eastAsia"/>
          <w:lang w:eastAsia="zh-CN"/>
        </w:rPr>
        <w:t>Fig. S</w:t>
      </w:r>
      <w:r w:rsidR="00640DAC">
        <w:rPr>
          <w:rFonts w:ascii="Times New Roman" w:eastAsiaTheme="minorEastAsia" w:hAnsi="Times New Roman" w:hint="eastAsia"/>
          <w:lang w:eastAsia="zh-CN"/>
        </w:rPr>
        <w:t>1</w:t>
      </w:r>
      <w:r w:rsidRPr="00D45FEF">
        <w:rPr>
          <w:rFonts w:ascii="Times New Roman" w:eastAsiaTheme="minorEastAsia" w:hAnsi="Times New Roman" w:hint="eastAsia"/>
          <w:lang w:eastAsia="zh-CN"/>
        </w:rPr>
        <w:t xml:space="preserve"> | Optimization of MCOS configuration based on ray-optics simulations.</w:t>
      </w:r>
    </w:p>
    <w:p w14:paraId="0A2FD39F" w14:textId="6F2699AD" w:rsidR="00994594" w:rsidRPr="00D45FEF" w:rsidRDefault="00994594"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This hybrid system integrates a diaphragm onto the front surface of the meta-composite lens to effectively modulate the incident beams. In the figure, ray bundles in six colors</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blue, cyan, pink, yellow, red, and green</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xml:space="preserve">represent the optical trajectories of incident plane waves at angles of </w:t>
      </w:r>
      <w:r w:rsidRPr="00D45FEF">
        <w:rPr>
          <w:rFonts w:ascii="Times New Roman" w:eastAsiaTheme="minorEastAsia" w:hAnsi="Times New Roman" w:hint="eastAsia"/>
          <w:b w:val="0"/>
          <w:bCs w:val="0"/>
          <w:lang w:eastAsia="zh-CN"/>
        </w:rPr>
        <w:t>θ</w:t>
      </w:r>
      <w:r w:rsidRPr="00D45FEF">
        <w:rPr>
          <w:rFonts w:ascii="Times New Roman" w:eastAsiaTheme="minorEastAsia" w:hAnsi="Times New Roman" w:hint="eastAsia"/>
          <w:b w:val="0"/>
          <w:bCs w:val="0"/>
          <w:lang w:eastAsia="zh-CN"/>
        </w:rPr>
        <w:t xml:space="preserve"> = 0</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2</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4</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6</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8</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and 10</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respectively. Ray-tracing results demonstrate that beams from all fields of view are precisely focused onto the image plane after modulation by the MCOS, exhibiting superior aberration correction capability and focusing uniformity across a wide field of view.</w:t>
      </w:r>
    </w:p>
    <w:p w14:paraId="3FDE1559" w14:textId="101873A1" w:rsidR="00994594" w:rsidRPr="00D45FEF" w:rsidRDefault="00994594"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 xml:space="preserve">The specific parameters of the MCOS are as follows; Table </w:t>
      </w:r>
      <w:r w:rsidR="00640DAC">
        <w:rPr>
          <w:rFonts w:ascii="Times New Roman" w:eastAsiaTheme="minorEastAsia" w:hAnsi="Times New Roman" w:hint="eastAsia"/>
          <w:b w:val="0"/>
          <w:bCs w:val="0"/>
          <w:lang w:eastAsia="zh-CN"/>
        </w:rPr>
        <w:t>S</w:t>
      </w:r>
      <w:r w:rsidR="00BF2372">
        <w:rPr>
          <w:rFonts w:ascii="Times New Roman" w:eastAsiaTheme="minorEastAsia" w:hAnsi="Times New Roman" w:hint="eastAsia"/>
          <w:b w:val="0"/>
          <w:bCs w:val="0"/>
          <w:lang w:eastAsia="zh-CN"/>
        </w:rPr>
        <w:t>3</w:t>
      </w:r>
      <w:r w:rsidRPr="00D45FEF">
        <w:rPr>
          <w:rFonts w:ascii="Times New Roman" w:eastAsiaTheme="minorEastAsia" w:hAnsi="Times New Roman" w:hint="eastAsia"/>
          <w:b w:val="0"/>
          <w:bCs w:val="0"/>
          <w:lang w:eastAsia="zh-CN"/>
        </w:rPr>
        <w:t xml:space="preserve"> lists the surface type, radius of curvature, thickness, and material for each surface in the MCOS. The physical thickness T1 of the meta-composite lens is 5.2 mm. An air gap with a length D1 of 53.7 mm is set between the meta-composite lens and the rear refractive lens to provide sufficient phase evolution space. As the compensation element of the system, the refractive lens has a thickness T2 of 7.7 mm, and the distance D2 between its back surface and the focal plane is 18.9 mm. The effective focal length (EFL) of the entire optical system is 60 mm, and the total track length (TTL) is 85.5 mm.</w:t>
      </w:r>
    </w:p>
    <w:p w14:paraId="29B84F5C" w14:textId="0DFFDEAF" w:rsidR="00C56911" w:rsidRPr="00D45FEF" w:rsidRDefault="00C56911" w:rsidP="00BF2372">
      <w:pPr>
        <w:spacing w:beforeLines="50" w:before="156" w:line="360" w:lineRule="auto"/>
        <w:jc w:val="center"/>
        <w:rPr>
          <w:rFonts w:ascii="Times New Roman" w:hAnsi="Times New Roman" w:cs="Times New Roman"/>
          <w:color w:val="000000" w:themeColor="text1"/>
          <w:sz w:val="24"/>
        </w:rPr>
      </w:pPr>
      <w:r w:rsidRPr="00D45FEF">
        <w:rPr>
          <w:rFonts w:ascii="Times New Roman" w:hAnsi="Times New Roman" w:cs="Times New Roman" w:hint="eastAsia"/>
          <w:b/>
          <w:bCs/>
          <w:color w:val="000000" w:themeColor="text1"/>
          <w:sz w:val="24"/>
        </w:rPr>
        <w:t>Table S</w:t>
      </w:r>
      <w:r w:rsidR="00BF2372">
        <w:rPr>
          <w:rFonts w:ascii="Times New Roman" w:hAnsi="Times New Roman" w:cs="Times New Roman" w:hint="eastAsia"/>
          <w:b/>
          <w:bCs/>
          <w:color w:val="000000" w:themeColor="text1"/>
          <w:sz w:val="24"/>
        </w:rPr>
        <w:t>3</w:t>
      </w:r>
      <w:r w:rsidRPr="00D45FEF">
        <w:rPr>
          <w:rFonts w:ascii="Times New Roman" w:hAnsi="Times New Roman" w:cs="Times New Roman" w:hint="eastAsia"/>
          <w:b/>
          <w:bCs/>
          <w:color w:val="000000" w:themeColor="text1"/>
          <w:sz w:val="24"/>
        </w:rPr>
        <w:t xml:space="preserve">. </w:t>
      </w:r>
      <w:r w:rsidRPr="00D45FEF">
        <w:rPr>
          <w:rFonts w:ascii="Times New Roman" w:hAnsi="Times New Roman" w:cs="Times New Roman" w:hint="eastAsia"/>
          <w:color w:val="000000" w:themeColor="text1"/>
          <w:sz w:val="24"/>
        </w:rPr>
        <w:t>Parameters of MCOS.</w:t>
      </w:r>
    </w:p>
    <w:tbl>
      <w:tblPr>
        <w:tblStyle w:val="21"/>
        <w:tblW w:w="8191" w:type="dxa"/>
        <w:tblLayout w:type="fixed"/>
        <w:tblLook w:val="04A0" w:firstRow="1" w:lastRow="0" w:firstColumn="1" w:lastColumn="0" w:noHBand="0" w:noVBand="1"/>
      </w:tblPr>
      <w:tblGrid>
        <w:gridCol w:w="1762"/>
        <w:gridCol w:w="1686"/>
        <w:gridCol w:w="1581"/>
        <w:gridCol w:w="1581"/>
        <w:gridCol w:w="1581"/>
      </w:tblGrid>
      <w:tr w:rsidR="00C56911" w:rsidRPr="00D45FEF" w14:paraId="4A5F08F8" w14:textId="77777777" w:rsidTr="007938D0">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762" w:type="dxa"/>
            <w:tcBorders>
              <w:top w:val="single" w:sz="12" w:space="0" w:color="000000"/>
              <w:bottom w:val="single" w:sz="12" w:space="0" w:color="000000"/>
            </w:tcBorders>
          </w:tcPr>
          <w:p w14:paraId="1EC94A94" w14:textId="72E5A61B" w:rsidR="00C56911" w:rsidRPr="00D45FEF" w:rsidRDefault="00C56911" w:rsidP="00453B54">
            <w:pPr>
              <w:spacing w:line="360" w:lineRule="auto"/>
              <w:jc w:val="center"/>
              <w:rPr>
                <w:color w:val="000000" w:themeColor="text1"/>
                <w:sz w:val="24"/>
              </w:rPr>
            </w:pPr>
            <w:r w:rsidRPr="00D45FEF">
              <w:rPr>
                <w:rFonts w:hint="eastAsia"/>
                <w:color w:val="000000" w:themeColor="text1"/>
                <w:sz w:val="24"/>
              </w:rPr>
              <w:t>Surf</w:t>
            </w:r>
            <w:r w:rsidR="007938D0" w:rsidRPr="00D45FEF">
              <w:rPr>
                <w:rFonts w:hint="eastAsia"/>
                <w:color w:val="000000" w:themeColor="text1"/>
                <w:sz w:val="24"/>
              </w:rPr>
              <w:t>ace</w:t>
            </w:r>
            <w:r w:rsidRPr="00D45FEF">
              <w:rPr>
                <w:rFonts w:hint="eastAsia"/>
                <w:color w:val="000000" w:themeColor="text1"/>
                <w:sz w:val="24"/>
              </w:rPr>
              <w:t>. Num</w:t>
            </w:r>
            <w:r w:rsidR="007938D0" w:rsidRPr="00D45FEF">
              <w:rPr>
                <w:rFonts w:hint="eastAsia"/>
                <w:color w:val="000000" w:themeColor="text1"/>
                <w:sz w:val="24"/>
              </w:rPr>
              <w:t>ber</w:t>
            </w:r>
          </w:p>
        </w:tc>
        <w:tc>
          <w:tcPr>
            <w:tcW w:w="1686" w:type="dxa"/>
            <w:tcBorders>
              <w:top w:val="single" w:sz="12" w:space="0" w:color="000000"/>
              <w:bottom w:val="single" w:sz="12" w:space="0" w:color="000000"/>
            </w:tcBorders>
          </w:tcPr>
          <w:p w14:paraId="1E09A7F7" w14:textId="77777777" w:rsidR="007938D0" w:rsidRPr="00D45FEF" w:rsidRDefault="00C56911" w:rsidP="00453B5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sidRPr="00D45FEF">
              <w:rPr>
                <w:rFonts w:hint="eastAsia"/>
                <w:color w:val="000000" w:themeColor="text1"/>
                <w:sz w:val="24"/>
              </w:rPr>
              <w:t>Surf</w:t>
            </w:r>
            <w:r w:rsidR="007938D0" w:rsidRPr="00D45FEF">
              <w:rPr>
                <w:rFonts w:hint="eastAsia"/>
                <w:color w:val="000000" w:themeColor="text1"/>
                <w:sz w:val="24"/>
              </w:rPr>
              <w:t>ace</w:t>
            </w:r>
            <w:r w:rsidRPr="00D45FEF">
              <w:rPr>
                <w:rFonts w:hint="eastAsia"/>
                <w:color w:val="000000" w:themeColor="text1"/>
                <w:sz w:val="24"/>
              </w:rPr>
              <w:t xml:space="preserve">. </w:t>
            </w:r>
          </w:p>
          <w:p w14:paraId="2B3EC531" w14:textId="63A7237F" w:rsidR="00C56911" w:rsidRPr="00D45FEF" w:rsidRDefault="00C56911" w:rsidP="00453B54">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Type</w:t>
            </w:r>
          </w:p>
        </w:tc>
        <w:tc>
          <w:tcPr>
            <w:tcW w:w="1581" w:type="dxa"/>
            <w:tcBorders>
              <w:top w:val="single" w:sz="12" w:space="0" w:color="000000"/>
              <w:bottom w:val="single" w:sz="12" w:space="0" w:color="000000"/>
            </w:tcBorders>
          </w:tcPr>
          <w:p w14:paraId="2CD6F54C" w14:textId="0D181CAE" w:rsidR="007938D0" w:rsidRPr="00D45FEF" w:rsidRDefault="00C56911" w:rsidP="00453B5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sidRPr="00D45FEF">
              <w:rPr>
                <w:rFonts w:hint="eastAsia"/>
                <w:color w:val="000000" w:themeColor="text1"/>
                <w:sz w:val="24"/>
              </w:rPr>
              <w:t>R</w:t>
            </w:r>
            <w:r w:rsidR="007938D0" w:rsidRPr="00D45FEF">
              <w:rPr>
                <w:rFonts w:hint="eastAsia"/>
                <w:color w:val="000000" w:themeColor="text1"/>
                <w:sz w:val="24"/>
              </w:rPr>
              <w:t>adius</w:t>
            </w:r>
          </w:p>
          <w:p w14:paraId="221FAFD6" w14:textId="41F74BA4" w:rsidR="00C56911" w:rsidRPr="00D45FEF" w:rsidRDefault="007938D0" w:rsidP="00453B54">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r w:rsidR="00C56911" w:rsidRPr="00D45FEF">
              <w:rPr>
                <w:rFonts w:hint="eastAsia"/>
                <w:color w:val="000000" w:themeColor="text1"/>
                <w:sz w:val="24"/>
              </w:rPr>
              <w:t>mm</w:t>
            </w:r>
            <w:r w:rsidRPr="00D45FEF">
              <w:rPr>
                <w:rFonts w:hint="eastAsia"/>
                <w:color w:val="000000" w:themeColor="text1"/>
                <w:sz w:val="24"/>
              </w:rPr>
              <w:t>)</w:t>
            </w:r>
          </w:p>
        </w:tc>
        <w:tc>
          <w:tcPr>
            <w:tcW w:w="1581" w:type="dxa"/>
            <w:tcBorders>
              <w:top w:val="single" w:sz="12" w:space="0" w:color="000000"/>
              <w:bottom w:val="single" w:sz="12" w:space="0" w:color="000000"/>
            </w:tcBorders>
          </w:tcPr>
          <w:p w14:paraId="447287C1" w14:textId="637E28A7" w:rsidR="007938D0" w:rsidRPr="00D45FEF" w:rsidRDefault="00C56911" w:rsidP="00453B5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rPr>
            </w:pPr>
            <w:r w:rsidRPr="00D45FEF">
              <w:rPr>
                <w:rFonts w:hint="eastAsia"/>
                <w:color w:val="000000" w:themeColor="text1"/>
                <w:sz w:val="24"/>
              </w:rPr>
              <w:t>T</w:t>
            </w:r>
            <w:r w:rsidR="007938D0" w:rsidRPr="00D45FEF">
              <w:rPr>
                <w:rFonts w:hint="eastAsia"/>
                <w:color w:val="000000" w:themeColor="text1"/>
                <w:sz w:val="24"/>
              </w:rPr>
              <w:t>hickness</w:t>
            </w:r>
          </w:p>
          <w:p w14:paraId="34A95FB6" w14:textId="186B7FB6" w:rsidR="00C56911" w:rsidRPr="00D45FEF" w:rsidRDefault="007938D0" w:rsidP="00453B54">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r w:rsidR="00C56911" w:rsidRPr="00D45FEF">
              <w:rPr>
                <w:rFonts w:hint="eastAsia"/>
                <w:color w:val="000000" w:themeColor="text1"/>
                <w:sz w:val="24"/>
              </w:rPr>
              <w:t>mm</w:t>
            </w:r>
            <w:r w:rsidRPr="00D45FEF">
              <w:rPr>
                <w:rFonts w:hint="eastAsia"/>
                <w:color w:val="000000" w:themeColor="text1"/>
                <w:sz w:val="24"/>
              </w:rPr>
              <w:t>)</w:t>
            </w:r>
          </w:p>
        </w:tc>
        <w:tc>
          <w:tcPr>
            <w:tcW w:w="1581" w:type="dxa"/>
            <w:tcBorders>
              <w:top w:val="single" w:sz="12" w:space="0" w:color="000000"/>
              <w:bottom w:val="single" w:sz="12" w:space="0" w:color="000000"/>
            </w:tcBorders>
            <w:vAlign w:val="center"/>
          </w:tcPr>
          <w:p w14:paraId="60C9A115" w14:textId="693C4298" w:rsidR="00C56911" w:rsidRPr="00D45FEF" w:rsidRDefault="00DD525C" w:rsidP="007938D0">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sidRPr="00D45FEF">
              <w:rPr>
                <w:color w:val="000000" w:themeColor="text1"/>
                <w:sz w:val="24"/>
              </w:rPr>
              <w:t>Material</w:t>
            </w:r>
          </w:p>
        </w:tc>
      </w:tr>
      <w:tr w:rsidR="00C56911" w:rsidRPr="00D45FEF" w14:paraId="5FB72083" w14:textId="77777777" w:rsidTr="007938D0">
        <w:trPr>
          <w:trHeight w:val="461"/>
        </w:trPr>
        <w:tc>
          <w:tcPr>
            <w:cnfStyle w:val="001000000000" w:firstRow="0" w:lastRow="0" w:firstColumn="1" w:lastColumn="0" w:oddVBand="0" w:evenVBand="0" w:oddHBand="0" w:evenHBand="0" w:firstRowFirstColumn="0" w:firstRowLastColumn="0" w:lastRowFirstColumn="0" w:lastRowLastColumn="0"/>
            <w:tcW w:w="1762" w:type="dxa"/>
            <w:tcBorders>
              <w:top w:val="single" w:sz="12" w:space="0" w:color="000000"/>
              <w:bottom w:val="single" w:sz="4" w:space="0" w:color="7F7F7F" w:themeColor="text1" w:themeTint="80"/>
            </w:tcBorders>
            <w:vAlign w:val="center"/>
          </w:tcPr>
          <w:p w14:paraId="3AE7FD51" w14:textId="77777777" w:rsidR="00C56911" w:rsidRPr="00D45FEF" w:rsidRDefault="00C56911" w:rsidP="007938D0">
            <w:pPr>
              <w:spacing w:line="360" w:lineRule="auto"/>
              <w:jc w:val="center"/>
              <w:rPr>
                <w:b w:val="0"/>
                <w:bCs w:val="0"/>
                <w:color w:val="000000" w:themeColor="text1"/>
                <w:sz w:val="24"/>
              </w:rPr>
            </w:pPr>
            <w:r w:rsidRPr="00D45FEF">
              <w:rPr>
                <w:rFonts w:hint="eastAsia"/>
                <w:b w:val="0"/>
                <w:bCs w:val="0"/>
                <w:color w:val="000000" w:themeColor="text1"/>
                <w:sz w:val="24"/>
              </w:rPr>
              <w:t>S1</w:t>
            </w:r>
          </w:p>
        </w:tc>
        <w:tc>
          <w:tcPr>
            <w:tcW w:w="1686" w:type="dxa"/>
            <w:tcBorders>
              <w:top w:val="single" w:sz="12" w:space="0" w:color="000000"/>
              <w:bottom w:val="single" w:sz="4" w:space="0" w:color="7F7F7F" w:themeColor="text1" w:themeTint="80"/>
            </w:tcBorders>
          </w:tcPr>
          <w:p w14:paraId="70EDE37D" w14:textId="77777777"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Plane</w:t>
            </w:r>
          </w:p>
        </w:tc>
        <w:tc>
          <w:tcPr>
            <w:tcW w:w="1581" w:type="dxa"/>
            <w:tcBorders>
              <w:top w:val="single" w:sz="12" w:space="0" w:color="000000"/>
              <w:bottom w:val="single" w:sz="4" w:space="0" w:color="7F7F7F" w:themeColor="text1" w:themeTint="80"/>
            </w:tcBorders>
          </w:tcPr>
          <w:p w14:paraId="713D3528" w14:textId="77777777"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Inf.</w:t>
            </w:r>
          </w:p>
        </w:tc>
        <w:tc>
          <w:tcPr>
            <w:tcW w:w="1581" w:type="dxa"/>
            <w:tcBorders>
              <w:top w:val="single" w:sz="12" w:space="0" w:color="000000"/>
              <w:bottom w:val="single" w:sz="4" w:space="0" w:color="7F7F7F" w:themeColor="text1" w:themeTint="80"/>
            </w:tcBorders>
          </w:tcPr>
          <w:p w14:paraId="542D3E62" w14:textId="0EF994EE"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Inf.</w:t>
            </w:r>
          </w:p>
        </w:tc>
        <w:tc>
          <w:tcPr>
            <w:tcW w:w="1581" w:type="dxa"/>
            <w:tcBorders>
              <w:top w:val="single" w:sz="12" w:space="0" w:color="000000"/>
              <w:bottom w:val="single" w:sz="4" w:space="0" w:color="7F7F7F" w:themeColor="text1" w:themeTint="80"/>
            </w:tcBorders>
          </w:tcPr>
          <w:p w14:paraId="66BF235F" w14:textId="02B3F27C"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p>
        </w:tc>
      </w:tr>
      <w:tr w:rsidR="00C56911" w:rsidRPr="00D45FEF" w14:paraId="330269BF" w14:textId="77777777" w:rsidTr="007938D0">
        <w:trPr>
          <w:trHeight w:val="451"/>
        </w:trPr>
        <w:tc>
          <w:tcPr>
            <w:cnfStyle w:val="001000000000" w:firstRow="0" w:lastRow="0" w:firstColumn="1" w:lastColumn="0" w:oddVBand="0" w:evenVBand="0" w:oddHBand="0" w:evenHBand="0" w:firstRowFirstColumn="0" w:firstRowLastColumn="0" w:lastRowFirstColumn="0" w:lastRowLastColumn="0"/>
            <w:tcW w:w="1762" w:type="dxa"/>
            <w:vAlign w:val="center"/>
          </w:tcPr>
          <w:p w14:paraId="0F6726BF" w14:textId="77777777" w:rsidR="00C56911" w:rsidRPr="00D45FEF" w:rsidRDefault="00C56911" w:rsidP="007938D0">
            <w:pPr>
              <w:spacing w:line="360" w:lineRule="auto"/>
              <w:jc w:val="center"/>
              <w:rPr>
                <w:b w:val="0"/>
                <w:bCs w:val="0"/>
                <w:color w:val="000000" w:themeColor="text1"/>
                <w:sz w:val="24"/>
              </w:rPr>
            </w:pPr>
            <w:r w:rsidRPr="00D45FEF">
              <w:rPr>
                <w:rFonts w:hint="eastAsia"/>
                <w:b w:val="0"/>
                <w:bCs w:val="0"/>
                <w:color w:val="000000" w:themeColor="text1"/>
                <w:sz w:val="24"/>
              </w:rPr>
              <w:t>S2</w:t>
            </w:r>
          </w:p>
        </w:tc>
        <w:tc>
          <w:tcPr>
            <w:tcW w:w="1686" w:type="dxa"/>
          </w:tcPr>
          <w:p w14:paraId="0346291C" w14:textId="2F979533"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Binary 2</w:t>
            </w:r>
          </w:p>
        </w:tc>
        <w:tc>
          <w:tcPr>
            <w:tcW w:w="1581" w:type="dxa"/>
          </w:tcPr>
          <w:p w14:paraId="35A3C1BB" w14:textId="067CB170"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49.309</w:t>
            </w:r>
          </w:p>
        </w:tc>
        <w:tc>
          <w:tcPr>
            <w:tcW w:w="1581" w:type="dxa"/>
          </w:tcPr>
          <w:p w14:paraId="664C035E" w14:textId="3625C03E"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5.200</w:t>
            </w:r>
          </w:p>
        </w:tc>
        <w:tc>
          <w:tcPr>
            <w:tcW w:w="1581" w:type="dxa"/>
          </w:tcPr>
          <w:p w14:paraId="0D2A153A" w14:textId="16119DF7"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IG6</w:t>
            </w:r>
          </w:p>
        </w:tc>
      </w:tr>
      <w:tr w:rsidR="00C56911" w:rsidRPr="00D45FEF" w14:paraId="132B8FE9" w14:textId="77777777" w:rsidTr="007938D0">
        <w:trPr>
          <w:trHeight w:val="461"/>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7F7F7F" w:themeColor="text1" w:themeTint="80"/>
              <w:bottom w:val="single" w:sz="4" w:space="0" w:color="7F7F7F" w:themeColor="text1" w:themeTint="80"/>
            </w:tcBorders>
            <w:vAlign w:val="center"/>
          </w:tcPr>
          <w:p w14:paraId="7E9F8D10" w14:textId="77777777" w:rsidR="00C56911" w:rsidRPr="00D45FEF" w:rsidRDefault="00C56911" w:rsidP="007938D0">
            <w:pPr>
              <w:spacing w:line="360" w:lineRule="auto"/>
              <w:jc w:val="center"/>
              <w:rPr>
                <w:b w:val="0"/>
                <w:bCs w:val="0"/>
                <w:color w:val="000000" w:themeColor="text1"/>
                <w:sz w:val="24"/>
              </w:rPr>
            </w:pPr>
            <w:r w:rsidRPr="00D45FEF">
              <w:rPr>
                <w:rFonts w:hint="eastAsia"/>
                <w:b w:val="0"/>
                <w:bCs w:val="0"/>
                <w:color w:val="000000" w:themeColor="text1"/>
                <w:sz w:val="24"/>
              </w:rPr>
              <w:t>S3</w:t>
            </w:r>
          </w:p>
        </w:tc>
        <w:tc>
          <w:tcPr>
            <w:tcW w:w="1686" w:type="dxa"/>
            <w:tcBorders>
              <w:top w:val="single" w:sz="4" w:space="0" w:color="7F7F7F" w:themeColor="text1" w:themeTint="80"/>
              <w:bottom w:val="single" w:sz="4" w:space="0" w:color="7F7F7F" w:themeColor="text1" w:themeTint="80"/>
            </w:tcBorders>
          </w:tcPr>
          <w:p w14:paraId="49F3A65C" w14:textId="71E1BDA4"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color w:val="000000" w:themeColor="text1"/>
                <w:sz w:val="24"/>
              </w:rPr>
              <w:t>Asphere</w:t>
            </w:r>
          </w:p>
        </w:tc>
        <w:tc>
          <w:tcPr>
            <w:tcW w:w="1581" w:type="dxa"/>
            <w:tcBorders>
              <w:top w:val="single" w:sz="4" w:space="0" w:color="7F7F7F" w:themeColor="text1" w:themeTint="80"/>
              <w:bottom w:val="single" w:sz="4" w:space="0" w:color="7F7F7F" w:themeColor="text1" w:themeTint="80"/>
            </w:tcBorders>
          </w:tcPr>
          <w:p w14:paraId="2341E187" w14:textId="63553FE5"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62.365</w:t>
            </w:r>
          </w:p>
        </w:tc>
        <w:tc>
          <w:tcPr>
            <w:tcW w:w="1581" w:type="dxa"/>
            <w:tcBorders>
              <w:top w:val="single" w:sz="4" w:space="0" w:color="7F7F7F" w:themeColor="text1" w:themeTint="80"/>
              <w:bottom w:val="single" w:sz="4" w:space="0" w:color="7F7F7F" w:themeColor="text1" w:themeTint="80"/>
            </w:tcBorders>
          </w:tcPr>
          <w:p w14:paraId="3175C42C" w14:textId="614CD54D"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53.364</w:t>
            </w:r>
          </w:p>
        </w:tc>
        <w:tc>
          <w:tcPr>
            <w:tcW w:w="1581" w:type="dxa"/>
            <w:tcBorders>
              <w:top w:val="single" w:sz="4" w:space="0" w:color="7F7F7F" w:themeColor="text1" w:themeTint="80"/>
              <w:bottom w:val="single" w:sz="4" w:space="0" w:color="7F7F7F" w:themeColor="text1" w:themeTint="80"/>
            </w:tcBorders>
          </w:tcPr>
          <w:p w14:paraId="0DF39472" w14:textId="19095FD1"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p>
        </w:tc>
      </w:tr>
      <w:tr w:rsidR="00567D88" w:rsidRPr="00D45FEF" w14:paraId="6FAD9A0C" w14:textId="77777777" w:rsidTr="00567D88">
        <w:trPr>
          <w:trHeight w:val="461"/>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7F7F7F" w:themeColor="text1" w:themeTint="80"/>
              <w:bottom w:val="single" w:sz="4" w:space="0" w:color="7F7F7F" w:themeColor="text1" w:themeTint="80"/>
            </w:tcBorders>
            <w:vAlign w:val="center"/>
          </w:tcPr>
          <w:p w14:paraId="6012842A" w14:textId="7AA6D288" w:rsidR="00567D88" w:rsidRPr="00D45FEF" w:rsidRDefault="00567D88" w:rsidP="00567D88">
            <w:pPr>
              <w:spacing w:line="360" w:lineRule="auto"/>
              <w:jc w:val="center"/>
              <w:rPr>
                <w:rFonts w:hint="eastAsia"/>
                <w:color w:val="000000" w:themeColor="text1"/>
                <w:sz w:val="24"/>
              </w:rPr>
            </w:pPr>
            <w:r w:rsidRPr="00D45FEF">
              <w:rPr>
                <w:rFonts w:hint="eastAsia"/>
                <w:b w:val="0"/>
                <w:bCs w:val="0"/>
                <w:color w:val="000000" w:themeColor="text1"/>
                <w:sz w:val="24"/>
              </w:rPr>
              <w:t>S4</w:t>
            </w:r>
          </w:p>
        </w:tc>
        <w:tc>
          <w:tcPr>
            <w:tcW w:w="1686" w:type="dxa"/>
            <w:tcBorders>
              <w:top w:val="single" w:sz="4" w:space="0" w:color="7F7F7F" w:themeColor="text1" w:themeTint="80"/>
              <w:bottom w:val="single" w:sz="2" w:space="0" w:color="auto"/>
            </w:tcBorders>
          </w:tcPr>
          <w:p w14:paraId="41651846" w14:textId="6CE7A9CF" w:rsidR="00567D88" w:rsidRPr="00D45FEF" w:rsidRDefault="00567D88" w:rsidP="00567D8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color w:val="000000" w:themeColor="text1"/>
                <w:sz w:val="24"/>
              </w:rPr>
              <w:t>Asphere</w:t>
            </w:r>
          </w:p>
        </w:tc>
        <w:tc>
          <w:tcPr>
            <w:tcW w:w="1581" w:type="dxa"/>
            <w:tcBorders>
              <w:top w:val="single" w:sz="4" w:space="0" w:color="7F7F7F" w:themeColor="text1" w:themeTint="80"/>
              <w:bottom w:val="single" w:sz="2" w:space="0" w:color="auto"/>
            </w:tcBorders>
          </w:tcPr>
          <w:p w14:paraId="5E61072D" w14:textId="0E6A5487" w:rsidR="00567D88" w:rsidRPr="00D45FEF" w:rsidRDefault="00567D88" w:rsidP="00567D88">
            <w:pPr>
              <w:spacing w:line="360" w:lineRule="auto"/>
              <w:jc w:val="center"/>
              <w:cnfStyle w:val="000000000000" w:firstRow="0" w:lastRow="0" w:firstColumn="0" w:lastColumn="0" w:oddVBand="0" w:evenVBand="0" w:oddHBand="0" w:evenHBand="0" w:firstRowFirstColumn="0" w:firstRowLastColumn="0" w:lastRowFirstColumn="0" w:lastRowLastColumn="0"/>
              <w:rPr>
                <w:rFonts w:hint="eastAsia"/>
                <w:color w:val="000000" w:themeColor="text1"/>
                <w:sz w:val="24"/>
              </w:rPr>
            </w:pPr>
            <w:r w:rsidRPr="00D45FEF">
              <w:rPr>
                <w:rFonts w:hint="eastAsia"/>
                <w:color w:val="000000" w:themeColor="text1"/>
                <w:sz w:val="24"/>
              </w:rPr>
              <w:t>27.774</w:t>
            </w:r>
          </w:p>
        </w:tc>
        <w:tc>
          <w:tcPr>
            <w:tcW w:w="1581" w:type="dxa"/>
            <w:tcBorders>
              <w:top w:val="single" w:sz="4" w:space="0" w:color="7F7F7F" w:themeColor="text1" w:themeTint="80"/>
              <w:bottom w:val="single" w:sz="2" w:space="0" w:color="auto"/>
            </w:tcBorders>
          </w:tcPr>
          <w:p w14:paraId="4B5D29B4" w14:textId="203968EE" w:rsidR="00567D88" w:rsidRPr="00D45FEF" w:rsidRDefault="00567D88" w:rsidP="00567D88">
            <w:pPr>
              <w:spacing w:line="360" w:lineRule="auto"/>
              <w:jc w:val="center"/>
              <w:cnfStyle w:val="000000000000" w:firstRow="0" w:lastRow="0" w:firstColumn="0" w:lastColumn="0" w:oddVBand="0" w:evenVBand="0" w:oddHBand="0" w:evenHBand="0" w:firstRowFirstColumn="0" w:firstRowLastColumn="0" w:lastRowFirstColumn="0" w:lastRowLastColumn="0"/>
              <w:rPr>
                <w:rFonts w:hint="eastAsia"/>
                <w:color w:val="000000" w:themeColor="text1"/>
                <w:sz w:val="24"/>
              </w:rPr>
            </w:pPr>
            <w:r w:rsidRPr="00D45FEF">
              <w:rPr>
                <w:rFonts w:hint="eastAsia"/>
                <w:color w:val="000000" w:themeColor="text1"/>
                <w:sz w:val="24"/>
              </w:rPr>
              <w:t>7.658</w:t>
            </w:r>
          </w:p>
        </w:tc>
        <w:tc>
          <w:tcPr>
            <w:tcW w:w="1581" w:type="dxa"/>
            <w:tcBorders>
              <w:top w:val="single" w:sz="4" w:space="0" w:color="7F7F7F" w:themeColor="text1" w:themeTint="80"/>
              <w:bottom w:val="single" w:sz="2" w:space="0" w:color="auto"/>
            </w:tcBorders>
          </w:tcPr>
          <w:p w14:paraId="5015CEDB" w14:textId="557B3A8A" w:rsidR="00567D88" w:rsidRPr="00D45FEF" w:rsidRDefault="00567D88" w:rsidP="00567D88">
            <w:pPr>
              <w:spacing w:line="360" w:lineRule="auto"/>
              <w:jc w:val="center"/>
              <w:cnfStyle w:val="000000000000" w:firstRow="0" w:lastRow="0" w:firstColumn="0" w:lastColumn="0" w:oddVBand="0" w:evenVBand="0" w:oddHBand="0" w:evenHBand="0" w:firstRowFirstColumn="0" w:firstRowLastColumn="0" w:lastRowFirstColumn="0" w:lastRowLastColumn="0"/>
              <w:rPr>
                <w:rFonts w:hint="eastAsia"/>
                <w:color w:val="000000" w:themeColor="text1"/>
                <w:sz w:val="24"/>
              </w:rPr>
            </w:pPr>
            <w:r w:rsidRPr="00D45FEF">
              <w:rPr>
                <w:rFonts w:hint="eastAsia"/>
                <w:color w:val="000000" w:themeColor="text1"/>
                <w:sz w:val="24"/>
              </w:rPr>
              <w:t>IG6</w:t>
            </w:r>
          </w:p>
        </w:tc>
      </w:tr>
      <w:tr w:rsidR="00C56911" w:rsidRPr="00D45FEF" w14:paraId="6E9F3074" w14:textId="77777777" w:rsidTr="00567D88">
        <w:trPr>
          <w:trHeight w:val="461"/>
        </w:trPr>
        <w:tc>
          <w:tcPr>
            <w:cnfStyle w:val="001000000000" w:firstRow="0" w:lastRow="0" w:firstColumn="1" w:lastColumn="0" w:oddVBand="0" w:evenVBand="0" w:oddHBand="0" w:evenHBand="0" w:firstRowFirstColumn="0" w:firstRowLastColumn="0" w:lastRowFirstColumn="0" w:lastRowLastColumn="0"/>
            <w:tcW w:w="1762" w:type="dxa"/>
            <w:tcBorders>
              <w:top w:val="single" w:sz="2" w:space="0" w:color="auto"/>
              <w:bottom w:val="single" w:sz="4" w:space="0" w:color="7F7F7F" w:themeColor="text1" w:themeTint="80"/>
            </w:tcBorders>
            <w:vAlign w:val="center"/>
          </w:tcPr>
          <w:p w14:paraId="2CFA9CB2" w14:textId="77777777" w:rsidR="00C56911" w:rsidRPr="00D45FEF" w:rsidRDefault="00C56911" w:rsidP="007938D0">
            <w:pPr>
              <w:spacing w:line="360" w:lineRule="auto"/>
              <w:jc w:val="center"/>
              <w:rPr>
                <w:b w:val="0"/>
                <w:bCs w:val="0"/>
                <w:color w:val="000000" w:themeColor="text1"/>
                <w:sz w:val="24"/>
              </w:rPr>
            </w:pPr>
            <w:r w:rsidRPr="00D45FEF">
              <w:rPr>
                <w:rFonts w:hint="eastAsia"/>
                <w:b w:val="0"/>
                <w:bCs w:val="0"/>
                <w:color w:val="000000" w:themeColor="text1"/>
                <w:sz w:val="24"/>
              </w:rPr>
              <w:t>S5</w:t>
            </w:r>
          </w:p>
        </w:tc>
        <w:tc>
          <w:tcPr>
            <w:tcW w:w="1686" w:type="dxa"/>
            <w:tcBorders>
              <w:top w:val="single" w:sz="2" w:space="0" w:color="auto"/>
              <w:bottom w:val="single" w:sz="4" w:space="0" w:color="7F7F7F" w:themeColor="text1" w:themeTint="80"/>
            </w:tcBorders>
          </w:tcPr>
          <w:p w14:paraId="255A180E" w14:textId="12564489"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color w:val="000000" w:themeColor="text1"/>
                <w:sz w:val="24"/>
              </w:rPr>
              <w:t>Asphere</w:t>
            </w:r>
          </w:p>
        </w:tc>
        <w:tc>
          <w:tcPr>
            <w:tcW w:w="1581" w:type="dxa"/>
            <w:tcBorders>
              <w:top w:val="single" w:sz="2" w:space="0" w:color="auto"/>
              <w:bottom w:val="single" w:sz="4" w:space="0" w:color="7F7F7F" w:themeColor="text1" w:themeTint="80"/>
            </w:tcBorders>
          </w:tcPr>
          <w:p w14:paraId="0C599E31" w14:textId="486617FA"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28.533</w:t>
            </w:r>
          </w:p>
        </w:tc>
        <w:tc>
          <w:tcPr>
            <w:tcW w:w="1581" w:type="dxa"/>
            <w:tcBorders>
              <w:top w:val="single" w:sz="2" w:space="0" w:color="auto"/>
              <w:bottom w:val="single" w:sz="4" w:space="0" w:color="7F7F7F" w:themeColor="text1" w:themeTint="80"/>
            </w:tcBorders>
          </w:tcPr>
          <w:p w14:paraId="65166DC1" w14:textId="1CE65EDF"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15.331</w:t>
            </w:r>
          </w:p>
        </w:tc>
        <w:tc>
          <w:tcPr>
            <w:tcW w:w="1581" w:type="dxa"/>
            <w:tcBorders>
              <w:top w:val="single" w:sz="2" w:space="0" w:color="auto"/>
              <w:bottom w:val="single" w:sz="4" w:space="0" w:color="7F7F7F" w:themeColor="text1" w:themeTint="80"/>
            </w:tcBorders>
          </w:tcPr>
          <w:p w14:paraId="287D688B" w14:textId="77777777"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p>
        </w:tc>
      </w:tr>
      <w:tr w:rsidR="00C56911" w:rsidRPr="00D45FEF" w14:paraId="275203D2" w14:textId="77777777" w:rsidTr="007938D0">
        <w:trPr>
          <w:trHeight w:val="451"/>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7F7F7F" w:themeColor="text1" w:themeTint="80"/>
              <w:bottom w:val="single" w:sz="12" w:space="0" w:color="000000"/>
            </w:tcBorders>
            <w:vAlign w:val="center"/>
          </w:tcPr>
          <w:p w14:paraId="24BFD2D7" w14:textId="552710DA" w:rsidR="00C56911" w:rsidRPr="00D45FEF" w:rsidRDefault="00C56911" w:rsidP="007938D0">
            <w:pPr>
              <w:spacing w:line="360" w:lineRule="auto"/>
              <w:jc w:val="center"/>
              <w:rPr>
                <w:color w:val="000000" w:themeColor="text1"/>
                <w:sz w:val="24"/>
              </w:rPr>
            </w:pPr>
            <w:r w:rsidRPr="00D45FEF">
              <w:rPr>
                <w:rFonts w:hint="eastAsia"/>
                <w:b w:val="0"/>
                <w:bCs w:val="0"/>
                <w:color w:val="000000" w:themeColor="text1"/>
                <w:sz w:val="24"/>
              </w:rPr>
              <w:t>S6</w:t>
            </w:r>
          </w:p>
        </w:tc>
        <w:tc>
          <w:tcPr>
            <w:tcW w:w="1686" w:type="dxa"/>
            <w:tcBorders>
              <w:top w:val="single" w:sz="4" w:space="0" w:color="7F7F7F" w:themeColor="text1" w:themeTint="80"/>
              <w:bottom w:val="single" w:sz="12" w:space="0" w:color="000000"/>
            </w:tcBorders>
          </w:tcPr>
          <w:p w14:paraId="6E08593F" w14:textId="35E20CC7"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Plane</w:t>
            </w:r>
          </w:p>
        </w:tc>
        <w:tc>
          <w:tcPr>
            <w:tcW w:w="1581" w:type="dxa"/>
            <w:tcBorders>
              <w:top w:val="single" w:sz="4" w:space="0" w:color="7F7F7F" w:themeColor="text1" w:themeTint="80"/>
              <w:bottom w:val="single" w:sz="12" w:space="0" w:color="000000"/>
            </w:tcBorders>
          </w:tcPr>
          <w:p w14:paraId="5154A93E" w14:textId="3C10F1CE"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Inf.</w:t>
            </w:r>
          </w:p>
        </w:tc>
        <w:tc>
          <w:tcPr>
            <w:tcW w:w="1581" w:type="dxa"/>
            <w:tcBorders>
              <w:top w:val="single" w:sz="4" w:space="0" w:color="7F7F7F" w:themeColor="text1" w:themeTint="80"/>
              <w:bottom w:val="single" w:sz="12" w:space="0" w:color="000000"/>
            </w:tcBorders>
          </w:tcPr>
          <w:p w14:paraId="37ED83F8" w14:textId="58675077"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p>
        </w:tc>
        <w:tc>
          <w:tcPr>
            <w:tcW w:w="1581" w:type="dxa"/>
            <w:tcBorders>
              <w:top w:val="single" w:sz="4" w:space="0" w:color="7F7F7F" w:themeColor="text1" w:themeTint="80"/>
              <w:bottom w:val="single" w:sz="12" w:space="0" w:color="000000"/>
            </w:tcBorders>
          </w:tcPr>
          <w:p w14:paraId="2DEC8FC5" w14:textId="6F9BC626" w:rsidR="00C56911" w:rsidRPr="00D45FEF" w:rsidRDefault="00C56911" w:rsidP="00C5691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w:t>
            </w:r>
          </w:p>
        </w:tc>
      </w:tr>
    </w:tbl>
    <w:p w14:paraId="1ABBD29E" w14:textId="096925E2" w:rsidR="00994594" w:rsidRPr="00D45FEF" w:rsidRDefault="00994594" w:rsidP="00994594">
      <w:pPr>
        <w:pStyle w:val="Subtitle1"/>
        <w:spacing w:beforeLines="100" w:before="312"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 xml:space="preserve">Table </w:t>
      </w:r>
      <w:r w:rsidR="00640DAC">
        <w:rPr>
          <w:rFonts w:ascii="Times New Roman" w:eastAsiaTheme="minorEastAsia" w:hAnsi="Times New Roman" w:hint="eastAsia"/>
          <w:b w:val="0"/>
          <w:bCs w:val="0"/>
          <w:lang w:eastAsia="zh-CN"/>
        </w:rPr>
        <w:t>S</w:t>
      </w:r>
      <w:r w:rsidR="00BF2372">
        <w:rPr>
          <w:rFonts w:ascii="Times New Roman" w:eastAsiaTheme="minorEastAsia" w:hAnsi="Times New Roman" w:hint="eastAsia"/>
          <w:b w:val="0"/>
          <w:bCs w:val="0"/>
          <w:lang w:eastAsia="zh-CN"/>
        </w:rPr>
        <w:t>4</w:t>
      </w:r>
      <w:r w:rsidRPr="00D45FEF">
        <w:rPr>
          <w:rFonts w:ascii="Times New Roman" w:eastAsiaTheme="minorEastAsia" w:hAnsi="Times New Roman" w:hint="eastAsia"/>
          <w:b w:val="0"/>
          <w:bCs w:val="0"/>
          <w:lang w:eastAsia="zh-CN"/>
        </w:rPr>
        <w:t xml:space="preserve"> lists the phase coefficients of the metasurface; after optimization, only two terms are retained, indicating that low-order phase terms alone are sufficient to effectively correct aberrations. This also demonstrates the complementary advantages of the meta-hybrid design, which enables effective control over the surface complexity of the phase profile.</w:t>
      </w:r>
    </w:p>
    <w:p w14:paraId="38215410" w14:textId="5CDFC14E" w:rsidR="007938D0" w:rsidRPr="00D45FEF" w:rsidRDefault="007938D0" w:rsidP="000B1C0B">
      <w:pPr>
        <w:spacing w:beforeLines="50" w:before="156" w:line="360" w:lineRule="auto"/>
        <w:jc w:val="center"/>
        <w:rPr>
          <w:rFonts w:ascii="Times New Roman" w:hAnsi="Times New Roman" w:cs="Times New Roman"/>
          <w:color w:val="000000" w:themeColor="text1"/>
          <w:sz w:val="24"/>
        </w:rPr>
      </w:pPr>
      <w:r w:rsidRPr="00D45FEF">
        <w:rPr>
          <w:rFonts w:ascii="Times New Roman" w:hAnsi="Times New Roman" w:cs="Times New Roman" w:hint="eastAsia"/>
          <w:b/>
          <w:bCs/>
          <w:color w:val="000000" w:themeColor="text1"/>
          <w:sz w:val="24"/>
        </w:rPr>
        <w:t>Table S</w:t>
      </w:r>
      <w:r w:rsidR="00BF2372">
        <w:rPr>
          <w:rFonts w:ascii="Times New Roman" w:hAnsi="Times New Roman" w:cs="Times New Roman" w:hint="eastAsia"/>
          <w:b/>
          <w:bCs/>
          <w:color w:val="000000" w:themeColor="text1"/>
          <w:sz w:val="24"/>
        </w:rPr>
        <w:t>4</w:t>
      </w:r>
      <w:r w:rsidRPr="00D45FEF">
        <w:rPr>
          <w:rFonts w:ascii="Times New Roman" w:hAnsi="Times New Roman" w:cs="Times New Roman" w:hint="eastAsia"/>
          <w:b/>
          <w:bCs/>
          <w:color w:val="000000" w:themeColor="text1"/>
          <w:sz w:val="24"/>
        </w:rPr>
        <w:t xml:space="preserve">. </w:t>
      </w:r>
      <w:r w:rsidRPr="00D45FEF">
        <w:rPr>
          <w:rFonts w:ascii="Times New Roman" w:hAnsi="Times New Roman" w:cs="Times New Roman" w:hint="eastAsia"/>
          <w:color w:val="000000" w:themeColor="text1"/>
          <w:sz w:val="24"/>
        </w:rPr>
        <w:t xml:space="preserve">Phase coefficients of </w:t>
      </w:r>
      <w:r w:rsidR="008253F0" w:rsidRPr="00D45FEF">
        <w:rPr>
          <w:rFonts w:ascii="Times New Roman" w:hAnsi="Times New Roman" w:cs="Times New Roman" w:hint="eastAsia"/>
          <w:color w:val="000000" w:themeColor="text1"/>
          <w:sz w:val="24"/>
        </w:rPr>
        <w:t>meta</w:t>
      </w:r>
      <w:r w:rsidRPr="00D45FEF">
        <w:rPr>
          <w:rFonts w:ascii="Times New Roman" w:hAnsi="Times New Roman" w:cs="Times New Roman" w:hint="eastAsia"/>
          <w:color w:val="000000" w:themeColor="text1"/>
          <w:sz w:val="24"/>
        </w:rPr>
        <w:t>surface.</w:t>
      </w:r>
    </w:p>
    <w:tbl>
      <w:tblPr>
        <w:tblStyle w:val="21"/>
        <w:tblW w:w="8156" w:type="dxa"/>
        <w:tblLayout w:type="fixed"/>
        <w:tblLook w:val="04A0" w:firstRow="1" w:lastRow="0" w:firstColumn="1" w:lastColumn="0" w:noHBand="0" w:noVBand="1"/>
      </w:tblPr>
      <w:tblGrid>
        <w:gridCol w:w="2174"/>
        <w:gridCol w:w="2080"/>
        <w:gridCol w:w="1951"/>
        <w:gridCol w:w="1951"/>
      </w:tblGrid>
      <w:tr w:rsidR="007938D0" w:rsidRPr="00D45FEF" w14:paraId="04AA7FBD" w14:textId="77777777" w:rsidTr="006061B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174" w:type="dxa"/>
            <w:tcBorders>
              <w:top w:val="single" w:sz="12" w:space="0" w:color="000000"/>
              <w:bottom w:val="single" w:sz="8" w:space="0" w:color="auto"/>
            </w:tcBorders>
          </w:tcPr>
          <w:p w14:paraId="71A2C8D2" w14:textId="77777777" w:rsidR="007938D0" w:rsidRPr="00D45FEF" w:rsidRDefault="007938D0" w:rsidP="00453B54">
            <w:pPr>
              <w:spacing w:line="360" w:lineRule="auto"/>
              <w:jc w:val="center"/>
              <w:rPr>
                <w:color w:val="000000" w:themeColor="text1"/>
                <w:sz w:val="24"/>
              </w:rPr>
            </w:pPr>
            <w:r w:rsidRPr="00D45FEF">
              <w:rPr>
                <w:rFonts w:hint="eastAsia"/>
                <w:color w:val="000000" w:themeColor="text1"/>
                <w:sz w:val="24"/>
              </w:rPr>
              <w:t>Surface. Number</w:t>
            </w:r>
          </w:p>
        </w:tc>
        <w:tc>
          <w:tcPr>
            <w:tcW w:w="2080" w:type="dxa"/>
            <w:tcBorders>
              <w:top w:val="single" w:sz="12" w:space="0" w:color="000000"/>
              <w:bottom w:val="single" w:sz="8" w:space="0" w:color="auto"/>
            </w:tcBorders>
            <w:vAlign w:val="center"/>
          </w:tcPr>
          <w:p w14:paraId="2EA60087" w14:textId="10CAEE99" w:rsidR="007938D0" w:rsidRPr="00D45FEF" w:rsidRDefault="007938D0" w:rsidP="007938D0">
            <w:pPr>
              <w:spacing w:line="360" w:lineRule="auto"/>
              <w:jc w:val="center"/>
              <w:cnfStyle w:val="100000000000" w:firstRow="1" w:lastRow="0" w:firstColumn="0" w:lastColumn="0" w:oddVBand="0" w:evenVBand="0" w:oddHBand="0" w:evenHBand="0" w:firstRowFirstColumn="0" w:firstRowLastColumn="0" w:lastRowFirstColumn="0" w:lastRowLastColumn="0"/>
              <w:rPr>
                <w:i/>
                <w:color w:val="000000" w:themeColor="text1"/>
                <w:sz w:val="24"/>
              </w:rPr>
            </w:pPr>
            <m:oMathPara>
              <m:oMath>
                <m:r>
                  <m:rPr>
                    <m:sty m:val="bi"/>
                  </m:rPr>
                  <w:rPr>
                    <w:rFonts w:ascii="Cambria Math" w:hAnsi="Cambria Math"/>
                    <w:color w:val="000000" w:themeColor="text1"/>
                    <w:sz w:val="24"/>
                  </w:rPr>
                  <m:t>M</m:t>
                </m:r>
              </m:oMath>
            </m:oMathPara>
          </w:p>
        </w:tc>
        <w:tc>
          <w:tcPr>
            <w:tcW w:w="1951" w:type="dxa"/>
            <w:tcBorders>
              <w:top w:val="single" w:sz="12" w:space="0" w:color="000000"/>
              <w:bottom w:val="single" w:sz="8" w:space="0" w:color="auto"/>
            </w:tcBorders>
            <w:vAlign w:val="center"/>
          </w:tcPr>
          <w:p w14:paraId="0AEEB165" w14:textId="32662E9B" w:rsidR="007938D0" w:rsidRPr="00D45FEF" w:rsidRDefault="00000000" w:rsidP="007938D0">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m:oMathPara>
              <m:oMath>
                <m:sSub>
                  <m:sSubPr>
                    <m:ctrlPr>
                      <w:rPr>
                        <w:rFonts w:ascii="Cambria Math" w:hAnsi="Cambria Math"/>
                        <w:i/>
                        <w:color w:val="000000" w:themeColor="text1"/>
                        <w:sz w:val="24"/>
                      </w:rPr>
                    </m:ctrlPr>
                  </m:sSubPr>
                  <m:e>
                    <m:r>
                      <m:rPr>
                        <m:sty m:val="bi"/>
                      </m:rPr>
                      <w:rPr>
                        <w:rFonts w:ascii="Cambria Math" w:hAnsi="Cambria Math"/>
                        <w:color w:val="000000" w:themeColor="text1"/>
                        <w:sz w:val="24"/>
                      </w:rPr>
                      <m:t>A</m:t>
                    </m:r>
                  </m:e>
                  <m:sub>
                    <m:r>
                      <m:rPr>
                        <m:sty m:val="bi"/>
                      </m:rPr>
                      <w:rPr>
                        <w:rFonts w:ascii="Cambria Math" w:hAnsi="Cambria Math"/>
                        <w:color w:val="000000" w:themeColor="text1"/>
                        <w:sz w:val="24"/>
                      </w:rPr>
                      <m:t>1</m:t>
                    </m:r>
                  </m:sub>
                </m:sSub>
              </m:oMath>
            </m:oMathPara>
          </w:p>
        </w:tc>
        <w:tc>
          <w:tcPr>
            <w:tcW w:w="1951" w:type="dxa"/>
            <w:tcBorders>
              <w:top w:val="single" w:sz="12" w:space="0" w:color="000000"/>
              <w:bottom w:val="single" w:sz="8" w:space="0" w:color="auto"/>
            </w:tcBorders>
            <w:vAlign w:val="center"/>
          </w:tcPr>
          <w:p w14:paraId="70AB7594" w14:textId="4ECB2A54" w:rsidR="007938D0" w:rsidRPr="00D45FEF" w:rsidRDefault="00000000" w:rsidP="007938D0">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m:oMathPara>
              <m:oMath>
                <m:sSub>
                  <m:sSubPr>
                    <m:ctrlPr>
                      <w:rPr>
                        <w:rFonts w:ascii="Cambria Math" w:hAnsi="Cambria Math"/>
                        <w:i/>
                        <w:color w:val="000000" w:themeColor="text1"/>
                        <w:sz w:val="24"/>
                      </w:rPr>
                    </m:ctrlPr>
                  </m:sSubPr>
                  <m:e>
                    <m:r>
                      <m:rPr>
                        <m:sty m:val="bi"/>
                      </m:rPr>
                      <w:rPr>
                        <w:rFonts w:ascii="Cambria Math" w:hAnsi="Cambria Math"/>
                        <w:color w:val="000000" w:themeColor="text1"/>
                        <w:sz w:val="24"/>
                      </w:rPr>
                      <m:t>A</m:t>
                    </m:r>
                  </m:e>
                  <m:sub>
                    <m:r>
                      <m:rPr>
                        <m:sty m:val="bi"/>
                      </m:rPr>
                      <w:rPr>
                        <w:rFonts w:ascii="Cambria Math" w:hAnsi="Cambria Math" w:hint="eastAsia"/>
                        <w:color w:val="000000" w:themeColor="text1"/>
                        <w:sz w:val="24"/>
                      </w:rPr>
                      <m:t>2</m:t>
                    </m:r>
                  </m:sub>
                </m:sSub>
              </m:oMath>
            </m:oMathPara>
          </w:p>
        </w:tc>
      </w:tr>
      <w:tr w:rsidR="007938D0" w:rsidRPr="00D45FEF" w14:paraId="4E1BB295" w14:textId="77777777" w:rsidTr="006061BB">
        <w:trPr>
          <w:trHeight w:val="468"/>
        </w:trPr>
        <w:tc>
          <w:tcPr>
            <w:cnfStyle w:val="001000000000" w:firstRow="0" w:lastRow="0" w:firstColumn="1" w:lastColumn="0" w:oddVBand="0" w:evenVBand="0" w:oddHBand="0" w:evenHBand="0" w:firstRowFirstColumn="0" w:firstRowLastColumn="0" w:lastRowFirstColumn="0" w:lastRowLastColumn="0"/>
            <w:tcW w:w="2174" w:type="dxa"/>
            <w:tcBorders>
              <w:top w:val="single" w:sz="8" w:space="0" w:color="auto"/>
              <w:bottom w:val="single" w:sz="12" w:space="0" w:color="auto"/>
            </w:tcBorders>
            <w:vAlign w:val="center"/>
          </w:tcPr>
          <w:p w14:paraId="1BF32731" w14:textId="7E74A788" w:rsidR="007938D0" w:rsidRPr="00D45FEF" w:rsidRDefault="007938D0" w:rsidP="007938D0">
            <w:pPr>
              <w:spacing w:line="360" w:lineRule="auto"/>
              <w:jc w:val="center"/>
              <w:rPr>
                <w:b w:val="0"/>
                <w:bCs w:val="0"/>
                <w:color w:val="000000" w:themeColor="text1"/>
                <w:sz w:val="24"/>
              </w:rPr>
            </w:pPr>
            <w:r w:rsidRPr="00D45FEF">
              <w:rPr>
                <w:rFonts w:hint="eastAsia"/>
                <w:b w:val="0"/>
                <w:bCs w:val="0"/>
                <w:color w:val="000000" w:themeColor="text1"/>
                <w:sz w:val="24"/>
              </w:rPr>
              <w:t>S2</w:t>
            </w:r>
          </w:p>
        </w:tc>
        <w:tc>
          <w:tcPr>
            <w:tcW w:w="2080" w:type="dxa"/>
            <w:tcBorders>
              <w:top w:val="single" w:sz="8" w:space="0" w:color="auto"/>
              <w:bottom w:val="single" w:sz="12" w:space="0" w:color="auto"/>
            </w:tcBorders>
            <w:vAlign w:val="center"/>
          </w:tcPr>
          <w:p w14:paraId="5A3338BF" w14:textId="570AC86D" w:rsidR="007938D0" w:rsidRPr="00D45FEF" w:rsidRDefault="007938D0" w:rsidP="007938D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1</w:t>
            </w:r>
          </w:p>
        </w:tc>
        <w:tc>
          <w:tcPr>
            <w:tcW w:w="1951" w:type="dxa"/>
            <w:tcBorders>
              <w:top w:val="single" w:sz="8" w:space="0" w:color="auto"/>
              <w:bottom w:val="single" w:sz="12" w:space="0" w:color="auto"/>
            </w:tcBorders>
            <w:vAlign w:val="center"/>
          </w:tcPr>
          <w:p w14:paraId="7A14EF32" w14:textId="7A0457B1" w:rsidR="007938D0" w:rsidRPr="00D45FEF" w:rsidRDefault="007938D0" w:rsidP="007938D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4.510180435473000E-002</w:t>
            </w:r>
          </w:p>
        </w:tc>
        <w:tc>
          <w:tcPr>
            <w:tcW w:w="1951" w:type="dxa"/>
            <w:tcBorders>
              <w:top w:val="single" w:sz="8" w:space="0" w:color="auto"/>
              <w:bottom w:val="single" w:sz="12" w:space="0" w:color="auto"/>
            </w:tcBorders>
            <w:vAlign w:val="center"/>
          </w:tcPr>
          <w:p w14:paraId="10293C04" w14:textId="1A18C96C" w:rsidR="007938D0" w:rsidRPr="00D45FEF" w:rsidRDefault="007938D0" w:rsidP="007938D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D45FEF">
              <w:rPr>
                <w:rFonts w:hint="eastAsia"/>
                <w:color w:val="000000" w:themeColor="text1"/>
                <w:sz w:val="24"/>
              </w:rPr>
              <w:t>6.631650245838000E-006</w:t>
            </w:r>
          </w:p>
        </w:tc>
      </w:tr>
    </w:tbl>
    <w:p w14:paraId="060887D0" w14:textId="0A03D688" w:rsidR="006D154C" w:rsidRPr="00D45FEF" w:rsidRDefault="006D154C" w:rsidP="00DB4248">
      <w:pPr>
        <w:pStyle w:val="Subtitle1"/>
        <w:spacing w:line="400" w:lineRule="exact"/>
        <w:ind w:firstLineChars="200" w:firstLine="480"/>
        <w:rPr>
          <w:rFonts w:eastAsiaTheme="minorEastAsia"/>
          <w:b w:val="0"/>
          <w:bCs w:val="0"/>
          <w:lang w:eastAsia="zh-CN"/>
        </w:rPr>
      </w:pPr>
      <w:r w:rsidRPr="00D45FEF">
        <w:rPr>
          <w:rFonts w:eastAsiaTheme="minorEastAsia"/>
          <w:b w:val="0"/>
          <w:bCs w:val="0"/>
          <w:lang w:eastAsia="zh-CN"/>
        </w:rPr>
        <w:br w:type="page"/>
      </w:r>
    </w:p>
    <w:p w14:paraId="7B50B5BE" w14:textId="66AD58B9" w:rsidR="00994594" w:rsidRPr="00D45FEF" w:rsidRDefault="001C4639" w:rsidP="00A113C9">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hint="eastAsia"/>
          <w:lang w:eastAsia="zh-CN"/>
        </w:rPr>
        <w:t>Supplementary Information 3. Simulation analysis of focal spot stability for MCOS across a wide temperature range</w:t>
      </w:r>
    </w:p>
    <w:p w14:paraId="7829CED9" w14:textId="13241021" w:rsidR="00994594" w:rsidRPr="00D45FEF" w:rsidRDefault="001C4639"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The MCOS demonstrates exceptional stability in focusing performance across a wide temperature range (-40 to 60</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C). Observations of the focal spot distributions under different temperature gradients reveal that the wavefront aberrations of the system are effectively compensated during environmental changes. The central peak intensity of the spot remains consistently stable, with no significant energy dispersion or spot distortion observed.</w:t>
      </w:r>
    </w:p>
    <w:p w14:paraId="3752CB48" w14:textId="77777777" w:rsidR="00974F98" w:rsidRPr="00D45FEF" w:rsidRDefault="00974F98" w:rsidP="00974F98">
      <w:pPr>
        <w:spacing w:after="0"/>
        <w:jc w:val="center"/>
        <w:rPr>
          <w:rFonts w:ascii="Times New Roman" w:eastAsia="宋体" w:hAnsi="Times New Roman"/>
          <w:sz w:val="21"/>
          <w:szCs w:val="21"/>
        </w:rPr>
      </w:pPr>
      <w:r w:rsidRPr="00D45FEF">
        <w:rPr>
          <w:rFonts w:ascii="Times New Roman" w:eastAsia="宋体" w:hAnsi="Times New Roman" w:hint="eastAsia"/>
          <w:noProof/>
          <w:sz w:val="21"/>
          <w:szCs w:val="21"/>
        </w:rPr>
        <w:drawing>
          <wp:inline distT="0" distB="0" distL="0" distR="0" wp14:anchorId="5D2017AE" wp14:editId="33395397">
            <wp:extent cx="5400000" cy="3240000"/>
            <wp:effectExtent l="0" t="0" r="0" b="0"/>
            <wp:docPr id="1152921339"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21339" name="图形 1152921339"/>
                    <pic:cNvPicPr/>
                  </pic:nvPicPr>
                  <pic:blipFill>
                    <a:blip r:embed="rId8">
                      <a:extLst>
                        <a:ext uri="{96DAC541-7B7A-43D3-8B79-37D633B846F1}">
                          <asvg:svgBlip xmlns:asvg="http://schemas.microsoft.com/office/drawing/2016/SVG/main" r:embed="rId9"/>
                        </a:ext>
                      </a:extLst>
                    </a:blip>
                    <a:stretch>
                      <a:fillRect/>
                    </a:stretch>
                  </pic:blipFill>
                  <pic:spPr>
                    <a:xfrm>
                      <a:off x="0" y="0"/>
                      <a:ext cx="5400000" cy="3240000"/>
                    </a:xfrm>
                    <a:prstGeom prst="rect">
                      <a:avLst/>
                    </a:prstGeom>
                  </pic:spPr>
                </pic:pic>
              </a:graphicData>
            </a:graphic>
          </wp:inline>
        </w:drawing>
      </w:r>
    </w:p>
    <w:p w14:paraId="17C8127E" w14:textId="32D936B0" w:rsidR="00994594" w:rsidRPr="00D45FEF" w:rsidRDefault="001C4639" w:rsidP="00994594">
      <w:pPr>
        <w:pStyle w:val="Subtitle1"/>
        <w:spacing w:afterLines="50" w:after="156" w:line="400" w:lineRule="exact"/>
        <w:rPr>
          <w:rFonts w:ascii="Times New Roman" w:eastAsiaTheme="minorEastAsia" w:hAnsi="Times New Roman"/>
          <w:lang w:eastAsia="zh-CN"/>
        </w:rPr>
      </w:pPr>
      <w:r w:rsidRPr="00D45FEF">
        <w:rPr>
          <w:rFonts w:ascii="Times New Roman" w:eastAsiaTheme="minorEastAsia" w:hAnsi="Times New Roman" w:hint="eastAsia"/>
          <w:lang w:eastAsia="zh-CN"/>
        </w:rPr>
        <w:t>Fig. S</w:t>
      </w:r>
      <w:r w:rsidR="00640DAC">
        <w:rPr>
          <w:rFonts w:ascii="Times New Roman" w:eastAsiaTheme="minorEastAsia" w:hAnsi="Times New Roman" w:hint="eastAsia"/>
          <w:lang w:eastAsia="zh-CN"/>
        </w:rPr>
        <w:t>2</w:t>
      </w:r>
      <w:r w:rsidRPr="00D45FEF">
        <w:rPr>
          <w:rFonts w:ascii="Times New Roman" w:eastAsiaTheme="minorEastAsia" w:hAnsi="Times New Roman" w:hint="eastAsia"/>
          <w:lang w:eastAsia="zh-CN"/>
        </w:rPr>
        <w:t xml:space="preserve"> | Energy distribution maps of focal spots (PSF) at different temperatures and representative fields of view (Scale bar: 50 </w:t>
      </w:r>
      <w:r w:rsidRPr="00D45FEF">
        <w:rPr>
          <w:rFonts w:ascii="Times New Roman" w:eastAsiaTheme="minorEastAsia" w:hAnsi="Times New Roman" w:hint="eastAsia"/>
          <w:lang w:eastAsia="zh-CN"/>
        </w:rPr>
        <w:t>μ</w:t>
      </w:r>
      <w:r w:rsidRPr="00D45FEF">
        <w:rPr>
          <w:rFonts w:ascii="Times New Roman" w:eastAsiaTheme="minorEastAsia" w:hAnsi="Times New Roman" w:hint="eastAsia"/>
          <w:lang w:eastAsia="zh-CN"/>
        </w:rPr>
        <w:t>m).</w:t>
      </w:r>
    </w:p>
    <w:p w14:paraId="796C482A" w14:textId="1BC7F3C5" w:rsidR="00994594" w:rsidRPr="00D45FEF" w:rsidRDefault="001C4639"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 xml:space="preserve">Across the entire field of view, the FWHM of the focal spots is significantly smaller than the 50 </w:t>
      </w:r>
      <w:r w:rsidRPr="00D45FEF">
        <w:rPr>
          <w:rFonts w:ascii="Times New Roman" w:eastAsiaTheme="minorEastAsia" w:hAnsi="Times New Roman" w:hint="eastAsia"/>
          <w:b w:val="0"/>
          <w:bCs w:val="0"/>
          <w:lang w:eastAsia="zh-CN"/>
        </w:rPr>
        <w:t>μ</w:t>
      </w:r>
      <w:r w:rsidRPr="00D45FEF">
        <w:rPr>
          <w:rFonts w:ascii="Times New Roman" w:eastAsiaTheme="minorEastAsia" w:hAnsi="Times New Roman" w:hint="eastAsia"/>
          <w:b w:val="0"/>
          <w:bCs w:val="0"/>
          <w:lang w:eastAsia="zh-CN"/>
        </w:rPr>
        <w:t>m scale bar. Furthermore, under severe temperature fluctuations, the spot morphological characteristics and energy concentration exhibit only negligible variations. The high stability of the spot morphology strongly validates the thermal characteristic compensation strategy between the metasurface and the diffractive aspherical substrate in the MCOS design. This complementary effect successfully achieves the athermalization of the system, maintaining excellent imaging quality even under drastic temperature shifts.</w:t>
      </w:r>
    </w:p>
    <w:p w14:paraId="5B4EB7D4" w14:textId="01DA7733" w:rsidR="00994594" w:rsidRDefault="001C4639"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Particularly under oblique incidence at a 10</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xml:space="preserve"> field of view, although the spot expands slightly due to off-axis factors, its performance remains nearly symmetrical at both high and low temperature extremes. This reflects the robust self-compensation mechanism of the MCOS during thermal expansion, which effectively suppresses defocus and thermally-induced aberrations. These features ensure that the system maintains high-resolution detection capabilities even under extreme climatic conditions.</w:t>
      </w:r>
    </w:p>
    <w:p w14:paraId="4273277F" w14:textId="5FF4AD74" w:rsidR="007568BE" w:rsidRDefault="007568BE">
      <w:pPr>
        <w:widowControl/>
        <w:rPr>
          <w:rFonts w:ascii="Times New Roman" w:hAnsi="Times New Roman" w:cs="Arial"/>
          <w:sz w:val="24"/>
          <w14:ligatures w14:val="none"/>
        </w:rPr>
      </w:pPr>
      <w:r>
        <w:rPr>
          <w:rFonts w:ascii="Times New Roman" w:hAnsi="Times New Roman"/>
          <w:b/>
          <w:bCs/>
        </w:rPr>
        <w:br w:type="page"/>
      </w:r>
    </w:p>
    <w:p w14:paraId="3F933E36" w14:textId="5FA2CF23" w:rsidR="007568BE" w:rsidRPr="00D45FEF" w:rsidRDefault="007568BE" w:rsidP="007568BE">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hint="eastAsia"/>
          <w:lang w:eastAsia="zh-CN"/>
        </w:rPr>
        <w:t xml:space="preserve">Supplementary Information 4. </w:t>
      </w:r>
      <w:r w:rsidR="00416949" w:rsidRPr="00416949">
        <w:rPr>
          <w:rFonts w:ascii="Times New Roman" w:eastAsiaTheme="minorEastAsia" w:hAnsi="Times New Roman" w:cs="Times New Roman" w:hint="eastAsia"/>
          <w:lang w:eastAsia="zh-CN"/>
        </w:rPr>
        <w:t>Quantitative Analysis of System Focusing Efficiency Based on Simulations</w:t>
      </w:r>
    </w:p>
    <w:p w14:paraId="4F84D121" w14:textId="77777777" w:rsidR="00416949" w:rsidRPr="0014440C" w:rsidRDefault="00416949" w:rsidP="00416949">
      <w:pPr>
        <w:spacing w:afterLines="50" w:after="156"/>
        <w:jc w:val="center"/>
        <w:rPr>
          <w:rFonts w:ascii="Times New Roman" w:eastAsia="宋体" w:hAnsi="Times New Roman"/>
          <w:b/>
          <w:bCs/>
          <w:szCs w:val="21"/>
        </w:rPr>
      </w:pPr>
      <w:r>
        <w:rPr>
          <w:rFonts w:ascii="Times New Roman" w:eastAsia="宋体" w:hAnsi="Times New Roman"/>
          <w:b/>
          <w:bCs/>
          <w:noProof/>
          <w:szCs w:val="21"/>
        </w:rPr>
        <w:drawing>
          <wp:inline distT="0" distB="0" distL="0" distR="0" wp14:anchorId="6DE6ED06" wp14:editId="4F1FF20C">
            <wp:extent cx="5274310" cy="1339850"/>
            <wp:effectExtent l="0" t="0" r="2540" b="0"/>
            <wp:docPr id="13221999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99955" name="图片 13221999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39850"/>
                    </a:xfrm>
                    <a:prstGeom prst="rect">
                      <a:avLst/>
                    </a:prstGeom>
                  </pic:spPr>
                </pic:pic>
              </a:graphicData>
            </a:graphic>
          </wp:inline>
        </w:drawing>
      </w:r>
    </w:p>
    <w:p w14:paraId="04AAD568" w14:textId="26A9C812" w:rsidR="00416949" w:rsidRPr="00D45FEF" w:rsidRDefault="00416949" w:rsidP="00416949">
      <w:pPr>
        <w:pStyle w:val="Subtitle1"/>
        <w:spacing w:afterLines="50" w:after="156" w:line="400" w:lineRule="exact"/>
        <w:rPr>
          <w:rFonts w:ascii="Times New Roman" w:eastAsiaTheme="minorEastAsia" w:hAnsi="Times New Roman"/>
          <w:b w:val="0"/>
          <w:bCs w:val="0"/>
          <w:lang w:eastAsia="zh-CN"/>
        </w:rPr>
      </w:pPr>
      <w:r w:rsidRPr="00D45FEF">
        <w:rPr>
          <w:rFonts w:ascii="Times New Roman" w:eastAsiaTheme="minorEastAsia" w:hAnsi="Times New Roman" w:hint="eastAsia"/>
          <w:lang w:eastAsia="zh-CN"/>
        </w:rPr>
        <w:t xml:space="preserve">Fig. </w:t>
      </w:r>
      <w:r>
        <w:rPr>
          <w:rFonts w:ascii="Times New Roman" w:eastAsiaTheme="minorEastAsia" w:hAnsi="Times New Roman" w:hint="eastAsia"/>
          <w:lang w:eastAsia="zh-CN"/>
        </w:rPr>
        <w:t>S3</w:t>
      </w:r>
      <w:r w:rsidRPr="00D45FEF">
        <w:rPr>
          <w:rFonts w:ascii="Times New Roman" w:eastAsiaTheme="minorEastAsia" w:hAnsi="Times New Roman" w:hint="eastAsia"/>
          <w:lang w:eastAsia="zh-CN"/>
        </w:rPr>
        <w:t xml:space="preserve"> </w:t>
      </w:r>
      <w:r w:rsidRPr="00416949">
        <w:rPr>
          <w:rFonts w:ascii="Times New Roman" w:eastAsiaTheme="minorEastAsia" w:hAnsi="Times New Roman" w:hint="eastAsia"/>
          <w:lang w:eastAsia="zh-CN"/>
        </w:rPr>
        <w:t>Simulation analysis of system focusing efficiency</w:t>
      </w:r>
      <w:r w:rsidRPr="00D45FEF">
        <w:rPr>
          <w:rFonts w:ascii="Times New Roman" w:eastAsiaTheme="minorEastAsia" w:hAnsi="Times New Roman" w:hint="eastAsia"/>
          <w:lang w:eastAsia="zh-CN"/>
        </w:rPr>
        <w:t xml:space="preserve">. </w:t>
      </w:r>
      <w:r w:rsidRPr="00416949">
        <w:rPr>
          <w:rFonts w:ascii="Times New Roman" w:eastAsiaTheme="minorEastAsia" w:hAnsi="Times New Roman"/>
          <w:b w:val="0"/>
          <w:bCs w:val="0"/>
          <w:lang w:eastAsia="zh-CN"/>
        </w:rPr>
        <w:t>(a) Normalized PSF distribution, where the red dashed box defines the focal energy region used for efficiency calculation; (b) Intensity profile of the PSF center along the x-direction; (c) Encircled energy (EE) curve extracted based on PSF integration.</w:t>
      </w:r>
    </w:p>
    <w:p w14:paraId="5D9B5959" w14:textId="0EA24D78" w:rsidR="00416949" w:rsidRDefault="002143CD" w:rsidP="00994594">
      <w:pPr>
        <w:pStyle w:val="Subtitle1"/>
        <w:spacing w:line="400" w:lineRule="exact"/>
        <w:ind w:firstLineChars="100" w:firstLine="240"/>
        <w:rPr>
          <w:rFonts w:ascii="Times New Roman" w:eastAsiaTheme="minorEastAsia" w:hAnsi="Times New Roman"/>
          <w:b w:val="0"/>
          <w:bCs w:val="0"/>
          <w:lang w:eastAsia="zh-CN"/>
        </w:rPr>
      </w:pPr>
      <w:r w:rsidRPr="003759D7">
        <w:rPr>
          <w:rFonts w:ascii="Times New Roman" w:eastAsiaTheme="minorEastAsia" w:hAnsi="Times New Roman"/>
          <w:b w:val="0"/>
          <w:bCs w:val="0"/>
          <w:lang w:eastAsia="zh-CN"/>
        </w:rPr>
        <w:t>To quantitatively evaluate the focusing performance of the system, we first obtained the PSF distribution through simulation, as shown in Fig.S3a. This PSF fully characterizes the spatial energy distribution of the light field at the focal plane. By extracting the intensity profile of the center along the x-direction (Fig. S3b), it can be observed that the focal spot exhibits high symmetry, with a FWHM of 10.1 μm (as labeled in the figure). In calculating the system focusing efficiency, we defined 3 times the FWHM as the effective radius of the focal energy</w:t>
      </w:r>
      <w:r w:rsidR="003759D7" w:rsidRPr="003759D7">
        <w:rPr>
          <w:rFonts w:ascii="Times New Roman" w:eastAsiaTheme="minorEastAsia" w:hAnsi="Times New Roman" w:hint="eastAsia"/>
          <w:b w:val="0"/>
          <w:bCs w:val="0"/>
          <w:lang w:eastAsia="zh-CN"/>
        </w:rPr>
        <w:t xml:space="preserve">, </w:t>
      </w:r>
      <w:r w:rsidRPr="003759D7">
        <w:rPr>
          <w:rFonts w:ascii="Times New Roman" w:eastAsiaTheme="minorEastAsia" w:hAnsi="Times New Roman"/>
          <w:b w:val="0"/>
          <w:bCs w:val="0"/>
          <w:lang w:eastAsia="zh-CN"/>
        </w:rPr>
        <w:t>corresponding to the circular region demarcated by the red dashed line in Fig. S3a</w:t>
      </w:r>
      <w:r w:rsidR="003759D7" w:rsidRPr="003759D7">
        <w:rPr>
          <w:rFonts w:ascii="Times New Roman" w:eastAsiaTheme="minorEastAsia" w:hAnsi="Times New Roman" w:hint="eastAsia"/>
          <w:b w:val="0"/>
          <w:bCs w:val="0"/>
          <w:lang w:eastAsia="zh-CN"/>
        </w:rPr>
        <w:t xml:space="preserve">, </w:t>
      </w:r>
      <w:r w:rsidRPr="003759D7">
        <w:rPr>
          <w:rFonts w:ascii="Times New Roman" w:eastAsiaTheme="minorEastAsia" w:hAnsi="Times New Roman"/>
          <w:b w:val="0"/>
          <w:bCs w:val="0"/>
          <w:lang w:eastAsia="zh-CN"/>
        </w:rPr>
        <w:t>to exclude background noise and accurately capture the core optical energy. Finally, based on the radial integration of the PSF spatial distribution, the dynamic curve of encircled energy (EE) as a function of radius was derived. As shown in Fig.S3c, the optical energy exhibits a rapid convergence trend as the statistical radius increases. Within the 3×FWHM radius, the system focusing efficiency reaches 87.46%, physically validating the superior energy manipulation and imaging focusing capabilities of the MCOS.</w:t>
      </w:r>
    </w:p>
    <w:p w14:paraId="516E5B93" w14:textId="77777777" w:rsidR="00974F98" w:rsidRPr="00D45FEF" w:rsidRDefault="00974F98" w:rsidP="00974F98">
      <w:pPr>
        <w:widowControl/>
        <w:rPr>
          <w:rFonts w:ascii="Times New Roman" w:eastAsia="宋体" w:hAnsi="Times New Roman"/>
          <w:sz w:val="21"/>
          <w:szCs w:val="21"/>
        </w:rPr>
      </w:pPr>
      <w:r w:rsidRPr="00D45FEF">
        <w:rPr>
          <w:rFonts w:ascii="Times New Roman" w:eastAsia="宋体" w:hAnsi="Times New Roman"/>
          <w:sz w:val="21"/>
          <w:szCs w:val="21"/>
        </w:rPr>
        <w:br w:type="page"/>
      </w:r>
    </w:p>
    <w:p w14:paraId="205E27D1" w14:textId="75CBFD7B" w:rsidR="00994594" w:rsidRPr="00D45FEF" w:rsidRDefault="001C4639" w:rsidP="00A113C9">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hint="eastAsia"/>
          <w:lang w:eastAsia="zh-CN"/>
        </w:rPr>
        <w:t xml:space="preserve">Supplementary Information </w:t>
      </w:r>
      <w:r w:rsidR="007568BE">
        <w:rPr>
          <w:rFonts w:ascii="Times New Roman" w:eastAsiaTheme="minorEastAsia" w:hAnsi="Times New Roman" w:cs="Times New Roman" w:hint="eastAsia"/>
          <w:lang w:eastAsia="zh-CN"/>
        </w:rPr>
        <w:t>5</w:t>
      </w:r>
      <w:r w:rsidRPr="00D45FEF">
        <w:rPr>
          <w:rFonts w:ascii="Times New Roman" w:eastAsiaTheme="minorEastAsia" w:hAnsi="Times New Roman" w:cs="Times New Roman" w:hint="eastAsia"/>
          <w:lang w:eastAsia="zh-CN"/>
        </w:rPr>
        <w:t>. Fabrication flowchart and sample characterization</w:t>
      </w:r>
    </w:p>
    <w:p w14:paraId="0F49CD9C" w14:textId="595EA234" w:rsidR="00260AD9" w:rsidRPr="00D45FEF" w:rsidRDefault="00ED13FB" w:rsidP="00260AD9">
      <w:pPr>
        <w:spacing w:afterLines="50" w:after="156"/>
        <w:jc w:val="center"/>
        <w:rPr>
          <w:rFonts w:ascii="Times New Roman" w:eastAsia="宋体" w:hAnsi="Times New Roman"/>
          <w:b/>
          <w:bCs/>
          <w:szCs w:val="21"/>
        </w:rPr>
      </w:pPr>
      <w:r w:rsidRPr="00D45FEF">
        <w:rPr>
          <w:rFonts w:ascii="Times New Roman" w:eastAsia="宋体" w:hAnsi="Times New Roman"/>
          <w:b/>
          <w:bCs/>
          <w:noProof/>
          <w:szCs w:val="21"/>
        </w:rPr>
        <w:drawing>
          <wp:inline distT="0" distB="0" distL="0" distR="0" wp14:anchorId="1E81979C" wp14:editId="254ECAF5">
            <wp:extent cx="5274310" cy="3335020"/>
            <wp:effectExtent l="0" t="0" r="2540" b="0"/>
            <wp:docPr id="518025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25049" name="图片 5180250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35020"/>
                    </a:xfrm>
                    <a:prstGeom prst="rect">
                      <a:avLst/>
                    </a:prstGeom>
                  </pic:spPr>
                </pic:pic>
              </a:graphicData>
            </a:graphic>
          </wp:inline>
        </w:drawing>
      </w:r>
    </w:p>
    <w:p w14:paraId="6EA8F355" w14:textId="5D8C0780" w:rsidR="00994594" w:rsidRPr="00D45FEF" w:rsidRDefault="00395556" w:rsidP="00994594">
      <w:pPr>
        <w:pStyle w:val="Subtitle1"/>
        <w:spacing w:afterLines="50" w:after="156" w:line="400" w:lineRule="exact"/>
        <w:rPr>
          <w:rFonts w:ascii="Times New Roman" w:eastAsiaTheme="minorEastAsia" w:hAnsi="Times New Roman"/>
          <w:b w:val="0"/>
          <w:bCs w:val="0"/>
          <w:lang w:eastAsia="zh-CN"/>
        </w:rPr>
      </w:pPr>
      <w:r w:rsidRPr="00D45FEF">
        <w:rPr>
          <w:rFonts w:ascii="Times New Roman" w:eastAsiaTheme="minorEastAsia" w:hAnsi="Times New Roman" w:hint="eastAsia"/>
          <w:lang w:eastAsia="zh-CN"/>
        </w:rPr>
        <w:t xml:space="preserve">Fig. </w:t>
      </w:r>
      <w:r w:rsidR="00640DAC">
        <w:rPr>
          <w:rFonts w:ascii="Times New Roman" w:eastAsiaTheme="minorEastAsia" w:hAnsi="Times New Roman" w:hint="eastAsia"/>
          <w:lang w:eastAsia="zh-CN"/>
        </w:rPr>
        <w:t>S4</w:t>
      </w:r>
      <w:r w:rsidRPr="00D45FEF">
        <w:rPr>
          <w:rFonts w:ascii="Times New Roman" w:eastAsiaTheme="minorEastAsia" w:hAnsi="Times New Roman" w:hint="eastAsia"/>
          <w:lang w:eastAsia="zh-CN"/>
        </w:rPr>
        <w:t xml:space="preserve"> Fabrication process and sample characterization of the meta-composite lens. </w:t>
      </w:r>
      <w:r w:rsidRPr="00D45FEF">
        <w:rPr>
          <w:rFonts w:ascii="Times New Roman" w:eastAsiaTheme="minorEastAsia" w:hAnsi="Times New Roman" w:hint="eastAsia"/>
          <w:b w:val="0"/>
          <w:bCs w:val="0"/>
          <w:lang w:eastAsia="zh-CN"/>
        </w:rPr>
        <w:t>(a) Fabrication flowchart of the meta-composite lens based on concentric ring structures; (b) Top and cross-sectional views of the off-center regions, and an oblique view of the center region of the meta-composite lens.</w:t>
      </w:r>
    </w:p>
    <w:p w14:paraId="55B38FB1" w14:textId="72159C68" w:rsidR="00994594" w:rsidRPr="00D45FEF" w:rsidRDefault="00395556" w:rsidP="0019044E">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 xml:space="preserve">To verify the theoretical feasibility, an experimental prototype of the MCOS was successfully fabricated and integrated. The fabrication flowchart and microscopic characterization of the meta-composite lens samples are shown in Fig. </w:t>
      </w:r>
      <w:r w:rsidR="00640DAC">
        <w:rPr>
          <w:rFonts w:ascii="Times New Roman" w:eastAsiaTheme="minorEastAsia" w:hAnsi="Times New Roman" w:hint="eastAsia"/>
          <w:b w:val="0"/>
          <w:bCs w:val="0"/>
          <w:lang w:eastAsia="zh-CN"/>
        </w:rPr>
        <w:t>S4</w:t>
      </w:r>
      <w:r w:rsidRPr="00D45FEF">
        <w:rPr>
          <w:rFonts w:ascii="Times New Roman" w:eastAsiaTheme="minorEastAsia" w:hAnsi="Times New Roman" w:hint="eastAsia"/>
          <w:b w:val="0"/>
          <w:bCs w:val="0"/>
          <w:lang w:eastAsia="zh-CN"/>
        </w:rPr>
        <w:t xml:space="preserve">. The double-sided aspherical lens was ultra-precisely machined using the single-point diamond turning (SPDT) process, ensuring sub-micrometer accuracy for the high-order aspherical surface profile. Subsequently, annular microstructures were precisely constructed on the lens substrate surface via femtosecond laser machining (FLM) and deep reactive ion etching (DRIE) processes. Scanning electron microscopy (SEM) characterization results are presented in Fig. </w:t>
      </w:r>
      <w:r w:rsidR="00640DAC">
        <w:rPr>
          <w:rFonts w:ascii="Times New Roman" w:eastAsiaTheme="minorEastAsia" w:hAnsi="Times New Roman" w:hint="eastAsia"/>
          <w:b w:val="0"/>
          <w:bCs w:val="0"/>
          <w:lang w:eastAsia="zh-CN"/>
        </w:rPr>
        <w:t>S4</w:t>
      </w:r>
      <w:r w:rsidRPr="00D45FEF">
        <w:rPr>
          <w:rFonts w:ascii="Times New Roman" w:eastAsiaTheme="minorEastAsia" w:hAnsi="Times New Roman" w:hint="eastAsia"/>
          <w:b w:val="0"/>
          <w:bCs w:val="0"/>
          <w:lang w:eastAsia="zh-CN"/>
        </w:rPr>
        <w:t>b, showing that the fabricated meta-atoms are intact and uniformly arranged. The etching height was precisely controlled at 10.8</w:t>
      </w:r>
      <w:r w:rsidR="007568BE" w:rsidRPr="007568BE">
        <w:rPr>
          <w:rFonts w:ascii="Times New Roman" w:eastAsia="宋体" w:hAnsi="Times New Roman" w:hint="eastAsia"/>
          <w:b w:val="0"/>
          <w:bCs w:val="0"/>
          <w:szCs w:val="21"/>
        </w:rPr>
        <w:t>µm</w:t>
      </w:r>
      <w:r w:rsidRPr="00D45FEF">
        <w:rPr>
          <w:rFonts w:ascii="Times New Roman" w:eastAsiaTheme="minorEastAsia" w:hAnsi="Times New Roman" w:hint="eastAsia"/>
          <w:b w:val="0"/>
          <w:bCs w:val="0"/>
          <w:lang w:eastAsia="zh-CN"/>
        </w:rPr>
        <w:t>, which is in high agreement with the design model.</w:t>
      </w:r>
    </w:p>
    <w:p w14:paraId="14AF2540" w14:textId="77777777" w:rsidR="00224145" w:rsidRPr="00D45FEF" w:rsidRDefault="00224145">
      <w:pPr>
        <w:widowControl/>
        <w:rPr>
          <w:rFonts w:ascii="宋体" w:eastAsia="宋体" w:hAnsi="宋体" w:cs="宋体" w:hint="eastAsia"/>
          <w:b/>
          <w:bCs/>
          <w:sz w:val="24"/>
          <w14:ligatures w14:val="none"/>
        </w:rPr>
      </w:pPr>
      <w:r w:rsidRPr="00D45FEF">
        <w:rPr>
          <w:rFonts w:ascii="宋体" w:eastAsia="宋体" w:hAnsi="宋体" w:cs="宋体" w:hint="eastAsia"/>
        </w:rPr>
        <w:br w:type="page"/>
      </w:r>
    </w:p>
    <w:p w14:paraId="2FEA3EF7" w14:textId="55905820" w:rsidR="00994594" w:rsidRPr="00D45FEF" w:rsidRDefault="00395556" w:rsidP="00A113C9">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hint="eastAsia"/>
          <w:lang w:eastAsia="zh-CN"/>
        </w:rPr>
        <w:t xml:space="preserve">Supplementary Information </w:t>
      </w:r>
      <w:r w:rsidR="00095B83">
        <w:rPr>
          <w:rFonts w:ascii="Times New Roman" w:eastAsiaTheme="minorEastAsia" w:hAnsi="Times New Roman" w:cs="Times New Roman" w:hint="eastAsia"/>
          <w:lang w:eastAsia="zh-CN"/>
        </w:rPr>
        <w:t>6</w:t>
      </w:r>
      <w:r w:rsidRPr="00D45FEF">
        <w:rPr>
          <w:rFonts w:ascii="Times New Roman" w:eastAsiaTheme="minorEastAsia" w:hAnsi="Times New Roman" w:cs="Times New Roman" w:hint="eastAsia"/>
          <w:lang w:eastAsia="zh-CN"/>
        </w:rPr>
        <w:t>. Athermalized imaging experimental system</w:t>
      </w:r>
    </w:p>
    <w:p w14:paraId="42BF8537" w14:textId="3E0CCE6C" w:rsidR="00224145" w:rsidRPr="00D45FEF" w:rsidRDefault="00F73003" w:rsidP="00224145">
      <w:pPr>
        <w:snapToGrid w:val="0"/>
        <w:spacing w:after="0" w:line="240" w:lineRule="auto"/>
        <w:jc w:val="center"/>
        <w:rPr>
          <w:rFonts w:ascii="Times New Roman" w:eastAsia="宋体" w:hAnsi="Times New Roman"/>
          <w:sz w:val="21"/>
          <w:szCs w:val="21"/>
        </w:rPr>
      </w:pPr>
      <w:r>
        <w:rPr>
          <w:rFonts w:ascii="Times New Roman" w:eastAsia="宋体" w:hAnsi="Times New Roman"/>
          <w:noProof/>
          <w:sz w:val="21"/>
          <w:szCs w:val="21"/>
        </w:rPr>
        <w:drawing>
          <wp:inline distT="0" distB="0" distL="0" distR="0" wp14:anchorId="0C57ECDD" wp14:editId="4DF18461">
            <wp:extent cx="5274310" cy="2447290"/>
            <wp:effectExtent l="0" t="0" r="2540" b="0"/>
            <wp:docPr id="116406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6534" name="图片 1164065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47290"/>
                    </a:xfrm>
                    <a:prstGeom prst="rect">
                      <a:avLst/>
                    </a:prstGeom>
                  </pic:spPr>
                </pic:pic>
              </a:graphicData>
            </a:graphic>
          </wp:inline>
        </w:drawing>
      </w:r>
    </w:p>
    <w:p w14:paraId="3D9A9E6B" w14:textId="1D9CB4E2" w:rsidR="00994594" w:rsidRPr="00D45FEF" w:rsidRDefault="00395556" w:rsidP="00994594">
      <w:pPr>
        <w:pStyle w:val="Subtitle1"/>
        <w:spacing w:afterLines="50" w:after="156" w:line="400" w:lineRule="exact"/>
        <w:rPr>
          <w:rFonts w:ascii="Times New Roman" w:eastAsiaTheme="minorEastAsia" w:hAnsi="Times New Roman"/>
          <w:b w:val="0"/>
          <w:bCs w:val="0"/>
          <w:lang w:eastAsia="zh-CN"/>
        </w:rPr>
      </w:pPr>
      <w:r w:rsidRPr="00D45FEF">
        <w:rPr>
          <w:rFonts w:ascii="Times New Roman" w:eastAsiaTheme="minorEastAsia" w:hAnsi="Times New Roman" w:hint="eastAsia"/>
          <w:lang w:eastAsia="zh-CN"/>
        </w:rPr>
        <w:t>Fig. S</w:t>
      </w:r>
      <w:r w:rsidR="00640DAC">
        <w:rPr>
          <w:rFonts w:ascii="Times New Roman" w:eastAsiaTheme="minorEastAsia" w:hAnsi="Times New Roman" w:hint="eastAsia"/>
          <w:lang w:eastAsia="zh-CN"/>
        </w:rPr>
        <w:t>5</w:t>
      </w:r>
      <w:r w:rsidRPr="00D45FEF">
        <w:rPr>
          <w:rFonts w:ascii="Times New Roman" w:eastAsiaTheme="minorEastAsia" w:hAnsi="Times New Roman" w:hint="eastAsia"/>
          <w:lang w:eastAsia="zh-CN"/>
        </w:rPr>
        <w:t xml:space="preserve"> | Optical test system configuration for athermalized imaging experiments. </w:t>
      </w:r>
      <w:r w:rsidRPr="00D45FEF">
        <w:rPr>
          <w:rFonts w:ascii="Times New Roman" w:eastAsiaTheme="minorEastAsia" w:hAnsi="Times New Roman" w:hint="eastAsia"/>
          <w:b w:val="0"/>
          <w:bCs w:val="0"/>
          <w:lang w:eastAsia="zh-CN"/>
        </w:rPr>
        <w:t>(a, b) Schematic and photograph of the test system for high-temperature imaging experiments; (c) Schematic of the test system for low-temperature imaging experiments; (d) High-contrast infrared test target based on blackbody radiation differences; (e) Integrated MCOS lens barrel under a controlled low-temperature environment.</w:t>
      </w:r>
    </w:p>
    <w:p w14:paraId="6F9027CD" w14:textId="7FBFB88A" w:rsidR="00994594" w:rsidRPr="00D45FEF" w:rsidRDefault="00395556" w:rsidP="00095B83">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 xml:space="preserve">For the high-temperature environment test, as shown in Fig. </w:t>
      </w:r>
      <w:r w:rsidR="00640DAC">
        <w:rPr>
          <w:rFonts w:ascii="Times New Roman" w:eastAsiaTheme="minorEastAsia" w:hAnsi="Times New Roman" w:hint="eastAsia"/>
          <w:b w:val="0"/>
          <w:bCs w:val="0"/>
          <w:lang w:eastAsia="zh-CN"/>
        </w:rPr>
        <w:t>S5</w:t>
      </w:r>
      <w:r w:rsidRPr="00D45FEF">
        <w:rPr>
          <w:rFonts w:ascii="Times New Roman" w:eastAsiaTheme="minorEastAsia" w:hAnsi="Times New Roman" w:hint="eastAsia"/>
          <w:b w:val="0"/>
          <w:bCs w:val="0"/>
          <w:lang w:eastAsia="zh-CN"/>
        </w:rPr>
        <w:t>a, the complete test system</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comprising a blackbody source, a resolution target, the MCOS module, and a detector, with a testing distance of approximately 80 cm</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was entirely placed within a controlled environmental chamber. The experiment utilized an auxiliary heat source to generate uniform thermal field radiation, raising the ambient temperature inside the chamber to a constant level above 60</w:t>
      </w:r>
      <w:r w:rsidRPr="00D45FEF">
        <w:rPr>
          <w:rFonts w:ascii="Times New Roman" w:eastAsiaTheme="minorEastAsia" w:hAnsi="Times New Roman" w:hint="eastAsia"/>
          <w:b w:val="0"/>
          <w:bCs w:val="0"/>
          <w:lang w:eastAsia="zh-CN"/>
        </w:rPr>
        <w:t>°</w:t>
      </w:r>
      <w:r w:rsidRPr="00D45FEF">
        <w:rPr>
          <w:rFonts w:ascii="Times New Roman" w:eastAsiaTheme="minorEastAsia" w:hAnsi="Times New Roman" w:hint="eastAsia"/>
          <w:b w:val="0"/>
          <w:bCs w:val="0"/>
          <w:lang w:eastAsia="zh-CN"/>
        </w:rPr>
        <w:t xml:space="preserve">C to simulate the operating states of the device under high-temperature exposure or high-power-consumption conditions. The photograph of the actual high-temperature experimental setup is shown in Fig. </w:t>
      </w:r>
      <w:r w:rsidR="00640DAC">
        <w:rPr>
          <w:rFonts w:ascii="Times New Roman" w:eastAsiaTheme="minorEastAsia" w:hAnsi="Times New Roman" w:hint="eastAsia"/>
          <w:b w:val="0"/>
          <w:bCs w:val="0"/>
          <w:lang w:eastAsia="zh-CN"/>
        </w:rPr>
        <w:t>S5</w:t>
      </w:r>
      <w:r w:rsidRPr="00D45FEF">
        <w:rPr>
          <w:rFonts w:ascii="Times New Roman" w:eastAsiaTheme="minorEastAsia" w:hAnsi="Times New Roman" w:hint="eastAsia"/>
          <w:b w:val="0"/>
          <w:bCs w:val="0"/>
          <w:lang w:eastAsia="zh-CN"/>
        </w:rPr>
        <w:t>b, where multi-point temperature measurements were conducted on the lens barrel surface using thermocouples to ensure that the optical components reached thermal equilibrium.</w:t>
      </w:r>
    </w:p>
    <w:p w14:paraId="1325E673" w14:textId="392F90AA" w:rsidR="00994594" w:rsidRPr="00D45FEF" w:rsidRDefault="00395556" w:rsidP="002E2C4F">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As shown in Fig.</w:t>
      </w:r>
      <w:r w:rsidR="00640DAC">
        <w:rPr>
          <w:rFonts w:ascii="Times New Roman" w:eastAsiaTheme="minorEastAsia" w:hAnsi="Times New Roman" w:hint="eastAsia"/>
          <w:b w:val="0"/>
          <w:bCs w:val="0"/>
          <w:lang w:eastAsia="zh-CN"/>
        </w:rPr>
        <w:t>S5</w:t>
      </w:r>
      <w:r w:rsidRPr="00D45FEF">
        <w:rPr>
          <w:rFonts w:ascii="Times New Roman" w:eastAsiaTheme="minorEastAsia" w:hAnsi="Times New Roman" w:hint="eastAsia"/>
          <w:b w:val="0"/>
          <w:bCs w:val="0"/>
          <w:lang w:eastAsia="zh-CN"/>
        </w:rPr>
        <w:t>c, a local temperature control strategy was adopted for the low-temperature environment testing. The blackbody radiation source and the test target, shown in Fig.</w:t>
      </w:r>
      <w:r w:rsidR="00640DAC">
        <w:rPr>
          <w:rFonts w:ascii="Times New Roman" w:eastAsiaTheme="minorEastAsia" w:hAnsi="Times New Roman" w:hint="eastAsia"/>
          <w:b w:val="0"/>
          <w:bCs w:val="0"/>
          <w:lang w:eastAsia="zh-CN"/>
        </w:rPr>
        <w:t>S5</w:t>
      </w:r>
      <w:r w:rsidRPr="00D45FEF">
        <w:rPr>
          <w:rFonts w:ascii="Times New Roman" w:eastAsiaTheme="minorEastAsia" w:hAnsi="Times New Roman" w:hint="eastAsia"/>
          <w:b w:val="0"/>
          <w:bCs w:val="0"/>
          <w:lang w:eastAsia="zh-CN"/>
        </w:rPr>
        <w:t xml:space="preserve">d, were maintained outside the chamber. </w:t>
      </w:r>
      <w:r w:rsidR="002E2C4F" w:rsidRPr="002E2C4F">
        <w:rPr>
          <w:rFonts w:ascii="Times New Roman" w:eastAsiaTheme="minorEastAsia" w:hAnsi="Times New Roman"/>
          <w:b w:val="0"/>
          <w:bCs w:val="0"/>
          <w:lang w:eastAsia="zh-CN"/>
        </w:rPr>
        <w:t>Owing to the operational requirement of opening the refrigeration chamber during imaging, the MCOS and detector assembly were pre-installed within the controlled environment (Fig. S5e). The chamber was pre-cooled to -82°C to counteract the thermal shock induced by air convection upon opening. Experimental observations indicate that the local ambient temperature stabilized at approximately -50°C during characterization, thereby rigorously satisfying the requisite test condition of -40°C.</w:t>
      </w:r>
      <w:r w:rsidR="002E2C4F">
        <w:rPr>
          <w:rFonts w:ascii="Times New Roman" w:eastAsiaTheme="minorEastAsia" w:hAnsi="Times New Roman" w:hint="eastAsia"/>
          <w:b w:val="0"/>
          <w:bCs w:val="0"/>
          <w:lang w:eastAsia="zh-CN"/>
        </w:rPr>
        <w:t xml:space="preserve"> </w:t>
      </w:r>
      <w:r w:rsidRPr="00D45FEF">
        <w:rPr>
          <w:rFonts w:ascii="Times New Roman" w:eastAsiaTheme="minorEastAsia" w:hAnsi="Times New Roman" w:hint="eastAsia"/>
          <w:b w:val="0"/>
          <w:bCs w:val="0"/>
          <w:lang w:eastAsia="zh-CN"/>
        </w:rPr>
        <w:t>This setup effectively simulates the operational behavior of the system in cryogenic environments.</w:t>
      </w:r>
    </w:p>
    <w:p w14:paraId="62EA4E92" w14:textId="77777777" w:rsidR="00FD7290" w:rsidRPr="00D45FEF" w:rsidRDefault="00FD7290" w:rsidP="00095B83">
      <w:pPr>
        <w:widowControl/>
        <w:jc w:val="both"/>
        <w:rPr>
          <w:rFonts w:ascii="宋体" w:eastAsia="宋体" w:hAnsi="宋体" w:cs="宋体" w:hint="eastAsia"/>
          <w:b/>
          <w:bCs/>
          <w:sz w:val="24"/>
          <w14:ligatures w14:val="none"/>
        </w:rPr>
      </w:pPr>
      <w:r w:rsidRPr="00D45FEF">
        <w:rPr>
          <w:rFonts w:ascii="宋体" w:eastAsia="宋体" w:hAnsi="宋体" w:cs="宋体" w:hint="eastAsia"/>
        </w:rPr>
        <w:br w:type="page"/>
      </w:r>
    </w:p>
    <w:p w14:paraId="7BF79BAC" w14:textId="6476B725" w:rsidR="00994594" w:rsidRPr="00D45FEF" w:rsidRDefault="00395556" w:rsidP="00A113C9">
      <w:pPr>
        <w:pStyle w:val="Subtitle1"/>
        <w:spacing w:afterLines="50" w:after="156" w:line="360" w:lineRule="auto"/>
        <w:outlineLvl w:val="1"/>
        <w:rPr>
          <w:rFonts w:ascii="Times New Roman" w:eastAsiaTheme="minorEastAsia" w:hAnsi="Times New Roman" w:cs="Times New Roman"/>
          <w:lang w:eastAsia="zh-CN"/>
        </w:rPr>
      </w:pPr>
      <w:r w:rsidRPr="00D45FEF">
        <w:rPr>
          <w:rFonts w:ascii="Times New Roman" w:eastAsiaTheme="minorEastAsia" w:hAnsi="Times New Roman" w:cs="Times New Roman" w:hint="eastAsia"/>
          <w:lang w:eastAsia="zh-CN"/>
        </w:rPr>
        <w:t xml:space="preserve">Supplementary Information </w:t>
      </w:r>
      <w:r w:rsidR="00095B83">
        <w:rPr>
          <w:rFonts w:ascii="Times New Roman" w:eastAsiaTheme="minorEastAsia" w:hAnsi="Times New Roman" w:cs="Times New Roman" w:hint="eastAsia"/>
          <w:lang w:eastAsia="zh-CN"/>
        </w:rPr>
        <w:t>7</w:t>
      </w:r>
      <w:r w:rsidRPr="00D45FEF">
        <w:rPr>
          <w:rFonts w:ascii="Times New Roman" w:eastAsiaTheme="minorEastAsia" w:hAnsi="Times New Roman" w:cs="Times New Roman" w:hint="eastAsia"/>
          <w:lang w:eastAsia="zh-CN"/>
        </w:rPr>
        <w:t>. UAV imaging tests under multi-state operational conditions</w:t>
      </w:r>
    </w:p>
    <w:p w14:paraId="0A24E118" w14:textId="7C4EF181" w:rsidR="00FD7290" w:rsidRPr="00D45FEF" w:rsidRDefault="000B1C0B" w:rsidP="00FD7290">
      <w:pPr>
        <w:snapToGrid w:val="0"/>
        <w:spacing w:after="0" w:line="240" w:lineRule="auto"/>
        <w:jc w:val="center"/>
        <w:rPr>
          <w:rFonts w:ascii="Times New Roman" w:eastAsia="宋体" w:hAnsi="Times New Roman"/>
          <w:sz w:val="21"/>
          <w:szCs w:val="21"/>
        </w:rPr>
      </w:pPr>
      <w:r w:rsidRPr="00D45FEF">
        <w:rPr>
          <w:rFonts w:ascii="Times New Roman" w:eastAsia="宋体" w:hAnsi="Times New Roman"/>
          <w:noProof/>
          <w:sz w:val="21"/>
          <w:szCs w:val="21"/>
        </w:rPr>
        <w:drawing>
          <wp:inline distT="0" distB="0" distL="0" distR="0" wp14:anchorId="7B93E44B" wp14:editId="7AF21A9D">
            <wp:extent cx="5274310" cy="2989580"/>
            <wp:effectExtent l="0" t="0" r="2540" b="1270"/>
            <wp:docPr id="200273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3751" name="图片 200273751"/>
                    <pic:cNvPicPr/>
                  </pic:nvPicPr>
                  <pic:blipFill>
                    <a:blip r:embed="rId13">
                      <a:extLst>
                        <a:ext uri="{28A0092B-C50C-407E-A947-70E740481C1C}">
                          <a14:useLocalDpi xmlns:a14="http://schemas.microsoft.com/office/drawing/2010/main" val="0"/>
                        </a:ext>
                      </a:extLst>
                    </a:blip>
                    <a:stretch>
                      <a:fillRect/>
                    </a:stretch>
                  </pic:blipFill>
                  <pic:spPr>
                    <a:xfrm>
                      <a:off x="0" y="0"/>
                      <a:ext cx="5274310" cy="2989580"/>
                    </a:xfrm>
                    <a:prstGeom prst="rect">
                      <a:avLst/>
                    </a:prstGeom>
                  </pic:spPr>
                </pic:pic>
              </a:graphicData>
            </a:graphic>
          </wp:inline>
        </w:drawing>
      </w:r>
    </w:p>
    <w:p w14:paraId="00FE4270" w14:textId="2D8957AC" w:rsidR="00994594" w:rsidRPr="00D45FEF" w:rsidRDefault="00395556" w:rsidP="00994594">
      <w:pPr>
        <w:pStyle w:val="Subtitle1"/>
        <w:spacing w:afterLines="50" w:after="156" w:line="400" w:lineRule="exact"/>
        <w:rPr>
          <w:rFonts w:ascii="Times New Roman" w:eastAsiaTheme="minorEastAsia" w:hAnsi="Times New Roman"/>
          <w:lang w:eastAsia="zh-CN"/>
        </w:rPr>
      </w:pPr>
      <w:r w:rsidRPr="00D45FEF">
        <w:rPr>
          <w:rFonts w:ascii="Times New Roman" w:eastAsiaTheme="minorEastAsia" w:hAnsi="Times New Roman" w:hint="eastAsia"/>
          <w:lang w:eastAsia="zh-CN"/>
        </w:rPr>
        <w:t>Fig. S</w:t>
      </w:r>
      <w:r w:rsidR="00640DAC">
        <w:rPr>
          <w:rFonts w:ascii="Times New Roman" w:eastAsiaTheme="minorEastAsia" w:hAnsi="Times New Roman" w:hint="eastAsia"/>
          <w:lang w:eastAsia="zh-CN"/>
        </w:rPr>
        <w:t>6</w:t>
      </w:r>
      <w:r w:rsidRPr="00D45FEF">
        <w:rPr>
          <w:rFonts w:ascii="Times New Roman" w:eastAsiaTheme="minorEastAsia" w:hAnsi="Times New Roman" w:hint="eastAsia"/>
          <w:lang w:eastAsia="zh-CN"/>
        </w:rPr>
        <w:t xml:space="preserve"> | Multi-dimensional UAV-borne imaging test results.</w:t>
      </w:r>
    </w:p>
    <w:p w14:paraId="6AD0D4AF" w14:textId="163DCFA7" w:rsidR="00994594" w:rsidRDefault="00395556" w:rsidP="00994594">
      <w:pPr>
        <w:pStyle w:val="Subtitle1"/>
        <w:spacing w:line="400" w:lineRule="exact"/>
        <w:ind w:firstLineChars="100" w:firstLine="240"/>
        <w:rPr>
          <w:rFonts w:ascii="Times New Roman" w:eastAsiaTheme="minorEastAsia" w:hAnsi="Times New Roman"/>
          <w:b w:val="0"/>
          <w:bCs w:val="0"/>
          <w:lang w:eastAsia="zh-CN"/>
        </w:rPr>
      </w:pPr>
      <w:r w:rsidRPr="00D45FEF">
        <w:rPr>
          <w:rFonts w:ascii="Times New Roman" w:eastAsiaTheme="minorEastAsia" w:hAnsi="Times New Roman" w:hint="eastAsia"/>
          <w:b w:val="0"/>
          <w:bCs w:val="0"/>
          <w:lang w:eastAsia="zh-CN"/>
        </w:rPr>
        <w:t>Multi-dimensional flight tests were conducted in complex outdoor environments, covering simulated scenarios such as active inspection, stationary surveillance, and dual-dynamic maneuver tracking. By dynamically capturing ground targets at a flight altitude of 120 m under these three typical operational states, the acquired raw infrared images (Fig. S</w:t>
      </w:r>
      <w:r w:rsidR="00640DAC">
        <w:rPr>
          <w:rFonts w:ascii="Times New Roman" w:eastAsiaTheme="minorEastAsia" w:hAnsi="Times New Roman" w:hint="eastAsia"/>
          <w:b w:val="0"/>
          <w:bCs w:val="0"/>
          <w:lang w:eastAsia="zh-CN"/>
        </w:rPr>
        <w:t>6</w:t>
      </w:r>
      <w:r w:rsidRPr="00D45FEF">
        <w:rPr>
          <w:rFonts w:ascii="Times New Roman" w:eastAsiaTheme="minorEastAsia" w:hAnsi="Times New Roman" w:hint="eastAsia"/>
          <w:b w:val="0"/>
          <w:bCs w:val="0"/>
          <w:lang w:eastAsia="zh-CN"/>
        </w:rPr>
        <w:t>) clearly demonstrate the MCOS's capability for ground target acquisition. Even in complex scenarios involving high-speed device movement or dynamically changing targets, the system maintains stable imaging contrast. Field tests indicate that the effective infrared detection range of the system reaches up to 2 km. The infrared target recognition rates across multiple scenarios consistently exceed 90%, fully proving the practical value of the MCOS in UAV-borne infrared reconnaissance missions.</w:t>
      </w:r>
    </w:p>
    <w:p w14:paraId="64E5D707" w14:textId="77777777" w:rsidR="0019044E" w:rsidRDefault="0019044E">
      <w:pPr>
        <w:widowControl/>
        <w:rPr>
          <w:rFonts w:ascii="Times New Roman" w:eastAsia="宋体" w:hAnsi="Times New Roman"/>
          <w:b/>
          <w:bCs/>
          <w:szCs w:val="21"/>
        </w:rPr>
      </w:pPr>
      <w:r>
        <w:rPr>
          <w:rFonts w:ascii="Times New Roman" w:eastAsia="宋体" w:hAnsi="Times New Roman"/>
          <w:b/>
          <w:bCs/>
          <w:szCs w:val="21"/>
        </w:rPr>
        <w:br w:type="page"/>
      </w:r>
    </w:p>
    <w:p w14:paraId="090AF87C" w14:textId="03B57F6B" w:rsidR="0019044E" w:rsidRPr="0066152C" w:rsidRDefault="0019044E" w:rsidP="0066152C">
      <w:pPr>
        <w:pStyle w:val="Subtitle1"/>
        <w:spacing w:afterLines="50" w:after="156" w:line="360" w:lineRule="auto"/>
        <w:outlineLvl w:val="1"/>
        <w:rPr>
          <w:rFonts w:ascii="Times New Roman" w:eastAsiaTheme="minorEastAsia" w:hAnsi="Times New Roman" w:cs="Times New Roman"/>
          <w:lang w:eastAsia="zh-CN"/>
        </w:rPr>
      </w:pPr>
      <w:r w:rsidRPr="0066152C">
        <w:rPr>
          <w:rFonts w:ascii="Times New Roman" w:eastAsiaTheme="minorEastAsia" w:hAnsi="Times New Roman" w:cs="Times New Roman"/>
          <w:lang w:eastAsia="zh-CN"/>
        </w:rPr>
        <w:t>References</w:t>
      </w:r>
    </w:p>
    <w:p w14:paraId="547C9E68" w14:textId="5249DF74" w:rsidR="0019044E" w:rsidRPr="0019044E" w:rsidRDefault="0019044E" w:rsidP="0019044E">
      <w:pPr>
        <w:pStyle w:val="af2"/>
        <w:spacing w:line="400" w:lineRule="exact"/>
        <w:ind w:left="386" w:hanging="386"/>
        <w:rPr>
          <w:rFonts w:ascii="Times New Roman" w:hAnsi="Times New Roman"/>
          <w:sz w:val="24"/>
        </w:rPr>
      </w:pPr>
      <w:r>
        <w:rPr>
          <w:rFonts w:ascii="Times New Roman" w:hAnsi="Times New Roman" w:hint="eastAsia"/>
          <w:sz w:val="24"/>
        </w:rPr>
        <w:t>1</w:t>
      </w:r>
      <w:r w:rsidRPr="0019044E">
        <w:rPr>
          <w:rFonts w:ascii="Times New Roman" w:hAnsi="Times New Roman"/>
          <w:sz w:val="24"/>
        </w:rPr>
        <w:t>.</w:t>
      </w:r>
      <w:r w:rsidRPr="0019044E">
        <w:rPr>
          <w:rFonts w:ascii="Times New Roman" w:hAnsi="Times New Roman"/>
          <w:sz w:val="24"/>
        </w:rPr>
        <w:tab/>
        <w:t xml:space="preserve">Sawant, R. </w:t>
      </w:r>
      <w:r w:rsidRPr="0019044E">
        <w:rPr>
          <w:rFonts w:ascii="Times New Roman" w:hAnsi="Times New Roman"/>
          <w:i/>
          <w:iCs/>
          <w:sz w:val="24"/>
        </w:rPr>
        <w:t>et al.</w:t>
      </w:r>
      <w:r w:rsidRPr="0019044E">
        <w:rPr>
          <w:rFonts w:ascii="Times New Roman" w:hAnsi="Times New Roman"/>
          <w:sz w:val="24"/>
        </w:rPr>
        <w:t xml:space="preserve"> Aberration-corrected large-scale hybrid metalenses. </w:t>
      </w:r>
      <w:r w:rsidRPr="0019044E">
        <w:rPr>
          <w:rFonts w:ascii="Times New Roman" w:hAnsi="Times New Roman"/>
          <w:i/>
          <w:iCs/>
          <w:sz w:val="24"/>
        </w:rPr>
        <w:t>Optica</w:t>
      </w:r>
      <w:r w:rsidRPr="0019044E">
        <w:rPr>
          <w:rFonts w:ascii="Times New Roman" w:hAnsi="Times New Roman"/>
          <w:sz w:val="24"/>
        </w:rPr>
        <w:t xml:space="preserve"> </w:t>
      </w:r>
      <w:r w:rsidRPr="0019044E">
        <w:rPr>
          <w:rFonts w:ascii="Times New Roman" w:hAnsi="Times New Roman"/>
          <w:b/>
          <w:bCs/>
          <w:sz w:val="24"/>
        </w:rPr>
        <w:t>8</w:t>
      </w:r>
      <w:r w:rsidRPr="0019044E">
        <w:rPr>
          <w:rFonts w:ascii="Times New Roman" w:hAnsi="Times New Roman"/>
          <w:sz w:val="24"/>
        </w:rPr>
        <w:t>, 1405–1411 (2021).</w:t>
      </w:r>
    </w:p>
    <w:p w14:paraId="4BD5DA31" w14:textId="7BE00ED5" w:rsidR="0019044E" w:rsidRPr="0019044E" w:rsidRDefault="0019044E" w:rsidP="0019044E">
      <w:pPr>
        <w:pStyle w:val="af2"/>
        <w:spacing w:line="400" w:lineRule="exact"/>
        <w:ind w:left="386" w:hanging="386"/>
        <w:rPr>
          <w:rFonts w:ascii="Times New Roman" w:hAnsi="Times New Roman"/>
          <w:sz w:val="24"/>
        </w:rPr>
      </w:pPr>
      <w:r>
        <w:rPr>
          <w:rFonts w:ascii="Times New Roman" w:hAnsi="Times New Roman" w:hint="eastAsia"/>
          <w:sz w:val="24"/>
        </w:rPr>
        <w:t>2</w:t>
      </w:r>
      <w:r w:rsidRPr="0019044E">
        <w:rPr>
          <w:rFonts w:ascii="Times New Roman" w:hAnsi="Times New Roman"/>
          <w:sz w:val="24"/>
        </w:rPr>
        <w:t>.</w:t>
      </w:r>
      <w:r w:rsidRPr="0019044E">
        <w:rPr>
          <w:rFonts w:ascii="Times New Roman" w:hAnsi="Times New Roman"/>
          <w:sz w:val="24"/>
        </w:rPr>
        <w:tab/>
        <w:t xml:space="preserve">Zhang, Q. </w:t>
      </w:r>
      <w:r w:rsidRPr="0019044E">
        <w:rPr>
          <w:rFonts w:ascii="Times New Roman" w:hAnsi="Times New Roman"/>
          <w:i/>
          <w:iCs/>
          <w:sz w:val="24"/>
        </w:rPr>
        <w:t>et al.</w:t>
      </w:r>
      <w:r w:rsidRPr="0019044E">
        <w:rPr>
          <w:rFonts w:ascii="Times New Roman" w:hAnsi="Times New Roman"/>
          <w:sz w:val="24"/>
        </w:rPr>
        <w:t xml:space="preserve"> Vectorial Generalized Snell’s Law‐Enabled Differentiable Ray Tracing for Large‐Aperture Visible Achromatic Hybrid Meta‐Optics. </w:t>
      </w:r>
      <w:r w:rsidRPr="0019044E">
        <w:rPr>
          <w:rFonts w:ascii="Times New Roman" w:hAnsi="Times New Roman"/>
          <w:i/>
          <w:iCs/>
          <w:sz w:val="24"/>
        </w:rPr>
        <w:t>Laser &amp; Photonics Reviews</w:t>
      </w:r>
      <w:r w:rsidRPr="0019044E">
        <w:rPr>
          <w:rFonts w:ascii="Times New Roman" w:hAnsi="Times New Roman"/>
          <w:sz w:val="24"/>
        </w:rPr>
        <w:t xml:space="preserve"> </w:t>
      </w:r>
      <w:r w:rsidRPr="0019044E">
        <w:rPr>
          <w:rFonts w:ascii="Times New Roman" w:hAnsi="Times New Roman"/>
          <w:b/>
          <w:bCs/>
          <w:sz w:val="24"/>
        </w:rPr>
        <w:t>19</w:t>
      </w:r>
      <w:r w:rsidRPr="0019044E">
        <w:rPr>
          <w:rFonts w:ascii="Times New Roman" w:hAnsi="Times New Roman"/>
          <w:sz w:val="24"/>
        </w:rPr>
        <w:t>, e00448 (2025).</w:t>
      </w:r>
    </w:p>
    <w:p w14:paraId="66205E8B" w14:textId="412DAA31" w:rsidR="0019044E" w:rsidRPr="0019044E" w:rsidRDefault="0019044E" w:rsidP="0019044E">
      <w:pPr>
        <w:pStyle w:val="af2"/>
        <w:spacing w:line="400" w:lineRule="exact"/>
        <w:ind w:left="386" w:hanging="386"/>
        <w:rPr>
          <w:rFonts w:ascii="Times New Roman" w:hAnsi="Times New Roman"/>
          <w:sz w:val="24"/>
        </w:rPr>
      </w:pPr>
      <w:r>
        <w:rPr>
          <w:rFonts w:ascii="Times New Roman" w:hAnsi="Times New Roman" w:hint="eastAsia"/>
          <w:sz w:val="24"/>
        </w:rPr>
        <w:t>3</w:t>
      </w:r>
      <w:r w:rsidRPr="0019044E">
        <w:rPr>
          <w:rFonts w:ascii="Times New Roman" w:hAnsi="Times New Roman"/>
          <w:sz w:val="24"/>
        </w:rPr>
        <w:t>.</w:t>
      </w:r>
      <w:r w:rsidRPr="0019044E">
        <w:rPr>
          <w:rFonts w:ascii="Times New Roman" w:hAnsi="Times New Roman"/>
          <w:sz w:val="24"/>
        </w:rPr>
        <w:tab/>
        <w:t xml:space="preserve">Chen, Q. </w:t>
      </w:r>
      <w:r w:rsidRPr="0019044E">
        <w:rPr>
          <w:rFonts w:ascii="Times New Roman" w:hAnsi="Times New Roman"/>
          <w:i/>
          <w:iCs/>
          <w:sz w:val="24"/>
        </w:rPr>
        <w:t>et al.</w:t>
      </w:r>
      <w:r w:rsidRPr="0019044E">
        <w:rPr>
          <w:rFonts w:ascii="Times New Roman" w:hAnsi="Times New Roman"/>
          <w:sz w:val="24"/>
        </w:rPr>
        <w:t xml:space="preserve"> Hybrid Meta-Optics Enabled Compact Augmented Reality Display with Computational Image Reinforcement. </w:t>
      </w:r>
      <w:r w:rsidRPr="0019044E">
        <w:rPr>
          <w:rFonts w:ascii="Times New Roman" w:hAnsi="Times New Roman"/>
          <w:i/>
          <w:iCs/>
          <w:sz w:val="24"/>
        </w:rPr>
        <w:t>ACS Photonics</w:t>
      </w:r>
      <w:r w:rsidRPr="0019044E">
        <w:rPr>
          <w:rFonts w:ascii="Times New Roman" w:hAnsi="Times New Roman"/>
          <w:sz w:val="24"/>
        </w:rPr>
        <w:t xml:space="preserve"> </w:t>
      </w:r>
      <w:r w:rsidRPr="0019044E">
        <w:rPr>
          <w:rFonts w:ascii="Times New Roman" w:hAnsi="Times New Roman"/>
          <w:b/>
          <w:bCs/>
          <w:sz w:val="24"/>
        </w:rPr>
        <w:t>11</w:t>
      </w:r>
      <w:r w:rsidRPr="0019044E">
        <w:rPr>
          <w:rFonts w:ascii="Times New Roman" w:hAnsi="Times New Roman"/>
          <w:sz w:val="24"/>
        </w:rPr>
        <w:t>, 3794–3803 (2024).</w:t>
      </w:r>
    </w:p>
    <w:p w14:paraId="02D7E50C" w14:textId="291DD7C3" w:rsidR="0019044E" w:rsidRPr="0019044E" w:rsidRDefault="0019044E" w:rsidP="0019044E">
      <w:pPr>
        <w:pStyle w:val="af2"/>
        <w:spacing w:line="400" w:lineRule="exact"/>
        <w:ind w:left="386" w:hanging="386"/>
        <w:rPr>
          <w:rFonts w:ascii="Times New Roman" w:hAnsi="Times New Roman"/>
          <w:sz w:val="24"/>
        </w:rPr>
      </w:pPr>
      <w:r>
        <w:rPr>
          <w:rFonts w:ascii="Times New Roman" w:hAnsi="Times New Roman" w:hint="eastAsia"/>
          <w:sz w:val="24"/>
        </w:rPr>
        <w:t>4</w:t>
      </w:r>
      <w:r w:rsidRPr="0019044E">
        <w:rPr>
          <w:rFonts w:ascii="Times New Roman" w:hAnsi="Times New Roman"/>
          <w:sz w:val="24"/>
        </w:rPr>
        <w:t>.</w:t>
      </w:r>
      <w:r w:rsidRPr="0019044E">
        <w:rPr>
          <w:rFonts w:ascii="Times New Roman" w:hAnsi="Times New Roman"/>
          <w:sz w:val="24"/>
        </w:rPr>
        <w:tab/>
        <w:t xml:space="preserve">Richards, C. A. </w:t>
      </w:r>
      <w:r w:rsidRPr="0019044E">
        <w:rPr>
          <w:rFonts w:ascii="Times New Roman" w:hAnsi="Times New Roman"/>
          <w:i/>
          <w:iCs/>
          <w:sz w:val="24"/>
        </w:rPr>
        <w:t>et al.</w:t>
      </w:r>
      <w:r w:rsidRPr="0019044E">
        <w:rPr>
          <w:rFonts w:ascii="Times New Roman" w:hAnsi="Times New Roman"/>
          <w:sz w:val="24"/>
        </w:rPr>
        <w:t xml:space="preserve"> Hybrid achromatic microlenses with high numerical apertures and focusing efficiencies across the visible. </w:t>
      </w:r>
      <w:r w:rsidRPr="0019044E">
        <w:rPr>
          <w:rFonts w:ascii="Times New Roman" w:hAnsi="Times New Roman"/>
          <w:i/>
          <w:iCs/>
          <w:sz w:val="24"/>
        </w:rPr>
        <w:t>Nat Commun</w:t>
      </w:r>
      <w:r w:rsidRPr="0019044E">
        <w:rPr>
          <w:rFonts w:ascii="Times New Roman" w:hAnsi="Times New Roman"/>
          <w:sz w:val="24"/>
        </w:rPr>
        <w:t xml:space="preserve"> </w:t>
      </w:r>
      <w:r w:rsidRPr="0019044E">
        <w:rPr>
          <w:rFonts w:ascii="Times New Roman" w:hAnsi="Times New Roman"/>
          <w:b/>
          <w:bCs/>
          <w:sz w:val="24"/>
        </w:rPr>
        <w:t>14</w:t>
      </w:r>
      <w:r w:rsidRPr="0019044E">
        <w:rPr>
          <w:rFonts w:ascii="Times New Roman" w:hAnsi="Times New Roman"/>
          <w:sz w:val="24"/>
        </w:rPr>
        <w:t>, 3119 (2023).</w:t>
      </w:r>
    </w:p>
    <w:p w14:paraId="2F7ABC13" w14:textId="6EAC3BC1" w:rsidR="0019044E" w:rsidRPr="0019044E" w:rsidRDefault="0019044E" w:rsidP="0019044E">
      <w:pPr>
        <w:pStyle w:val="af2"/>
        <w:spacing w:line="400" w:lineRule="exact"/>
        <w:ind w:left="386" w:hanging="386"/>
        <w:rPr>
          <w:rFonts w:ascii="Times New Roman" w:hAnsi="Times New Roman"/>
          <w:sz w:val="24"/>
        </w:rPr>
      </w:pPr>
      <w:r>
        <w:rPr>
          <w:rFonts w:ascii="Times New Roman" w:hAnsi="Times New Roman" w:hint="eastAsia"/>
          <w:sz w:val="24"/>
        </w:rPr>
        <w:t>5</w:t>
      </w:r>
      <w:r w:rsidRPr="0019044E">
        <w:rPr>
          <w:rFonts w:ascii="Times New Roman" w:hAnsi="Times New Roman"/>
          <w:sz w:val="24"/>
        </w:rPr>
        <w:t>.</w:t>
      </w:r>
      <w:r w:rsidRPr="0019044E">
        <w:rPr>
          <w:rFonts w:ascii="Times New Roman" w:hAnsi="Times New Roman"/>
          <w:sz w:val="24"/>
        </w:rPr>
        <w:tab/>
        <w:t xml:space="preserve">Zang, G. </w:t>
      </w:r>
      <w:r w:rsidRPr="0019044E">
        <w:rPr>
          <w:rFonts w:ascii="Times New Roman" w:hAnsi="Times New Roman"/>
          <w:i/>
          <w:iCs/>
          <w:sz w:val="24"/>
        </w:rPr>
        <w:t>et al.</w:t>
      </w:r>
      <w:r w:rsidRPr="0019044E">
        <w:rPr>
          <w:rFonts w:ascii="Times New Roman" w:hAnsi="Times New Roman"/>
          <w:sz w:val="24"/>
        </w:rPr>
        <w:t xml:space="preserve"> Inverse Design of Aberration-Corrected Hybrid Metalenses for Large Field of View Thermal Imaging Across the Entire Longwave Infrared Atmospheric Window. </w:t>
      </w:r>
      <w:r w:rsidRPr="0019044E">
        <w:rPr>
          <w:rFonts w:ascii="Times New Roman" w:hAnsi="Times New Roman"/>
          <w:i/>
          <w:iCs/>
          <w:sz w:val="24"/>
        </w:rPr>
        <w:t>ACS Nano</w:t>
      </w:r>
      <w:r w:rsidRPr="0019044E">
        <w:rPr>
          <w:rFonts w:ascii="Times New Roman" w:hAnsi="Times New Roman"/>
          <w:sz w:val="24"/>
        </w:rPr>
        <w:t xml:space="preserve"> </w:t>
      </w:r>
      <w:r w:rsidRPr="0019044E">
        <w:rPr>
          <w:rFonts w:ascii="Times New Roman" w:hAnsi="Times New Roman"/>
          <w:b/>
          <w:bCs/>
          <w:sz w:val="24"/>
        </w:rPr>
        <w:t>18</w:t>
      </w:r>
      <w:r w:rsidRPr="0019044E">
        <w:rPr>
          <w:rFonts w:ascii="Times New Roman" w:hAnsi="Times New Roman"/>
          <w:sz w:val="24"/>
        </w:rPr>
        <w:t>, 33653–33663 (2024).</w:t>
      </w:r>
    </w:p>
    <w:p w14:paraId="128E0005" w14:textId="4305911B" w:rsidR="0019044E" w:rsidRPr="0019044E" w:rsidRDefault="0019044E" w:rsidP="0019044E">
      <w:pPr>
        <w:pStyle w:val="af2"/>
        <w:spacing w:line="400" w:lineRule="exact"/>
        <w:ind w:left="386" w:hanging="386"/>
        <w:rPr>
          <w:rFonts w:ascii="Times New Roman" w:hAnsi="Times New Roman"/>
          <w:sz w:val="24"/>
        </w:rPr>
      </w:pPr>
      <w:r>
        <w:rPr>
          <w:rFonts w:ascii="Times New Roman" w:hAnsi="Times New Roman" w:hint="eastAsia"/>
          <w:sz w:val="24"/>
        </w:rPr>
        <w:t>6</w:t>
      </w:r>
      <w:r w:rsidRPr="0019044E">
        <w:rPr>
          <w:rFonts w:ascii="Times New Roman" w:hAnsi="Times New Roman"/>
          <w:sz w:val="24"/>
        </w:rPr>
        <w:t>.</w:t>
      </w:r>
      <w:r w:rsidRPr="0019044E">
        <w:rPr>
          <w:rFonts w:ascii="Times New Roman" w:hAnsi="Times New Roman"/>
          <w:sz w:val="24"/>
        </w:rPr>
        <w:tab/>
        <w:t xml:space="preserve">He, X. </w:t>
      </w:r>
      <w:r w:rsidRPr="0019044E">
        <w:rPr>
          <w:rFonts w:ascii="Times New Roman" w:hAnsi="Times New Roman"/>
          <w:i/>
          <w:iCs/>
          <w:sz w:val="24"/>
        </w:rPr>
        <w:t>et al.</w:t>
      </w:r>
      <w:r w:rsidRPr="0019044E">
        <w:rPr>
          <w:rFonts w:ascii="Times New Roman" w:hAnsi="Times New Roman"/>
          <w:sz w:val="24"/>
        </w:rPr>
        <w:t xml:space="preserve"> Hybrid Meta-optics Enabled Ultra-Broadband and High-efficiency Polarization Imaging. </w:t>
      </w:r>
      <w:r w:rsidRPr="0019044E">
        <w:rPr>
          <w:rFonts w:ascii="Times New Roman" w:hAnsi="Times New Roman"/>
          <w:i/>
          <w:iCs/>
          <w:sz w:val="24"/>
        </w:rPr>
        <w:t>Laser &amp; Photonics Reviews</w:t>
      </w:r>
      <w:r w:rsidRPr="0019044E">
        <w:rPr>
          <w:rFonts w:ascii="Times New Roman" w:hAnsi="Times New Roman"/>
          <w:sz w:val="24"/>
        </w:rPr>
        <w:t xml:space="preserve"> </w:t>
      </w:r>
      <w:r w:rsidRPr="0019044E">
        <w:rPr>
          <w:rFonts w:ascii="Times New Roman" w:hAnsi="Times New Roman"/>
          <w:b/>
          <w:bCs/>
          <w:sz w:val="24"/>
        </w:rPr>
        <w:t>9</w:t>
      </w:r>
      <w:r w:rsidRPr="0019044E">
        <w:rPr>
          <w:rFonts w:ascii="Times New Roman" w:hAnsi="Times New Roman"/>
          <w:sz w:val="24"/>
        </w:rPr>
        <w:t>, e00623 (2025).</w:t>
      </w:r>
    </w:p>
    <w:p w14:paraId="652EE89B" w14:textId="77777777" w:rsidR="0019044E" w:rsidRPr="0019044E" w:rsidRDefault="0019044E" w:rsidP="00994594">
      <w:pPr>
        <w:pStyle w:val="Subtitle1"/>
        <w:spacing w:line="400" w:lineRule="exact"/>
        <w:ind w:firstLineChars="100" w:firstLine="240"/>
        <w:rPr>
          <w:rFonts w:ascii="Times New Roman" w:eastAsiaTheme="minorEastAsia" w:hAnsi="Times New Roman"/>
          <w:b w:val="0"/>
          <w:bCs w:val="0"/>
          <w:lang w:eastAsia="zh-CN"/>
        </w:rPr>
      </w:pPr>
    </w:p>
    <w:p w14:paraId="19E88A36" w14:textId="77777777" w:rsidR="0019044E" w:rsidRPr="00994594" w:rsidRDefault="0019044E" w:rsidP="00994594">
      <w:pPr>
        <w:pStyle w:val="Subtitle1"/>
        <w:spacing w:line="400" w:lineRule="exact"/>
        <w:ind w:firstLineChars="100" w:firstLine="240"/>
        <w:rPr>
          <w:rFonts w:ascii="Times New Roman" w:eastAsiaTheme="minorEastAsia" w:hAnsi="Times New Roman"/>
          <w:b w:val="0"/>
          <w:bCs w:val="0"/>
          <w:lang w:eastAsia="zh-CN"/>
        </w:rPr>
      </w:pPr>
    </w:p>
    <w:sectPr w:rsidR="0019044E" w:rsidRPr="009945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A21C8" w14:textId="77777777" w:rsidR="004B2C7F" w:rsidRDefault="004B2C7F" w:rsidP="005C11DC">
      <w:pPr>
        <w:spacing w:after="0" w:line="240" w:lineRule="auto"/>
        <w:rPr>
          <w:rFonts w:hint="eastAsia"/>
        </w:rPr>
      </w:pPr>
      <w:r>
        <w:separator/>
      </w:r>
    </w:p>
  </w:endnote>
  <w:endnote w:type="continuationSeparator" w:id="0">
    <w:p w14:paraId="0BE0BDE6" w14:textId="77777777" w:rsidR="004B2C7F" w:rsidRDefault="004B2C7F" w:rsidP="005C11DC">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62EEE" w14:textId="77777777" w:rsidR="004B2C7F" w:rsidRDefault="004B2C7F" w:rsidP="005C11DC">
      <w:pPr>
        <w:spacing w:after="0" w:line="240" w:lineRule="auto"/>
        <w:rPr>
          <w:rFonts w:hint="eastAsia"/>
        </w:rPr>
      </w:pPr>
      <w:r>
        <w:separator/>
      </w:r>
    </w:p>
  </w:footnote>
  <w:footnote w:type="continuationSeparator" w:id="0">
    <w:p w14:paraId="195C6FA9" w14:textId="77777777" w:rsidR="004B2C7F" w:rsidRDefault="004B2C7F" w:rsidP="005C11DC">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1307"/>
    <w:multiLevelType w:val="hybridMultilevel"/>
    <w:tmpl w:val="3C76C8C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26221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48"/>
    <w:rsid w:val="000038B9"/>
    <w:rsid w:val="000056D6"/>
    <w:rsid w:val="00005EA1"/>
    <w:rsid w:val="00013905"/>
    <w:rsid w:val="00014238"/>
    <w:rsid w:val="00017603"/>
    <w:rsid w:val="00022FDB"/>
    <w:rsid w:val="000315D1"/>
    <w:rsid w:val="00036114"/>
    <w:rsid w:val="0003699C"/>
    <w:rsid w:val="00037250"/>
    <w:rsid w:val="00045FDE"/>
    <w:rsid w:val="00047AAA"/>
    <w:rsid w:val="00055B36"/>
    <w:rsid w:val="00062309"/>
    <w:rsid w:val="0006729C"/>
    <w:rsid w:val="0008002A"/>
    <w:rsid w:val="0008389E"/>
    <w:rsid w:val="00084F10"/>
    <w:rsid w:val="0008610F"/>
    <w:rsid w:val="0009223A"/>
    <w:rsid w:val="00092A43"/>
    <w:rsid w:val="0009347B"/>
    <w:rsid w:val="000951CB"/>
    <w:rsid w:val="00095B83"/>
    <w:rsid w:val="00095D44"/>
    <w:rsid w:val="000A0C67"/>
    <w:rsid w:val="000A65B5"/>
    <w:rsid w:val="000A7982"/>
    <w:rsid w:val="000B1C0B"/>
    <w:rsid w:val="000B2855"/>
    <w:rsid w:val="000C4D79"/>
    <w:rsid w:val="000D546B"/>
    <w:rsid w:val="000D652E"/>
    <w:rsid w:val="000D7C89"/>
    <w:rsid w:val="000E1025"/>
    <w:rsid w:val="000E1269"/>
    <w:rsid w:val="000E3623"/>
    <w:rsid w:val="000E547E"/>
    <w:rsid w:val="000E72C1"/>
    <w:rsid w:val="000E7F9B"/>
    <w:rsid w:val="00100785"/>
    <w:rsid w:val="001040A9"/>
    <w:rsid w:val="0011172F"/>
    <w:rsid w:val="00121645"/>
    <w:rsid w:val="00122573"/>
    <w:rsid w:val="0012285C"/>
    <w:rsid w:val="0012454D"/>
    <w:rsid w:val="001270E7"/>
    <w:rsid w:val="00135EE5"/>
    <w:rsid w:val="0013699B"/>
    <w:rsid w:val="00143531"/>
    <w:rsid w:val="0014440C"/>
    <w:rsid w:val="00154870"/>
    <w:rsid w:val="001769B4"/>
    <w:rsid w:val="001818A2"/>
    <w:rsid w:val="00184DE5"/>
    <w:rsid w:val="001852BF"/>
    <w:rsid w:val="0019044E"/>
    <w:rsid w:val="00196460"/>
    <w:rsid w:val="001A0B3E"/>
    <w:rsid w:val="001A292A"/>
    <w:rsid w:val="001B010B"/>
    <w:rsid w:val="001B7D66"/>
    <w:rsid w:val="001C43EA"/>
    <w:rsid w:val="001C4554"/>
    <w:rsid w:val="001C4639"/>
    <w:rsid w:val="001C4EEA"/>
    <w:rsid w:val="001C668D"/>
    <w:rsid w:val="001D00CE"/>
    <w:rsid w:val="001E5508"/>
    <w:rsid w:val="001E64D8"/>
    <w:rsid w:val="001F4DBD"/>
    <w:rsid w:val="001F51FC"/>
    <w:rsid w:val="00201FC0"/>
    <w:rsid w:val="002077EB"/>
    <w:rsid w:val="0021164E"/>
    <w:rsid w:val="002127AF"/>
    <w:rsid w:val="00213D8F"/>
    <w:rsid w:val="002143CD"/>
    <w:rsid w:val="00221AF7"/>
    <w:rsid w:val="002228AD"/>
    <w:rsid w:val="00222FA7"/>
    <w:rsid w:val="00224145"/>
    <w:rsid w:val="00232E65"/>
    <w:rsid w:val="002340E7"/>
    <w:rsid w:val="00244E55"/>
    <w:rsid w:val="0025250C"/>
    <w:rsid w:val="002564B9"/>
    <w:rsid w:val="00260AD9"/>
    <w:rsid w:val="00260C0E"/>
    <w:rsid w:val="0027328D"/>
    <w:rsid w:val="00280EE3"/>
    <w:rsid w:val="002829A5"/>
    <w:rsid w:val="002848E5"/>
    <w:rsid w:val="002851A3"/>
    <w:rsid w:val="00286EB2"/>
    <w:rsid w:val="002876F4"/>
    <w:rsid w:val="002916A9"/>
    <w:rsid w:val="00291763"/>
    <w:rsid w:val="00295158"/>
    <w:rsid w:val="002B3558"/>
    <w:rsid w:val="002B5D35"/>
    <w:rsid w:val="002B7380"/>
    <w:rsid w:val="002C4F5E"/>
    <w:rsid w:val="002C7B53"/>
    <w:rsid w:val="002C7BEE"/>
    <w:rsid w:val="002E2C4F"/>
    <w:rsid w:val="002E48F1"/>
    <w:rsid w:val="002F2C45"/>
    <w:rsid w:val="002F4D8C"/>
    <w:rsid w:val="00300786"/>
    <w:rsid w:val="00302186"/>
    <w:rsid w:val="00311FDF"/>
    <w:rsid w:val="00315B5A"/>
    <w:rsid w:val="003169E6"/>
    <w:rsid w:val="00321DA9"/>
    <w:rsid w:val="0032238F"/>
    <w:rsid w:val="00323D14"/>
    <w:rsid w:val="00332694"/>
    <w:rsid w:val="00332DCA"/>
    <w:rsid w:val="0033372B"/>
    <w:rsid w:val="00337A8E"/>
    <w:rsid w:val="003477BC"/>
    <w:rsid w:val="00351D93"/>
    <w:rsid w:val="003521C5"/>
    <w:rsid w:val="00357AEA"/>
    <w:rsid w:val="00366BAD"/>
    <w:rsid w:val="003671DF"/>
    <w:rsid w:val="00374BDE"/>
    <w:rsid w:val="003759D7"/>
    <w:rsid w:val="00376DE1"/>
    <w:rsid w:val="00377432"/>
    <w:rsid w:val="003778AA"/>
    <w:rsid w:val="0038523A"/>
    <w:rsid w:val="00385621"/>
    <w:rsid w:val="00385C32"/>
    <w:rsid w:val="00395556"/>
    <w:rsid w:val="00397EEE"/>
    <w:rsid w:val="003A49C0"/>
    <w:rsid w:val="003A7C14"/>
    <w:rsid w:val="003B2226"/>
    <w:rsid w:val="003B5EFB"/>
    <w:rsid w:val="003B6BD1"/>
    <w:rsid w:val="003C6909"/>
    <w:rsid w:val="003C7B28"/>
    <w:rsid w:val="003D6F1B"/>
    <w:rsid w:val="003E019B"/>
    <w:rsid w:val="003E6C03"/>
    <w:rsid w:val="003F69B2"/>
    <w:rsid w:val="00402D8B"/>
    <w:rsid w:val="00405197"/>
    <w:rsid w:val="00405928"/>
    <w:rsid w:val="00410DA5"/>
    <w:rsid w:val="00416949"/>
    <w:rsid w:val="004349A5"/>
    <w:rsid w:val="00451FBA"/>
    <w:rsid w:val="004679C6"/>
    <w:rsid w:val="00471056"/>
    <w:rsid w:val="00471D0B"/>
    <w:rsid w:val="00471FA9"/>
    <w:rsid w:val="004739FB"/>
    <w:rsid w:val="00481C6C"/>
    <w:rsid w:val="00481DCF"/>
    <w:rsid w:val="004823F2"/>
    <w:rsid w:val="00482C31"/>
    <w:rsid w:val="004A46B2"/>
    <w:rsid w:val="004B0E96"/>
    <w:rsid w:val="004B103F"/>
    <w:rsid w:val="004B2C7F"/>
    <w:rsid w:val="004C360C"/>
    <w:rsid w:val="004C4D22"/>
    <w:rsid w:val="004D563D"/>
    <w:rsid w:val="004E236E"/>
    <w:rsid w:val="004F78BF"/>
    <w:rsid w:val="005020F1"/>
    <w:rsid w:val="005022D3"/>
    <w:rsid w:val="00530E21"/>
    <w:rsid w:val="005317CD"/>
    <w:rsid w:val="00535EF1"/>
    <w:rsid w:val="0053749F"/>
    <w:rsid w:val="005547B1"/>
    <w:rsid w:val="00554B90"/>
    <w:rsid w:val="00555557"/>
    <w:rsid w:val="00567D88"/>
    <w:rsid w:val="00574D12"/>
    <w:rsid w:val="00581383"/>
    <w:rsid w:val="00586E07"/>
    <w:rsid w:val="005A01E6"/>
    <w:rsid w:val="005A1CD4"/>
    <w:rsid w:val="005A34CC"/>
    <w:rsid w:val="005A3E29"/>
    <w:rsid w:val="005A4FB2"/>
    <w:rsid w:val="005B06F5"/>
    <w:rsid w:val="005C11DC"/>
    <w:rsid w:val="005C410F"/>
    <w:rsid w:val="005C58C0"/>
    <w:rsid w:val="005D2F2F"/>
    <w:rsid w:val="005D44D7"/>
    <w:rsid w:val="005E5E96"/>
    <w:rsid w:val="005E730C"/>
    <w:rsid w:val="005F4C94"/>
    <w:rsid w:val="005F777B"/>
    <w:rsid w:val="006061BB"/>
    <w:rsid w:val="00621F88"/>
    <w:rsid w:val="00632CF1"/>
    <w:rsid w:val="00632F10"/>
    <w:rsid w:val="00633F44"/>
    <w:rsid w:val="0063591C"/>
    <w:rsid w:val="00640DAC"/>
    <w:rsid w:val="00647137"/>
    <w:rsid w:val="0065102F"/>
    <w:rsid w:val="00652378"/>
    <w:rsid w:val="00654806"/>
    <w:rsid w:val="0066152C"/>
    <w:rsid w:val="00661683"/>
    <w:rsid w:val="00662CCF"/>
    <w:rsid w:val="00666820"/>
    <w:rsid w:val="006925F6"/>
    <w:rsid w:val="006974F3"/>
    <w:rsid w:val="006A24A3"/>
    <w:rsid w:val="006B39FE"/>
    <w:rsid w:val="006B4B87"/>
    <w:rsid w:val="006B6DEC"/>
    <w:rsid w:val="006B7247"/>
    <w:rsid w:val="006C01E1"/>
    <w:rsid w:val="006C7666"/>
    <w:rsid w:val="006C7965"/>
    <w:rsid w:val="006D0C65"/>
    <w:rsid w:val="006D154C"/>
    <w:rsid w:val="006D1EA9"/>
    <w:rsid w:val="006D443A"/>
    <w:rsid w:val="006E4250"/>
    <w:rsid w:val="006F3028"/>
    <w:rsid w:val="0070357D"/>
    <w:rsid w:val="00703C19"/>
    <w:rsid w:val="00713661"/>
    <w:rsid w:val="00714002"/>
    <w:rsid w:val="0071648B"/>
    <w:rsid w:val="00720B25"/>
    <w:rsid w:val="0072135A"/>
    <w:rsid w:val="0072762E"/>
    <w:rsid w:val="0073123B"/>
    <w:rsid w:val="00731F0E"/>
    <w:rsid w:val="00732412"/>
    <w:rsid w:val="00736B03"/>
    <w:rsid w:val="00737CEA"/>
    <w:rsid w:val="00740B84"/>
    <w:rsid w:val="007414BF"/>
    <w:rsid w:val="007432C2"/>
    <w:rsid w:val="0075132F"/>
    <w:rsid w:val="00751860"/>
    <w:rsid w:val="00752302"/>
    <w:rsid w:val="007568BE"/>
    <w:rsid w:val="00756EC6"/>
    <w:rsid w:val="00762C04"/>
    <w:rsid w:val="007648FE"/>
    <w:rsid w:val="00770824"/>
    <w:rsid w:val="0077086D"/>
    <w:rsid w:val="007938D0"/>
    <w:rsid w:val="00794EA2"/>
    <w:rsid w:val="00797ABB"/>
    <w:rsid w:val="007A212D"/>
    <w:rsid w:val="007A5073"/>
    <w:rsid w:val="007B00E8"/>
    <w:rsid w:val="007B2D46"/>
    <w:rsid w:val="007B4491"/>
    <w:rsid w:val="007C4D93"/>
    <w:rsid w:val="007D6786"/>
    <w:rsid w:val="008075F6"/>
    <w:rsid w:val="00811A67"/>
    <w:rsid w:val="008253F0"/>
    <w:rsid w:val="0082673C"/>
    <w:rsid w:val="00831140"/>
    <w:rsid w:val="00835DED"/>
    <w:rsid w:val="00851B2A"/>
    <w:rsid w:val="00856718"/>
    <w:rsid w:val="008629DA"/>
    <w:rsid w:val="008765E6"/>
    <w:rsid w:val="00881550"/>
    <w:rsid w:val="008920E4"/>
    <w:rsid w:val="008A6472"/>
    <w:rsid w:val="008A6F50"/>
    <w:rsid w:val="008B0316"/>
    <w:rsid w:val="008B1696"/>
    <w:rsid w:val="008B2F07"/>
    <w:rsid w:val="008B50B9"/>
    <w:rsid w:val="008C2D5E"/>
    <w:rsid w:val="008C433E"/>
    <w:rsid w:val="008C7A4F"/>
    <w:rsid w:val="008D051E"/>
    <w:rsid w:val="008D6665"/>
    <w:rsid w:val="008E2CE8"/>
    <w:rsid w:val="008E6A19"/>
    <w:rsid w:val="008E76D9"/>
    <w:rsid w:val="008F0E42"/>
    <w:rsid w:val="00902088"/>
    <w:rsid w:val="009112C4"/>
    <w:rsid w:val="00935F86"/>
    <w:rsid w:val="00946A15"/>
    <w:rsid w:val="0095334A"/>
    <w:rsid w:val="00956C26"/>
    <w:rsid w:val="0096257D"/>
    <w:rsid w:val="00966E72"/>
    <w:rsid w:val="00974F98"/>
    <w:rsid w:val="009807A6"/>
    <w:rsid w:val="00980F31"/>
    <w:rsid w:val="00981809"/>
    <w:rsid w:val="009878C2"/>
    <w:rsid w:val="009935CC"/>
    <w:rsid w:val="00994594"/>
    <w:rsid w:val="009B1CC9"/>
    <w:rsid w:val="009B4B6D"/>
    <w:rsid w:val="009B5A33"/>
    <w:rsid w:val="009C329F"/>
    <w:rsid w:val="009C3C75"/>
    <w:rsid w:val="009C57F6"/>
    <w:rsid w:val="009D0E19"/>
    <w:rsid w:val="009D12FB"/>
    <w:rsid w:val="009D3B3F"/>
    <w:rsid w:val="009E02C2"/>
    <w:rsid w:val="009E4AE1"/>
    <w:rsid w:val="009E60C9"/>
    <w:rsid w:val="009F71F5"/>
    <w:rsid w:val="00A113C9"/>
    <w:rsid w:val="00A11646"/>
    <w:rsid w:val="00A16890"/>
    <w:rsid w:val="00A21387"/>
    <w:rsid w:val="00A25A88"/>
    <w:rsid w:val="00A26C98"/>
    <w:rsid w:val="00A34482"/>
    <w:rsid w:val="00A35B6E"/>
    <w:rsid w:val="00A4528D"/>
    <w:rsid w:val="00A45447"/>
    <w:rsid w:val="00A47AF4"/>
    <w:rsid w:val="00A54DEF"/>
    <w:rsid w:val="00A618E3"/>
    <w:rsid w:val="00A901BA"/>
    <w:rsid w:val="00A918E3"/>
    <w:rsid w:val="00AA0902"/>
    <w:rsid w:val="00AA3DE9"/>
    <w:rsid w:val="00AB2BB2"/>
    <w:rsid w:val="00AC195D"/>
    <w:rsid w:val="00AC3BBC"/>
    <w:rsid w:val="00AD2B6B"/>
    <w:rsid w:val="00AD6B26"/>
    <w:rsid w:val="00AD7750"/>
    <w:rsid w:val="00AE22D1"/>
    <w:rsid w:val="00AE6051"/>
    <w:rsid w:val="00AE68FD"/>
    <w:rsid w:val="00B0175F"/>
    <w:rsid w:val="00B03DA3"/>
    <w:rsid w:val="00B0411A"/>
    <w:rsid w:val="00B05DE4"/>
    <w:rsid w:val="00B16073"/>
    <w:rsid w:val="00B23456"/>
    <w:rsid w:val="00B2724A"/>
    <w:rsid w:val="00B33388"/>
    <w:rsid w:val="00B33E42"/>
    <w:rsid w:val="00B343F1"/>
    <w:rsid w:val="00B47543"/>
    <w:rsid w:val="00B52FE0"/>
    <w:rsid w:val="00B56F30"/>
    <w:rsid w:val="00B570CC"/>
    <w:rsid w:val="00B60818"/>
    <w:rsid w:val="00B6286A"/>
    <w:rsid w:val="00B940E6"/>
    <w:rsid w:val="00BA0324"/>
    <w:rsid w:val="00BA19B4"/>
    <w:rsid w:val="00BA3CF0"/>
    <w:rsid w:val="00BB1425"/>
    <w:rsid w:val="00BB1E89"/>
    <w:rsid w:val="00BB344A"/>
    <w:rsid w:val="00BC13CD"/>
    <w:rsid w:val="00BC1A45"/>
    <w:rsid w:val="00BD06DA"/>
    <w:rsid w:val="00BD4065"/>
    <w:rsid w:val="00BE0F2E"/>
    <w:rsid w:val="00BE4933"/>
    <w:rsid w:val="00BF2372"/>
    <w:rsid w:val="00BF30BB"/>
    <w:rsid w:val="00BF75FF"/>
    <w:rsid w:val="00C10CFD"/>
    <w:rsid w:val="00C14F31"/>
    <w:rsid w:val="00C27AB0"/>
    <w:rsid w:val="00C3073F"/>
    <w:rsid w:val="00C43999"/>
    <w:rsid w:val="00C4614C"/>
    <w:rsid w:val="00C51788"/>
    <w:rsid w:val="00C5426D"/>
    <w:rsid w:val="00C5672B"/>
    <w:rsid w:val="00C56911"/>
    <w:rsid w:val="00C60F4C"/>
    <w:rsid w:val="00C8417F"/>
    <w:rsid w:val="00C850BB"/>
    <w:rsid w:val="00CA0070"/>
    <w:rsid w:val="00CA290A"/>
    <w:rsid w:val="00CA47A8"/>
    <w:rsid w:val="00CB1830"/>
    <w:rsid w:val="00CB1981"/>
    <w:rsid w:val="00CC66CF"/>
    <w:rsid w:val="00CD6019"/>
    <w:rsid w:val="00CE2DD1"/>
    <w:rsid w:val="00CF01A2"/>
    <w:rsid w:val="00CF3CE0"/>
    <w:rsid w:val="00CF7C9B"/>
    <w:rsid w:val="00CF7CFF"/>
    <w:rsid w:val="00D00BA9"/>
    <w:rsid w:val="00D01BB3"/>
    <w:rsid w:val="00D04264"/>
    <w:rsid w:val="00D046FF"/>
    <w:rsid w:val="00D1766E"/>
    <w:rsid w:val="00D17BC2"/>
    <w:rsid w:val="00D246BE"/>
    <w:rsid w:val="00D32716"/>
    <w:rsid w:val="00D328DB"/>
    <w:rsid w:val="00D4036A"/>
    <w:rsid w:val="00D45FEF"/>
    <w:rsid w:val="00D531E9"/>
    <w:rsid w:val="00D555F8"/>
    <w:rsid w:val="00D64745"/>
    <w:rsid w:val="00D717F9"/>
    <w:rsid w:val="00D77FF5"/>
    <w:rsid w:val="00D85160"/>
    <w:rsid w:val="00D85814"/>
    <w:rsid w:val="00D85B0A"/>
    <w:rsid w:val="00D87C6A"/>
    <w:rsid w:val="00D96301"/>
    <w:rsid w:val="00DA59A2"/>
    <w:rsid w:val="00DA785D"/>
    <w:rsid w:val="00DB0CF1"/>
    <w:rsid w:val="00DB1E4F"/>
    <w:rsid w:val="00DB2B2C"/>
    <w:rsid w:val="00DB3677"/>
    <w:rsid w:val="00DB4248"/>
    <w:rsid w:val="00DB5AEB"/>
    <w:rsid w:val="00DD390C"/>
    <w:rsid w:val="00DD525C"/>
    <w:rsid w:val="00DD7E05"/>
    <w:rsid w:val="00DE1821"/>
    <w:rsid w:val="00DE2159"/>
    <w:rsid w:val="00DE591E"/>
    <w:rsid w:val="00DE5EF4"/>
    <w:rsid w:val="00DF252D"/>
    <w:rsid w:val="00DF35AF"/>
    <w:rsid w:val="00E24F6B"/>
    <w:rsid w:val="00E37D8F"/>
    <w:rsid w:val="00E37DE3"/>
    <w:rsid w:val="00E43D6A"/>
    <w:rsid w:val="00E44E6A"/>
    <w:rsid w:val="00E45D91"/>
    <w:rsid w:val="00E46B89"/>
    <w:rsid w:val="00E474D7"/>
    <w:rsid w:val="00E47772"/>
    <w:rsid w:val="00E52DAB"/>
    <w:rsid w:val="00E57E89"/>
    <w:rsid w:val="00E66951"/>
    <w:rsid w:val="00E66D58"/>
    <w:rsid w:val="00E6774F"/>
    <w:rsid w:val="00E71055"/>
    <w:rsid w:val="00E835D2"/>
    <w:rsid w:val="00E85DE3"/>
    <w:rsid w:val="00E861F9"/>
    <w:rsid w:val="00E9056E"/>
    <w:rsid w:val="00E94509"/>
    <w:rsid w:val="00EA02E8"/>
    <w:rsid w:val="00EA7F85"/>
    <w:rsid w:val="00EB6DDE"/>
    <w:rsid w:val="00EC0D0A"/>
    <w:rsid w:val="00EC20AB"/>
    <w:rsid w:val="00EC30F2"/>
    <w:rsid w:val="00EC7F73"/>
    <w:rsid w:val="00ED0039"/>
    <w:rsid w:val="00ED13FB"/>
    <w:rsid w:val="00EE12F5"/>
    <w:rsid w:val="00EE5B2B"/>
    <w:rsid w:val="00EF2D08"/>
    <w:rsid w:val="00EF4E16"/>
    <w:rsid w:val="00EF5B03"/>
    <w:rsid w:val="00F139E7"/>
    <w:rsid w:val="00F14B48"/>
    <w:rsid w:val="00F16649"/>
    <w:rsid w:val="00F23035"/>
    <w:rsid w:val="00F31542"/>
    <w:rsid w:val="00F36383"/>
    <w:rsid w:val="00F413DB"/>
    <w:rsid w:val="00F422C3"/>
    <w:rsid w:val="00F42F8D"/>
    <w:rsid w:val="00F45F29"/>
    <w:rsid w:val="00F473C3"/>
    <w:rsid w:val="00F70446"/>
    <w:rsid w:val="00F73003"/>
    <w:rsid w:val="00F73706"/>
    <w:rsid w:val="00F75FF1"/>
    <w:rsid w:val="00F77CD3"/>
    <w:rsid w:val="00F8127A"/>
    <w:rsid w:val="00FB03F0"/>
    <w:rsid w:val="00FB0D55"/>
    <w:rsid w:val="00FB71C7"/>
    <w:rsid w:val="00FC1020"/>
    <w:rsid w:val="00FC4075"/>
    <w:rsid w:val="00FD7290"/>
    <w:rsid w:val="00FE5D25"/>
    <w:rsid w:val="00FF2ED2"/>
    <w:rsid w:val="00FF7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AAF691"/>
  <w15:chartTrackingRefBased/>
  <w15:docId w15:val="{6BFB04C2-CEEA-4AEC-8C02-CDD3774A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7ABB"/>
    <w:pPr>
      <w:widowControl w:val="0"/>
    </w:pPr>
  </w:style>
  <w:style w:type="paragraph" w:styleId="1">
    <w:name w:val="heading 1"/>
    <w:basedOn w:val="a"/>
    <w:next w:val="a"/>
    <w:link w:val="10"/>
    <w:uiPriority w:val="9"/>
    <w:qFormat/>
    <w:rsid w:val="00F14B48"/>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F14B48"/>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F14B48"/>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F14B48"/>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F14B48"/>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F14B48"/>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F14B48"/>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14B48"/>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F14B48"/>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14B48"/>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F14B4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F14B4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F14B48"/>
    <w:rPr>
      <w:rFonts w:cstheme="majorBidi"/>
      <w:color w:val="2F5496" w:themeColor="accent1" w:themeShade="BF"/>
      <w:sz w:val="28"/>
      <w:szCs w:val="28"/>
    </w:rPr>
  </w:style>
  <w:style w:type="character" w:customStyle="1" w:styleId="50">
    <w:name w:val="标题 5 字符"/>
    <w:basedOn w:val="a0"/>
    <w:link w:val="5"/>
    <w:uiPriority w:val="9"/>
    <w:semiHidden/>
    <w:rsid w:val="00F14B48"/>
    <w:rPr>
      <w:rFonts w:cstheme="majorBidi"/>
      <w:color w:val="2F5496" w:themeColor="accent1" w:themeShade="BF"/>
      <w:sz w:val="24"/>
    </w:rPr>
  </w:style>
  <w:style w:type="character" w:customStyle="1" w:styleId="60">
    <w:name w:val="标题 6 字符"/>
    <w:basedOn w:val="a0"/>
    <w:link w:val="6"/>
    <w:uiPriority w:val="9"/>
    <w:semiHidden/>
    <w:rsid w:val="00F14B48"/>
    <w:rPr>
      <w:rFonts w:cstheme="majorBidi"/>
      <w:b/>
      <w:bCs/>
      <w:color w:val="2F5496" w:themeColor="accent1" w:themeShade="BF"/>
    </w:rPr>
  </w:style>
  <w:style w:type="character" w:customStyle="1" w:styleId="70">
    <w:name w:val="标题 7 字符"/>
    <w:basedOn w:val="a0"/>
    <w:link w:val="7"/>
    <w:uiPriority w:val="9"/>
    <w:semiHidden/>
    <w:rsid w:val="00F14B48"/>
    <w:rPr>
      <w:rFonts w:cstheme="majorBidi"/>
      <w:b/>
      <w:bCs/>
      <w:color w:val="595959" w:themeColor="text1" w:themeTint="A6"/>
    </w:rPr>
  </w:style>
  <w:style w:type="character" w:customStyle="1" w:styleId="80">
    <w:name w:val="标题 8 字符"/>
    <w:basedOn w:val="a0"/>
    <w:link w:val="8"/>
    <w:uiPriority w:val="9"/>
    <w:semiHidden/>
    <w:rsid w:val="00F14B48"/>
    <w:rPr>
      <w:rFonts w:cstheme="majorBidi"/>
      <w:color w:val="595959" w:themeColor="text1" w:themeTint="A6"/>
    </w:rPr>
  </w:style>
  <w:style w:type="character" w:customStyle="1" w:styleId="90">
    <w:name w:val="标题 9 字符"/>
    <w:basedOn w:val="a0"/>
    <w:link w:val="9"/>
    <w:uiPriority w:val="9"/>
    <w:semiHidden/>
    <w:rsid w:val="00F14B48"/>
    <w:rPr>
      <w:rFonts w:eastAsiaTheme="majorEastAsia" w:cstheme="majorBidi"/>
      <w:color w:val="595959" w:themeColor="text1" w:themeTint="A6"/>
    </w:rPr>
  </w:style>
  <w:style w:type="paragraph" w:styleId="a3">
    <w:name w:val="Title"/>
    <w:basedOn w:val="a"/>
    <w:next w:val="a"/>
    <w:link w:val="a4"/>
    <w:uiPriority w:val="10"/>
    <w:qFormat/>
    <w:rsid w:val="00F14B4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14B4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B4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14B4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B48"/>
    <w:pPr>
      <w:spacing w:before="160"/>
      <w:jc w:val="center"/>
    </w:pPr>
    <w:rPr>
      <w:i/>
      <w:iCs/>
      <w:color w:val="404040" w:themeColor="text1" w:themeTint="BF"/>
    </w:rPr>
  </w:style>
  <w:style w:type="character" w:customStyle="1" w:styleId="a8">
    <w:name w:val="引用 字符"/>
    <w:basedOn w:val="a0"/>
    <w:link w:val="a7"/>
    <w:uiPriority w:val="29"/>
    <w:rsid w:val="00F14B48"/>
    <w:rPr>
      <w:i/>
      <w:iCs/>
      <w:color w:val="404040" w:themeColor="text1" w:themeTint="BF"/>
    </w:rPr>
  </w:style>
  <w:style w:type="paragraph" w:styleId="a9">
    <w:name w:val="List Paragraph"/>
    <w:basedOn w:val="a"/>
    <w:uiPriority w:val="34"/>
    <w:qFormat/>
    <w:rsid w:val="00F14B48"/>
    <w:pPr>
      <w:ind w:left="720"/>
      <w:contextualSpacing/>
    </w:pPr>
  </w:style>
  <w:style w:type="character" w:styleId="aa">
    <w:name w:val="Intense Emphasis"/>
    <w:basedOn w:val="a0"/>
    <w:uiPriority w:val="21"/>
    <w:qFormat/>
    <w:rsid w:val="00F14B48"/>
    <w:rPr>
      <w:i/>
      <w:iCs/>
      <w:color w:val="2F5496" w:themeColor="accent1" w:themeShade="BF"/>
    </w:rPr>
  </w:style>
  <w:style w:type="paragraph" w:styleId="ab">
    <w:name w:val="Intense Quote"/>
    <w:basedOn w:val="a"/>
    <w:next w:val="a"/>
    <w:link w:val="ac"/>
    <w:uiPriority w:val="30"/>
    <w:qFormat/>
    <w:rsid w:val="00F14B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F14B48"/>
    <w:rPr>
      <w:i/>
      <w:iCs/>
      <w:color w:val="2F5496" w:themeColor="accent1" w:themeShade="BF"/>
    </w:rPr>
  </w:style>
  <w:style w:type="character" w:styleId="ad">
    <w:name w:val="Intense Reference"/>
    <w:basedOn w:val="a0"/>
    <w:uiPriority w:val="32"/>
    <w:qFormat/>
    <w:rsid w:val="00F14B48"/>
    <w:rPr>
      <w:b/>
      <w:bCs/>
      <w:smallCaps/>
      <w:color w:val="2F5496" w:themeColor="accent1" w:themeShade="BF"/>
      <w:spacing w:val="5"/>
    </w:rPr>
  </w:style>
  <w:style w:type="paragraph" w:styleId="ae">
    <w:name w:val="header"/>
    <w:basedOn w:val="a"/>
    <w:link w:val="af"/>
    <w:uiPriority w:val="99"/>
    <w:unhideWhenUsed/>
    <w:rsid w:val="005C11DC"/>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5C11DC"/>
    <w:rPr>
      <w:sz w:val="18"/>
      <w:szCs w:val="18"/>
    </w:rPr>
  </w:style>
  <w:style w:type="paragraph" w:styleId="af0">
    <w:name w:val="footer"/>
    <w:basedOn w:val="a"/>
    <w:link w:val="af1"/>
    <w:uiPriority w:val="99"/>
    <w:unhideWhenUsed/>
    <w:rsid w:val="005C11DC"/>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5C11DC"/>
    <w:rPr>
      <w:sz w:val="18"/>
      <w:szCs w:val="18"/>
    </w:rPr>
  </w:style>
  <w:style w:type="paragraph" w:styleId="af2">
    <w:name w:val="Bibliography"/>
    <w:basedOn w:val="a"/>
    <w:next w:val="a"/>
    <w:uiPriority w:val="37"/>
    <w:unhideWhenUsed/>
    <w:rsid w:val="00CA0070"/>
    <w:pPr>
      <w:tabs>
        <w:tab w:val="left" w:pos="384"/>
      </w:tabs>
      <w:spacing w:after="0" w:line="240" w:lineRule="auto"/>
      <w:ind w:left="384" w:hanging="384"/>
    </w:pPr>
  </w:style>
  <w:style w:type="character" w:styleId="af3">
    <w:name w:val="Placeholder Text"/>
    <w:basedOn w:val="a0"/>
    <w:uiPriority w:val="99"/>
    <w:semiHidden/>
    <w:rsid w:val="00337A8E"/>
    <w:rPr>
      <w:color w:val="666666"/>
    </w:rPr>
  </w:style>
  <w:style w:type="paragraph" w:customStyle="1" w:styleId="Subtitle1">
    <w:name w:val="Subtitle 1"/>
    <w:basedOn w:val="a"/>
    <w:qFormat/>
    <w:rsid w:val="00956C26"/>
    <w:pPr>
      <w:autoSpaceDE w:val="0"/>
      <w:autoSpaceDN w:val="0"/>
      <w:spacing w:after="0" w:line="480" w:lineRule="auto"/>
      <w:jc w:val="both"/>
    </w:pPr>
    <w:rPr>
      <w:rFonts w:ascii="Arial" w:eastAsia="Arial" w:hAnsi="Arial" w:cs="Arial"/>
      <w:b/>
      <w:bCs/>
      <w:sz w:val="24"/>
      <w:lang w:eastAsia="ko-KR"/>
      <w14:ligatures w14:val="none"/>
    </w:rPr>
  </w:style>
  <w:style w:type="table" w:customStyle="1" w:styleId="21">
    <w:name w:val="无格式表格 21"/>
    <w:basedOn w:val="a1"/>
    <w:uiPriority w:val="42"/>
    <w:qFormat/>
    <w:rsid w:val="001B7D66"/>
    <w:pPr>
      <w:spacing w:after="0" w:line="240" w:lineRule="auto"/>
    </w:pPr>
    <w:rPr>
      <w:rFonts w:ascii="Times New Roman" w:eastAsia="宋体" w:hAnsi="Times New Roman" w:cs="Times New Roman"/>
      <w:kern w:val="0"/>
      <w:sz w:val="20"/>
      <w:szCs w:val="20"/>
      <w14:ligatures w14:val="none"/>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11</Pages>
  <Words>1767</Words>
  <Characters>10426</Characters>
  <Application>Microsoft Office Word</Application>
  <DocSecurity>0</DocSecurity>
  <Lines>297</Lines>
  <Paragraphs>176</Paragraphs>
  <ScaleCrop>false</ScaleCrop>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肖凝瑞 肖凝瑞</dc:creator>
  <cp:keywords/>
  <dc:description/>
  <cp:lastModifiedBy>NR X</cp:lastModifiedBy>
  <cp:revision>49</cp:revision>
  <cp:lastPrinted>2026-02-06T07:06:00Z</cp:lastPrinted>
  <dcterms:created xsi:type="dcterms:W3CDTF">2026-01-30T07:24:00Z</dcterms:created>
  <dcterms:modified xsi:type="dcterms:W3CDTF">2026-02-06T07:08:00Z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id="QuHPWcUY"/&gt;&lt;style id="https://www.zotero-chinese.com/styles/中国科学院大学（顺序编码）" hasBibliography="1" bibliographyStyleHasBeenSet="1"/&gt;&lt;prefs&gt;&lt;pref name="fieldType" value="Field"/&gt;&lt;/prefs&gt;&lt;/data&gt;</vt:lpwstr>
  </property>
</Properties>
</file>