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D07D0E" w14:textId="77777777" w:rsidR="00027A64" w:rsidRPr="00475F70" w:rsidRDefault="00027A64" w:rsidP="00027A64">
      <w:pPr>
        <w:pStyle w:val="Heading1"/>
        <w:jc w:val="both"/>
        <w:rPr>
          <w:rFonts w:cs="Times New Roman"/>
          <w:szCs w:val="24"/>
        </w:rPr>
      </w:pPr>
      <w:r w:rsidRPr="00452ED7">
        <w:rPr>
          <w:rFonts w:cs="Times New Roman"/>
          <w:szCs w:val="24"/>
        </w:rPr>
        <w:t xml:space="preserve">Supplementary 1. </w:t>
      </w:r>
      <w:r w:rsidRPr="00475F70">
        <w:rPr>
          <w:rFonts w:cs="Times New Roman"/>
          <w:szCs w:val="24"/>
        </w:rPr>
        <w:t>Statistical analysis plan</w:t>
      </w:r>
    </w:p>
    <w:p w14:paraId="5F5A4E36" w14:textId="77777777" w:rsidR="00027A64" w:rsidRPr="00452ED7" w:rsidRDefault="00027A64" w:rsidP="00027A64">
      <w:pPr>
        <w:jc w:val="both"/>
        <w:rPr>
          <w:rFonts w:ascii="Times New Roman" w:hAnsi="Times New Roman" w:cs="Times New Roman"/>
        </w:rPr>
      </w:pPr>
      <w:r w:rsidRPr="00AC405A">
        <w:rPr>
          <w:rFonts w:ascii="Times New Roman" w:hAnsi="Times New Roman" w:cs="Times New Roman"/>
        </w:rPr>
        <w:t xml:space="preserve">This Statistical Analysis Plan (SAP) outlines the procedures for cleaning, transforming, and </w:t>
      </w:r>
      <w:proofErr w:type="spellStart"/>
      <w:r w:rsidRPr="00AC405A">
        <w:rPr>
          <w:rFonts w:ascii="Times New Roman" w:hAnsi="Times New Roman" w:cs="Times New Roman"/>
        </w:rPr>
        <w:t>analyzing</w:t>
      </w:r>
      <w:proofErr w:type="spellEnd"/>
      <w:r w:rsidRPr="00AC405A">
        <w:rPr>
          <w:rFonts w:ascii="Times New Roman" w:hAnsi="Times New Roman" w:cs="Times New Roman"/>
        </w:rPr>
        <w:t xml:space="preserve"> data collected on patients diagnosed and treated for breast cancer at the University Clinical Center of Sarajevo (</w:t>
      </w:r>
      <w:proofErr w:type="spellStart"/>
      <w:r w:rsidRPr="00AC405A">
        <w:rPr>
          <w:rFonts w:ascii="Times New Roman" w:hAnsi="Times New Roman" w:cs="Times New Roman"/>
        </w:rPr>
        <w:t>CCUoS</w:t>
      </w:r>
      <w:proofErr w:type="spellEnd"/>
      <w:r w:rsidRPr="00AC405A">
        <w:rPr>
          <w:rFonts w:ascii="Times New Roman" w:hAnsi="Times New Roman" w:cs="Times New Roman"/>
        </w:rPr>
        <w:t>). The aim of this analysis was to describe real-world diagnostic and treatment intervals, treatment adherence, and follow-up outcomes for women with breast cancer in the Federation of Bosnia and Herzegovina (FBiH).</w:t>
      </w:r>
      <w:r w:rsidRPr="00452ED7">
        <w:rPr>
          <w:rFonts w:ascii="Times New Roman" w:hAnsi="Times New Roman" w:cs="Times New Roman"/>
        </w:rPr>
        <w:t xml:space="preserve"> The final analytical sampling used to validate the SAP and calculate the final sample size was 150 patient entries. </w:t>
      </w:r>
    </w:p>
    <w:p w14:paraId="26775C70" w14:textId="77777777" w:rsidR="00027A64" w:rsidRPr="00452ED7" w:rsidRDefault="00027A64" w:rsidP="00027A64">
      <w:pPr>
        <w:pStyle w:val="Heading2"/>
        <w:jc w:val="both"/>
        <w:rPr>
          <w:rFonts w:cs="Times New Roman"/>
          <w:szCs w:val="24"/>
        </w:rPr>
      </w:pPr>
      <w:r w:rsidRPr="00452ED7">
        <w:rPr>
          <w:rFonts w:cs="Times New Roman"/>
          <w:szCs w:val="24"/>
        </w:rPr>
        <w:t>Software</w:t>
      </w:r>
    </w:p>
    <w:p w14:paraId="4C2200F7" w14:textId="77777777" w:rsidR="00027A64" w:rsidRPr="00AC405A" w:rsidRDefault="00027A64" w:rsidP="00027A64">
      <w:pPr>
        <w:jc w:val="both"/>
        <w:rPr>
          <w:rFonts w:ascii="Times New Roman" w:hAnsi="Times New Roman" w:cs="Times New Roman"/>
        </w:rPr>
      </w:pPr>
      <w:r w:rsidRPr="00AC405A">
        <w:rPr>
          <w:rFonts w:ascii="Times New Roman" w:hAnsi="Times New Roman" w:cs="Times New Roman"/>
        </w:rPr>
        <w:t>All data management and statistical analyses were conducted in R (</w:t>
      </w:r>
      <w:r w:rsidRPr="00452ED7">
        <w:rPr>
          <w:rFonts w:ascii="Times New Roman" w:hAnsi="Times New Roman" w:cs="Times New Roman"/>
        </w:rPr>
        <w:t>version 4.4.1</w:t>
      </w:r>
      <w:r w:rsidRPr="00AC405A">
        <w:rPr>
          <w:rFonts w:ascii="Times New Roman" w:hAnsi="Times New Roman" w:cs="Times New Roman"/>
        </w:rPr>
        <w:t>) using the following packages:</w:t>
      </w:r>
    </w:p>
    <w:p w14:paraId="4F8BDA1F" w14:textId="77777777" w:rsidR="00027A64" w:rsidRPr="00AC405A" w:rsidRDefault="00027A64" w:rsidP="00027A64">
      <w:pPr>
        <w:numPr>
          <w:ilvl w:val="0"/>
          <w:numId w:val="1"/>
        </w:numPr>
        <w:jc w:val="both"/>
        <w:rPr>
          <w:rFonts w:ascii="Times New Roman" w:hAnsi="Times New Roman" w:cs="Times New Roman"/>
        </w:rPr>
      </w:pPr>
      <w:proofErr w:type="spellStart"/>
      <w:r w:rsidRPr="00AC405A">
        <w:rPr>
          <w:rFonts w:ascii="Times New Roman" w:hAnsi="Times New Roman" w:cs="Times New Roman"/>
        </w:rPr>
        <w:t>tidyverse</w:t>
      </w:r>
      <w:proofErr w:type="spellEnd"/>
      <w:r w:rsidRPr="00AC405A">
        <w:rPr>
          <w:rFonts w:ascii="Times New Roman" w:hAnsi="Times New Roman" w:cs="Times New Roman"/>
        </w:rPr>
        <w:t xml:space="preserve"> for data wrangling and visualization</w:t>
      </w:r>
    </w:p>
    <w:p w14:paraId="433BC1A9" w14:textId="77777777" w:rsidR="00027A64" w:rsidRPr="00AC405A" w:rsidRDefault="00027A64" w:rsidP="00027A64">
      <w:pPr>
        <w:numPr>
          <w:ilvl w:val="0"/>
          <w:numId w:val="1"/>
        </w:numPr>
        <w:jc w:val="both"/>
        <w:rPr>
          <w:rFonts w:ascii="Times New Roman" w:hAnsi="Times New Roman" w:cs="Times New Roman"/>
        </w:rPr>
      </w:pPr>
      <w:proofErr w:type="spellStart"/>
      <w:r w:rsidRPr="00AC405A">
        <w:rPr>
          <w:rFonts w:ascii="Times New Roman" w:hAnsi="Times New Roman" w:cs="Times New Roman"/>
        </w:rPr>
        <w:t>lubridate</w:t>
      </w:r>
      <w:proofErr w:type="spellEnd"/>
      <w:r w:rsidRPr="00AC405A">
        <w:rPr>
          <w:rFonts w:ascii="Times New Roman" w:hAnsi="Times New Roman" w:cs="Times New Roman"/>
        </w:rPr>
        <w:t xml:space="preserve"> for date handling</w:t>
      </w:r>
    </w:p>
    <w:p w14:paraId="66814789" w14:textId="77777777" w:rsidR="00027A64" w:rsidRPr="00AC405A" w:rsidRDefault="00027A64" w:rsidP="00027A64">
      <w:pPr>
        <w:numPr>
          <w:ilvl w:val="0"/>
          <w:numId w:val="1"/>
        </w:numPr>
        <w:jc w:val="both"/>
        <w:rPr>
          <w:rFonts w:ascii="Times New Roman" w:hAnsi="Times New Roman" w:cs="Times New Roman"/>
        </w:rPr>
      </w:pPr>
      <w:proofErr w:type="spellStart"/>
      <w:r w:rsidRPr="00AC405A">
        <w:rPr>
          <w:rFonts w:ascii="Times New Roman" w:hAnsi="Times New Roman" w:cs="Times New Roman"/>
        </w:rPr>
        <w:t>dplyr</w:t>
      </w:r>
      <w:proofErr w:type="spellEnd"/>
      <w:r w:rsidRPr="00AC405A">
        <w:rPr>
          <w:rFonts w:ascii="Times New Roman" w:hAnsi="Times New Roman" w:cs="Times New Roman"/>
        </w:rPr>
        <w:t xml:space="preserve"> and </w:t>
      </w:r>
      <w:proofErr w:type="spellStart"/>
      <w:proofErr w:type="gramStart"/>
      <w:r w:rsidRPr="00AC405A">
        <w:rPr>
          <w:rFonts w:ascii="Times New Roman" w:hAnsi="Times New Roman" w:cs="Times New Roman"/>
        </w:rPr>
        <w:t>data.table</w:t>
      </w:r>
      <w:proofErr w:type="spellEnd"/>
      <w:proofErr w:type="gramEnd"/>
      <w:r w:rsidRPr="00AC405A">
        <w:rPr>
          <w:rFonts w:ascii="Times New Roman" w:hAnsi="Times New Roman" w:cs="Times New Roman"/>
        </w:rPr>
        <w:t xml:space="preserve"> for aggregation and reshaping</w:t>
      </w:r>
    </w:p>
    <w:p w14:paraId="08A23621" w14:textId="77777777" w:rsidR="00027A64" w:rsidRPr="00AC405A" w:rsidRDefault="00027A64" w:rsidP="00027A64">
      <w:pPr>
        <w:numPr>
          <w:ilvl w:val="0"/>
          <w:numId w:val="1"/>
        </w:numPr>
        <w:jc w:val="both"/>
        <w:rPr>
          <w:rFonts w:ascii="Times New Roman" w:hAnsi="Times New Roman" w:cs="Times New Roman"/>
        </w:rPr>
      </w:pPr>
      <w:r w:rsidRPr="00AC405A">
        <w:rPr>
          <w:rFonts w:ascii="Times New Roman" w:hAnsi="Times New Roman" w:cs="Times New Roman"/>
        </w:rPr>
        <w:t>ggplot2 for graphical representation</w:t>
      </w:r>
    </w:p>
    <w:p w14:paraId="52033DEB" w14:textId="77777777" w:rsidR="00027A64" w:rsidRPr="00AC405A" w:rsidRDefault="00027A64" w:rsidP="00027A64">
      <w:pPr>
        <w:numPr>
          <w:ilvl w:val="0"/>
          <w:numId w:val="1"/>
        </w:numPr>
        <w:jc w:val="both"/>
        <w:rPr>
          <w:rFonts w:ascii="Times New Roman" w:hAnsi="Times New Roman" w:cs="Times New Roman"/>
        </w:rPr>
      </w:pPr>
      <w:r w:rsidRPr="00AC405A">
        <w:rPr>
          <w:rFonts w:ascii="Times New Roman" w:hAnsi="Times New Roman" w:cs="Times New Roman"/>
        </w:rPr>
        <w:t>survival for exploratory time-to-event analysis (where feasible)</w:t>
      </w:r>
    </w:p>
    <w:p w14:paraId="616B4779" w14:textId="77777777" w:rsidR="00027A64" w:rsidRPr="00452ED7" w:rsidRDefault="00027A64" w:rsidP="00027A64">
      <w:pPr>
        <w:pStyle w:val="Heading2"/>
        <w:jc w:val="both"/>
        <w:rPr>
          <w:rFonts w:cs="Times New Roman"/>
          <w:szCs w:val="24"/>
        </w:rPr>
      </w:pPr>
      <w:r w:rsidRPr="00452ED7">
        <w:rPr>
          <w:rFonts w:cs="Times New Roman"/>
          <w:szCs w:val="24"/>
        </w:rPr>
        <w:t>Data Cleaning and Management</w:t>
      </w:r>
    </w:p>
    <w:p w14:paraId="6BA1C465" w14:textId="77777777" w:rsidR="00027A64" w:rsidRPr="00AC405A" w:rsidRDefault="00027A64" w:rsidP="00027A64">
      <w:pPr>
        <w:jc w:val="both"/>
        <w:rPr>
          <w:rFonts w:ascii="Times New Roman" w:hAnsi="Times New Roman" w:cs="Times New Roman"/>
        </w:rPr>
      </w:pPr>
      <w:r w:rsidRPr="00AC405A">
        <w:rPr>
          <w:rFonts w:ascii="Times New Roman" w:hAnsi="Times New Roman" w:cs="Times New Roman"/>
        </w:rPr>
        <w:t>Data were screened for missingness, logical consistency, and temporal order. Missing values were not imputed for any variable. Illogical entries</w:t>
      </w:r>
      <w:r w:rsidRPr="00452ED7">
        <w:rPr>
          <w:rFonts w:ascii="Times New Roman" w:hAnsi="Times New Roman" w:cs="Times New Roman"/>
        </w:rPr>
        <w:t xml:space="preserve"> - </w:t>
      </w:r>
      <w:r w:rsidRPr="00AC405A">
        <w:rPr>
          <w:rFonts w:ascii="Times New Roman" w:hAnsi="Times New Roman" w:cs="Times New Roman"/>
        </w:rPr>
        <w:t>such as negative intervals (e.g., treatment start before diagnosis) or implausible dates (e.g., birth year after diagnosis year)</w:t>
      </w:r>
      <w:r w:rsidRPr="00452ED7">
        <w:rPr>
          <w:rFonts w:ascii="Times New Roman" w:hAnsi="Times New Roman" w:cs="Times New Roman"/>
        </w:rPr>
        <w:t xml:space="preserve"> - </w:t>
      </w:r>
      <w:r w:rsidRPr="00AC405A">
        <w:rPr>
          <w:rFonts w:ascii="Times New Roman" w:hAnsi="Times New Roman" w:cs="Times New Roman"/>
        </w:rPr>
        <w:t>were flagged for exclusion in variable-specific analyses.</w:t>
      </w:r>
      <w:r w:rsidRPr="00AC405A">
        <w:rPr>
          <w:rFonts w:ascii="Times New Roman" w:hAnsi="Times New Roman" w:cs="Times New Roman"/>
        </w:rPr>
        <w:br/>
        <w:t>All date variables were converted to Date format (YYYY-MM-DD) to enable accurate computation of time intervals. Derived time variables (e.g., time to referral, time from symptom onset to diagnosis) were calculated in days, with results expressed in median and interquartile range (IQR) due to non-normal distributions.</w:t>
      </w:r>
    </w:p>
    <w:p w14:paraId="37F855EC" w14:textId="77777777" w:rsidR="00027A64" w:rsidRPr="00452ED7" w:rsidRDefault="00027A64" w:rsidP="00027A64">
      <w:pPr>
        <w:pStyle w:val="Heading2"/>
        <w:jc w:val="both"/>
        <w:rPr>
          <w:rFonts w:cs="Times New Roman"/>
          <w:szCs w:val="24"/>
        </w:rPr>
      </w:pPr>
      <w:r w:rsidRPr="00452ED7">
        <w:rPr>
          <w:rFonts w:cs="Times New Roman"/>
          <w:szCs w:val="24"/>
        </w:rPr>
        <w:t>Standardization of Key Variables</w:t>
      </w:r>
    </w:p>
    <w:p w14:paraId="4D0502B2" w14:textId="77777777" w:rsidR="00027A64" w:rsidRPr="00AC405A" w:rsidRDefault="00027A64" w:rsidP="00027A64">
      <w:pPr>
        <w:numPr>
          <w:ilvl w:val="0"/>
          <w:numId w:val="2"/>
        </w:numPr>
        <w:jc w:val="both"/>
        <w:rPr>
          <w:rFonts w:ascii="Times New Roman" w:hAnsi="Times New Roman" w:cs="Times New Roman"/>
        </w:rPr>
      </w:pPr>
      <w:r w:rsidRPr="00AC405A">
        <w:rPr>
          <w:rFonts w:ascii="Times New Roman" w:hAnsi="Times New Roman" w:cs="Times New Roman"/>
          <w:b/>
          <w:bCs/>
        </w:rPr>
        <w:t>Age at diagnosis:</w:t>
      </w:r>
      <w:r w:rsidRPr="00AC405A">
        <w:rPr>
          <w:rFonts w:ascii="Times New Roman" w:hAnsi="Times New Roman" w:cs="Times New Roman"/>
        </w:rPr>
        <w:t xml:space="preserve"> Calculated as the minimum year among recorded diagnosis year, first admission, or referral year to </w:t>
      </w:r>
      <w:proofErr w:type="spellStart"/>
      <w:r w:rsidRPr="00AC405A">
        <w:rPr>
          <w:rFonts w:ascii="Times New Roman" w:hAnsi="Times New Roman" w:cs="Times New Roman"/>
        </w:rPr>
        <w:t>CCUoS</w:t>
      </w:r>
      <w:proofErr w:type="spellEnd"/>
      <w:r w:rsidRPr="00AC405A">
        <w:rPr>
          <w:rFonts w:ascii="Times New Roman" w:hAnsi="Times New Roman" w:cs="Times New Roman"/>
        </w:rPr>
        <w:t>, subtracted from the year of birth. This approach minimized illogical sequences (e.g., treatment preceding diagnosis).</w:t>
      </w:r>
    </w:p>
    <w:p w14:paraId="544536D6" w14:textId="77777777" w:rsidR="00027A64" w:rsidRPr="00AC405A" w:rsidRDefault="00027A64" w:rsidP="00027A64">
      <w:pPr>
        <w:numPr>
          <w:ilvl w:val="0"/>
          <w:numId w:val="2"/>
        </w:numPr>
        <w:jc w:val="both"/>
        <w:rPr>
          <w:rFonts w:ascii="Times New Roman" w:hAnsi="Times New Roman" w:cs="Times New Roman"/>
        </w:rPr>
      </w:pPr>
      <w:r w:rsidRPr="00AC405A">
        <w:rPr>
          <w:rFonts w:ascii="Times New Roman" w:hAnsi="Times New Roman" w:cs="Times New Roman"/>
          <w:b/>
          <w:bCs/>
        </w:rPr>
        <w:t>Residency:</w:t>
      </w:r>
      <w:r w:rsidRPr="00AC405A">
        <w:rPr>
          <w:rFonts w:ascii="Times New Roman" w:hAnsi="Times New Roman" w:cs="Times New Roman"/>
        </w:rPr>
        <w:t xml:space="preserve"> Categorized both by type (urban vs. rural) and canton. Proportions were calculated relative to the total analytic sample.</w:t>
      </w:r>
    </w:p>
    <w:p w14:paraId="7E559737" w14:textId="77777777" w:rsidR="00027A64" w:rsidRPr="00AC405A" w:rsidRDefault="00027A64" w:rsidP="00027A64">
      <w:pPr>
        <w:numPr>
          <w:ilvl w:val="0"/>
          <w:numId w:val="2"/>
        </w:numPr>
        <w:jc w:val="both"/>
        <w:rPr>
          <w:rFonts w:ascii="Times New Roman" w:hAnsi="Times New Roman" w:cs="Times New Roman"/>
        </w:rPr>
      </w:pPr>
      <w:r w:rsidRPr="00AC405A">
        <w:rPr>
          <w:rFonts w:ascii="Times New Roman" w:hAnsi="Times New Roman" w:cs="Times New Roman"/>
          <w:b/>
          <w:bCs/>
        </w:rPr>
        <w:t>Stage at diagnosis:</w:t>
      </w:r>
      <w:r w:rsidRPr="00AC405A">
        <w:rPr>
          <w:rFonts w:ascii="Times New Roman" w:hAnsi="Times New Roman" w:cs="Times New Roman"/>
        </w:rPr>
        <w:t xml:space="preserve"> Categorized according to TNM stage (I–IV). Approximately 8% of cases had missing stage data</w:t>
      </w:r>
      <w:r w:rsidRPr="00452ED7">
        <w:rPr>
          <w:rFonts w:ascii="Times New Roman" w:hAnsi="Times New Roman" w:cs="Times New Roman"/>
        </w:rPr>
        <w:t xml:space="preserve"> in the initial statistical sample</w:t>
      </w:r>
      <w:r w:rsidRPr="00AC405A">
        <w:rPr>
          <w:rFonts w:ascii="Times New Roman" w:hAnsi="Times New Roman" w:cs="Times New Roman"/>
        </w:rPr>
        <w:t>; these were excluded from stage-specific summaries.</w:t>
      </w:r>
    </w:p>
    <w:p w14:paraId="34971344" w14:textId="77777777" w:rsidR="00027A64" w:rsidRPr="00AC405A" w:rsidRDefault="00027A64" w:rsidP="00027A64">
      <w:pPr>
        <w:numPr>
          <w:ilvl w:val="0"/>
          <w:numId w:val="2"/>
        </w:numPr>
        <w:jc w:val="both"/>
        <w:rPr>
          <w:rFonts w:ascii="Times New Roman" w:hAnsi="Times New Roman" w:cs="Times New Roman"/>
        </w:rPr>
      </w:pPr>
      <w:r w:rsidRPr="00AC405A">
        <w:rPr>
          <w:rFonts w:ascii="Times New Roman" w:hAnsi="Times New Roman" w:cs="Times New Roman"/>
          <w:b/>
          <w:bCs/>
        </w:rPr>
        <w:t>Referral pathway:</w:t>
      </w:r>
      <w:r w:rsidRPr="00AC405A">
        <w:rPr>
          <w:rFonts w:ascii="Times New Roman" w:hAnsi="Times New Roman" w:cs="Times New Roman"/>
        </w:rPr>
        <w:t xml:space="preserve"> Two recorded inputs were assessed:</w:t>
      </w:r>
    </w:p>
    <w:p w14:paraId="22CADBF7" w14:textId="77777777" w:rsidR="00027A64" w:rsidRPr="00AC405A" w:rsidRDefault="00027A64" w:rsidP="00027A64">
      <w:pPr>
        <w:numPr>
          <w:ilvl w:val="1"/>
          <w:numId w:val="2"/>
        </w:numPr>
        <w:jc w:val="both"/>
        <w:rPr>
          <w:rFonts w:ascii="Times New Roman" w:hAnsi="Times New Roman" w:cs="Times New Roman"/>
        </w:rPr>
      </w:pPr>
      <w:r w:rsidRPr="00AC405A">
        <w:rPr>
          <w:rFonts w:ascii="Times New Roman" w:hAnsi="Times New Roman" w:cs="Times New Roman"/>
          <w:b/>
          <w:bCs/>
        </w:rPr>
        <w:lastRenderedPageBreak/>
        <w:t>Mode of examination</w:t>
      </w:r>
      <w:r w:rsidRPr="00AC405A">
        <w:rPr>
          <w:rFonts w:ascii="Times New Roman" w:hAnsi="Times New Roman" w:cs="Times New Roman"/>
        </w:rPr>
        <w:t xml:space="preserve"> (symptomatic, screened, or self-examination)</w:t>
      </w:r>
    </w:p>
    <w:p w14:paraId="5B65586A" w14:textId="77777777" w:rsidR="00027A64" w:rsidRPr="00AC405A" w:rsidRDefault="00027A64" w:rsidP="00027A64">
      <w:pPr>
        <w:numPr>
          <w:ilvl w:val="1"/>
          <w:numId w:val="2"/>
        </w:numPr>
        <w:jc w:val="both"/>
        <w:rPr>
          <w:rFonts w:ascii="Times New Roman" w:hAnsi="Times New Roman" w:cs="Times New Roman"/>
        </w:rPr>
      </w:pPr>
      <w:r w:rsidRPr="00AC405A">
        <w:rPr>
          <w:rFonts w:ascii="Times New Roman" w:hAnsi="Times New Roman" w:cs="Times New Roman"/>
          <w:b/>
          <w:bCs/>
        </w:rPr>
        <w:t>Level of care</w:t>
      </w:r>
      <w:r w:rsidRPr="00AC405A">
        <w:rPr>
          <w:rFonts w:ascii="Times New Roman" w:hAnsi="Times New Roman" w:cs="Times New Roman"/>
        </w:rPr>
        <w:t xml:space="preserve"> (primary vs. secondary)</w:t>
      </w:r>
    </w:p>
    <w:p w14:paraId="59FDB180" w14:textId="77777777" w:rsidR="00027A64" w:rsidRPr="00452ED7" w:rsidRDefault="00027A64" w:rsidP="00027A64">
      <w:pPr>
        <w:jc w:val="both"/>
        <w:rPr>
          <w:rFonts w:ascii="Times New Roman" w:hAnsi="Times New Roman" w:cs="Times New Roman"/>
        </w:rPr>
      </w:pPr>
      <w:r w:rsidRPr="00AC405A">
        <w:rPr>
          <w:rFonts w:ascii="Times New Roman" w:hAnsi="Times New Roman" w:cs="Times New Roman"/>
        </w:rPr>
        <w:t>For the mode of examination, 37% of data were missing</w:t>
      </w:r>
      <w:r w:rsidRPr="00452ED7">
        <w:rPr>
          <w:rFonts w:ascii="Times New Roman" w:hAnsi="Times New Roman" w:cs="Times New Roman"/>
        </w:rPr>
        <w:t xml:space="preserve"> in the initial sampling</w:t>
      </w:r>
      <w:r w:rsidRPr="00AC405A">
        <w:rPr>
          <w:rFonts w:ascii="Times New Roman" w:hAnsi="Times New Roman" w:cs="Times New Roman"/>
        </w:rPr>
        <w:t xml:space="preserve">. Given the implausible distribution (only 10% “symptomatic” vs. 40% “self-examination”), these two categories were merged into a single </w:t>
      </w:r>
      <w:r w:rsidRPr="00AC405A">
        <w:rPr>
          <w:rFonts w:ascii="Times New Roman" w:hAnsi="Times New Roman" w:cs="Times New Roman"/>
          <w:i/>
          <w:iCs/>
        </w:rPr>
        <w:t>“symptomatic cases”</w:t>
      </w:r>
      <w:r w:rsidRPr="00AC405A">
        <w:rPr>
          <w:rFonts w:ascii="Times New Roman" w:hAnsi="Times New Roman" w:cs="Times New Roman"/>
        </w:rPr>
        <w:t xml:space="preserve"> group.</w:t>
      </w:r>
    </w:p>
    <w:p w14:paraId="748F50EA" w14:textId="77777777" w:rsidR="00027A64" w:rsidRPr="00452ED7" w:rsidRDefault="00027A64" w:rsidP="00027A64">
      <w:pPr>
        <w:pStyle w:val="Heading2"/>
        <w:jc w:val="both"/>
        <w:rPr>
          <w:rFonts w:cs="Times New Roman"/>
          <w:szCs w:val="24"/>
        </w:rPr>
      </w:pPr>
      <w:r w:rsidRPr="00452ED7">
        <w:rPr>
          <w:rFonts w:cs="Times New Roman"/>
          <w:szCs w:val="24"/>
        </w:rPr>
        <w:t>Approach to the outliers and illogical values</w:t>
      </w:r>
    </w:p>
    <w:p w14:paraId="392023E9" w14:textId="77777777" w:rsidR="00027A64" w:rsidRPr="00AC405A" w:rsidRDefault="00027A64" w:rsidP="00027A64">
      <w:pPr>
        <w:jc w:val="both"/>
        <w:rPr>
          <w:rFonts w:ascii="Times New Roman" w:hAnsi="Times New Roman" w:cs="Times New Roman"/>
        </w:rPr>
      </w:pPr>
      <w:r w:rsidRPr="00452ED7">
        <w:rPr>
          <w:rFonts w:ascii="Times New Roman" w:hAnsi="Times New Roman" w:cs="Times New Roman"/>
        </w:rPr>
        <w:t>Outlier detection was conducted using the Interquartile Range (IQR) method, which is a robust approach suitable for continuous data. The first (Q1) and third (Q3) quartiles were calculated, and the IQR was defined as the difference between them (IQR = Q3 − Q1). Values falling below Q1 − 1.5 × IQR or above Q3 + 1.5 × IQR were classified as outliers. This method does not assume a specific distribution and is less sensitive to extreme values, making it appropriate for skewed data. Additionally, illogical values, such as negative time values, were excluded from the calculation of descriptive statistics.</w:t>
      </w:r>
    </w:p>
    <w:p w14:paraId="210E61B6" w14:textId="77777777" w:rsidR="00027A64" w:rsidRPr="00452ED7" w:rsidRDefault="00027A64" w:rsidP="00027A64">
      <w:pPr>
        <w:pStyle w:val="Heading2"/>
        <w:jc w:val="both"/>
        <w:rPr>
          <w:rFonts w:cs="Times New Roman"/>
          <w:szCs w:val="24"/>
        </w:rPr>
      </w:pPr>
      <w:r w:rsidRPr="00452ED7">
        <w:rPr>
          <w:rFonts w:cs="Times New Roman"/>
          <w:szCs w:val="24"/>
        </w:rPr>
        <w:t>Derived and Composite Time Intervals</w:t>
      </w:r>
    </w:p>
    <w:p w14:paraId="3FC74235" w14:textId="77777777" w:rsidR="00027A64" w:rsidRPr="00AC405A" w:rsidRDefault="00027A64" w:rsidP="00027A64">
      <w:pPr>
        <w:jc w:val="both"/>
        <w:rPr>
          <w:rFonts w:ascii="Times New Roman" w:hAnsi="Times New Roman" w:cs="Times New Roman"/>
        </w:rPr>
      </w:pPr>
      <w:r w:rsidRPr="00AC405A">
        <w:rPr>
          <w:rFonts w:ascii="Times New Roman" w:hAnsi="Times New Roman" w:cs="Times New Roman"/>
        </w:rPr>
        <w:t>To address incomplete or inconsistent temporal data, composite indicators were derived:</w:t>
      </w:r>
    </w:p>
    <w:p w14:paraId="5A43C2D8" w14:textId="77777777" w:rsidR="00027A64" w:rsidRPr="00AC405A" w:rsidRDefault="00027A64" w:rsidP="00027A64">
      <w:pPr>
        <w:numPr>
          <w:ilvl w:val="0"/>
          <w:numId w:val="3"/>
        </w:numPr>
        <w:jc w:val="both"/>
        <w:rPr>
          <w:rFonts w:ascii="Times New Roman" w:hAnsi="Times New Roman" w:cs="Times New Roman"/>
        </w:rPr>
      </w:pPr>
      <w:r w:rsidRPr="00AC405A">
        <w:rPr>
          <w:rFonts w:ascii="Times New Roman" w:hAnsi="Times New Roman" w:cs="Times New Roman"/>
          <w:b/>
          <w:bCs/>
        </w:rPr>
        <w:t>Time from first medical referral to admission:</w:t>
      </w:r>
      <w:r w:rsidRPr="00AC405A">
        <w:rPr>
          <w:rFonts w:ascii="Times New Roman" w:hAnsi="Times New Roman" w:cs="Times New Roman"/>
        </w:rPr>
        <w:br/>
      </w:r>
      <w:r w:rsidRPr="00452ED7">
        <w:rPr>
          <w:rFonts w:ascii="Times New Roman" w:hAnsi="Times New Roman" w:cs="Times New Roman"/>
        </w:rPr>
        <w:t xml:space="preserve">Calculated as </w:t>
      </w:r>
      <w:r w:rsidRPr="00AC405A">
        <w:rPr>
          <w:rFonts w:ascii="Times New Roman" w:hAnsi="Times New Roman" w:cs="Times New Roman"/>
        </w:rPr>
        <w:t>Admission </w:t>
      </w:r>
      <w:proofErr w:type="gramStart"/>
      <w:r w:rsidRPr="00AC405A">
        <w:rPr>
          <w:rFonts w:ascii="Times New Roman" w:hAnsi="Times New Roman" w:cs="Times New Roman"/>
        </w:rPr>
        <w:t>date</w:t>
      </w:r>
      <w:proofErr w:type="gramEnd"/>
      <w:r w:rsidRPr="00AC405A">
        <w:rPr>
          <w:rFonts w:ascii="Times New Roman" w:hAnsi="Times New Roman" w:cs="Times New Roman"/>
        </w:rPr>
        <w:t>−Earliest available referral date</w:t>
      </w:r>
      <w:r w:rsidRPr="00452ED7">
        <w:rPr>
          <w:rFonts w:ascii="Times New Roman" w:hAnsi="Times New Roman" w:cs="Times New Roman"/>
        </w:rPr>
        <w:t xml:space="preserve">, </w:t>
      </w:r>
      <w:r w:rsidRPr="00AC405A">
        <w:rPr>
          <w:rFonts w:ascii="Times New Roman" w:hAnsi="Times New Roman" w:cs="Times New Roman"/>
        </w:rPr>
        <w:t xml:space="preserve">where the referral date was defined as either the “symptomatic referral date” or the “referral to </w:t>
      </w:r>
      <w:proofErr w:type="spellStart"/>
      <w:r w:rsidRPr="00AC405A">
        <w:rPr>
          <w:rFonts w:ascii="Times New Roman" w:hAnsi="Times New Roman" w:cs="Times New Roman"/>
        </w:rPr>
        <w:t>CCUoS</w:t>
      </w:r>
      <w:proofErr w:type="spellEnd"/>
      <w:r w:rsidRPr="00AC405A">
        <w:rPr>
          <w:rFonts w:ascii="Times New Roman" w:hAnsi="Times New Roman" w:cs="Times New Roman"/>
        </w:rPr>
        <w:t xml:space="preserve"> date.”</w:t>
      </w:r>
    </w:p>
    <w:p w14:paraId="7496BF44" w14:textId="77777777" w:rsidR="00027A64" w:rsidRPr="00AC405A" w:rsidRDefault="00027A64" w:rsidP="00027A64">
      <w:pPr>
        <w:numPr>
          <w:ilvl w:val="0"/>
          <w:numId w:val="3"/>
        </w:numPr>
        <w:jc w:val="both"/>
        <w:rPr>
          <w:rFonts w:ascii="Times New Roman" w:hAnsi="Times New Roman" w:cs="Times New Roman"/>
        </w:rPr>
      </w:pPr>
      <w:r w:rsidRPr="00AC405A">
        <w:rPr>
          <w:rFonts w:ascii="Times New Roman" w:hAnsi="Times New Roman" w:cs="Times New Roman"/>
          <w:b/>
          <w:bCs/>
        </w:rPr>
        <w:t>Time from symptom onset to first admission:</w:t>
      </w:r>
      <w:r w:rsidRPr="00AC405A">
        <w:rPr>
          <w:rFonts w:ascii="Times New Roman" w:hAnsi="Times New Roman" w:cs="Times New Roman"/>
        </w:rPr>
        <w:br/>
      </w:r>
      <w:r w:rsidRPr="00452ED7">
        <w:rPr>
          <w:rFonts w:ascii="Times New Roman" w:hAnsi="Times New Roman" w:cs="Times New Roman"/>
        </w:rPr>
        <w:t xml:space="preserve">Calculated as </w:t>
      </w:r>
      <w:r w:rsidRPr="00AC405A">
        <w:rPr>
          <w:rFonts w:ascii="Times New Roman" w:hAnsi="Times New Roman" w:cs="Times New Roman"/>
        </w:rPr>
        <w:t>Earliest recorded admission or referral date−Symptom onset date</w:t>
      </w:r>
      <w:r w:rsidRPr="00452ED7">
        <w:rPr>
          <w:rFonts w:ascii="Times New Roman" w:hAnsi="Times New Roman" w:cs="Times New Roman"/>
        </w:rPr>
        <w:t>.</w:t>
      </w:r>
    </w:p>
    <w:p w14:paraId="56349BFF" w14:textId="77777777" w:rsidR="00027A64" w:rsidRPr="00AC405A" w:rsidRDefault="00027A64" w:rsidP="00027A64">
      <w:pPr>
        <w:jc w:val="both"/>
        <w:rPr>
          <w:rFonts w:ascii="Times New Roman" w:hAnsi="Times New Roman" w:cs="Times New Roman"/>
        </w:rPr>
      </w:pPr>
      <w:r w:rsidRPr="00AC405A">
        <w:rPr>
          <w:rFonts w:ascii="Times New Roman" w:hAnsi="Times New Roman" w:cs="Times New Roman"/>
        </w:rPr>
        <w:t>Entries yielding negative or implausible values (e.g., referral date after treatment start) were excluded from respective analyses. Visual inspection (boxplots and scatter plots) was used to identify outliers, and extreme values were reported but not automatically excluded unless clearly illogical.</w:t>
      </w:r>
    </w:p>
    <w:p w14:paraId="3B516F10" w14:textId="77777777" w:rsidR="00027A64" w:rsidRPr="00452ED7" w:rsidRDefault="00027A64" w:rsidP="00027A64">
      <w:pPr>
        <w:pStyle w:val="Heading2"/>
        <w:jc w:val="both"/>
        <w:rPr>
          <w:rFonts w:cs="Times New Roman"/>
          <w:szCs w:val="24"/>
        </w:rPr>
      </w:pPr>
      <w:r w:rsidRPr="00452ED7">
        <w:rPr>
          <w:rFonts w:cs="Times New Roman"/>
          <w:szCs w:val="24"/>
        </w:rPr>
        <w:t>Diagnostic and Treatment Variables</w:t>
      </w:r>
    </w:p>
    <w:p w14:paraId="3E1E8218" w14:textId="77777777" w:rsidR="00027A64" w:rsidRPr="00AC405A" w:rsidRDefault="00027A64" w:rsidP="00027A64">
      <w:pPr>
        <w:jc w:val="both"/>
        <w:rPr>
          <w:rFonts w:ascii="Times New Roman" w:hAnsi="Times New Roman" w:cs="Times New Roman"/>
          <w:b/>
          <w:bCs/>
        </w:rPr>
      </w:pPr>
      <w:r w:rsidRPr="00AC405A">
        <w:rPr>
          <w:rFonts w:ascii="Times New Roman" w:hAnsi="Times New Roman" w:cs="Times New Roman"/>
          <w:b/>
          <w:bCs/>
        </w:rPr>
        <w:t>Diagnostic Procedures</w:t>
      </w:r>
    </w:p>
    <w:p w14:paraId="33719EEC" w14:textId="77777777" w:rsidR="00027A64" w:rsidRPr="00AC405A" w:rsidRDefault="00027A64" w:rsidP="00027A64">
      <w:pPr>
        <w:jc w:val="both"/>
        <w:rPr>
          <w:rFonts w:ascii="Times New Roman" w:hAnsi="Times New Roman" w:cs="Times New Roman"/>
        </w:rPr>
      </w:pPr>
      <w:r w:rsidRPr="00AC405A">
        <w:rPr>
          <w:rFonts w:ascii="Times New Roman" w:hAnsi="Times New Roman" w:cs="Times New Roman"/>
        </w:rPr>
        <w:t>Each patient was considered to have received a diagnostic procedure if at least one of the following fields was complete:</w:t>
      </w:r>
    </w:p>
    <w:p w14:paraId="28EA9329" w14:textId="77777777" w:rsidR="00027A64" w:rsidRPr="00AC405A" w:rsidRDefault="00027A64" w:rsidP="00027A64">
      <w:pPr>
        <w:numPr>
          <w:ilvl w:val="0"/>
          <w:numId w:val="4"/>
        </w:numPr>
        <w:jc w:val="both"/>
        <w:rPr>
          <w:rFonts w:ascii="Times New Roman" w:hAnsi="Times New Roman" w:cs="Times New Roman"/>
        </w:rPr>
      </w:pPr>
      <w:r w:rsidRPr="00AC405A">
        <w:rPr>
          <w:rFonts w:ascii="Times New Roman" w:hAnsi="Times New Roman" w:cs="Times New Roman"/>
        </w:rPr>
        <w:t>Date requested</w:t>
      </w:r>
    </w:p>
    <w:p w14:paraId="4A1C540D" w14:textId="77777777" w:rsidR="00027A64" w:rsidRPr="00AC405A" w:rsidRDefault="00027A64" w:rsidP="00027A64">
      <w:pPr>
        <w:numPr>
          <w:ilvl w:val="0"/>
          <w:numId w:val="4"/>
        </w:numPr>
        <w:jc w:val="both"/>
        <w:rPr>
          <w:rFonts w:ascii="Times New Roman" w:hAnsi="Times New Roman" w:cs="Times New Roman"/>
        </w:rPr>
      </w:pPr>
      <w:r w:rsidRPr="00AC405A">
        <w:rPr>
          <w:rFonts w:ascii="Times New Roman" w:hAnsi="Times New Roman" w:cs="Times New Roman"/>
        </w:rPr>
        <w:t>Date conducted</w:t>
      </w:r>
    </w:p>
    <w:p w14:paraId="3BD14D7D" w14:textId="77777777" w:rsidR="00027A64" w:rsidRPr="00AC405A" w:rsidRDefault="00027A64" w:rsidP="00027A64">
      <w:pPr>
        <w:numPr>
          <w:ilvl w:val="0"/>
          <w:numId w:val="4"/>
        </w:numPr>
        <w:jc w:val="both"/>
        <w:rPr>
          <w:rFonts w:ascii="Times New Roman" w:hAnsi="Times New Roman" w:cs="Times New Roman"/>
        </w:rPr>
      </w:pPr>
      <w:r w:rsidRPr="00AC405A">
        <w:rPr>
          <w:rFonts w:ascii="Times New Roman" w:hAnsi="Times New Roman" w:cs="Times New Roman"/>
        </w:rPr>
        <w:t>Test result (positive/negative)</w:t>
      </w:r>
    </w:p>
    <w:p w14:paraId="67969B49" w14:textId="77777777" w:rsidR="00027A64" w:rsidRPr="00AC405A" w:rsidRDefault="00027A64" w:rsidP="00027A64">
      <w:pPr>
        <w:jc w:val="both"/>
        <w:rPr>
          <w:rFonts w:ascii="Times New Roman" w:hAnsi="Times New Roman" w:cs="Times New Roman"/>
        </w:rPr>
      </w:pPr>
      <w:r w:rsidRPr="00AC405A">
        <w:rPr>
          <w:rFonts w:ascii="Times New Roman" w:hAnsi="Times New Roman" w:cs="Times New Roman"/>
        </w:rPr>
        <w:t>Number of diagnostic procedures was computed both as:</w:t>
      </w:r>
    </w:p>
    <w:p w14:paraId="17D0286C" w14:textId="77777777" w:rsidR="00027A64" w:rsidRPr="00AC405A" w:rsidRDefault="00027A64" w:rsidP="00027A64">
      <w:pPr>
        <w:numPr>
          <w:ilvl w:val="0"/>
          <w:numId w:val="5"/>
        </w:numPr>
        <w:jc w:val="both"/>
        <w:rPr>
          <w:rFonts w:ascii="Times New Roman" w:hAnsi="Times New Roman" w:cs="Times New Roman"/>
        </w:rPr>
      </w:pPr>
      <w:r w:rsidRPr="00AC405A">
        <w:rPr>
          <w:rFonts w:ascii="Times New Roman" w:hAnsi="Times New Roman" w:cs="Times New Roman"/>
        </w:rPr>
        <w:t>Mean number per patient across the full cohort, and</w:t>
      </w:r>
    </w:p>
    <w:p w14:paraId="27AB761A" w14:textId="77777777" w:rsidR="00027A64" w:rsidRPr="00AC405A" w:rsidRDefault="00027A64" w:rsidP="00027A64">
      <w:pPr>
        <w:numPr>
          <w:ilvl w:val="0"/>
          <w:numId w:val="5"/>
        </w:numPr>
        <w:jc w:val="both"/>
        <w:rPr>
          <w:rFonts w:ascii="Times New Roman" w:hAnsi="Times New Roman" w:cs="Times New Roman"/>
        </w:rPr>
      </w:pPr>
      <w:r w:rsidRPr="00AC405A">
        <w:rPr>
          <w:rFonts w:ascii="Times New Roman" w:hAnsi="Times New Roman" w:cs="Times New Roman"/>
        </w:rPr>
        <w:t>Mean number among patients who had ≥1 recorded diagnostic procedure.</w:t>
      </w:r>
    </w:p>
    <w:p w14:paraId="77DE8621" w14:textId="77777777" w:rsidR="00027A64" w:rsidRPr="00AC405A" w:rsidRDefault="00027A64" w:rsidP="00027A64">
      <w:pPr>
        <w:jc w:val="both"/>
        <w:rPr>
          <w:rFonts w:ascii="Times New Roman" w:hAnsi="Times New Roman" w:cs="Times New Roman"/>
        </w:rPr>
      </w:pPr>
      <w:r w:rsidRPr="00AC405A">
        <w:rPr>
          <w:rFonts w:ascii="Times New Roman" w:hAnsi="Times New Roman" w:cs="Times New Roman"/>
        </w:rPr>
        <w:lastRenderedPageBreak/>
        <w:t>Due to outliers (e.g., patient ID 23 with 12 “Other” diagnostic procedures), results were presented as both mean ± SD and median [IQR] to avoid distortion.</w:t>
      </w:r>
    </w:p>
    <w:p w14:paraId="2ECC9328" w14:textId="77777777" w:rsidR="00027A64" w:rsidRPr="00AC405A" w:rsidRDefault="00027A64" w:rsidP="00027A64">
      <w:pPr>
        <w:jc w:val="both"/>
        <w:rPr>
          <w:rFonts w:ascii="Times New Roman" w:hAnsi="Times New Roman" w:cs="Times New Roman"/>
        </w:rPr>
      </w:pPr>
      <w:r w:rsidRPr="00AC405A">
        <w:rPr>
          <w:rFonts w:ascii="Times New Roman" w:hAnsi="Times New Roman" w:cs="Times New Roman"/>
        </w:rPr>
        <w:t>Waiting time for diagnostic procedures was calculated only for records with both request and result dates available. Because of limited entries, waiting time distributions were reported descriptively without inferential testing.</w:t>
      </w:r>
    </w:p>
    <w:p w14:paraId="7936200C" w14:textId="77777777" w:rsidR="00027A64" w:rsidRPr="00AC405A" w:rsidRDefault="00027A64" w:rsidP="00027A64">
      <w:pPr>
        <w:jc w:val="both"/>
        <w:rPr>
          <w:rFonts w:ascii="Times New Roman" w:hAnsi="Times New Roman" w:cs="Times New Roman"/>
        </w:rPr>
      </w:pPr>
      <w:r w:rsidRPr="00AC405A">
        <w:rPr>
          <w:rFonts w:ascii="Times New Roman" w:hAnsi="Times New Roman" w:cs="Times New Roman"/>
        </w:rPr>
        <w:t>Test positivity was defined as the proportion of positive results among all conducted tests. Missing positivity results were assumed to be missing not at random (MNAR), potentially corresponding to negative findings; this limitation was noted in interpretation.</w:t>
      </w:r>
    </w:p>
    <w:p w14:paraId="2C78673E" w14:textId="77777777" w:rsidR="00027A64" w:rsidRPr="00AC405A" w:rsidRDefault="00027A64" w:rsidP="00027A64">
      <w:pPr>
        <w:jc w:val="both"/>
        <w:rPr>
          <w:rFonts w:ascii="Times New Roman" w:hAnsi="Times New Roman" w:cs="Times New Roman"/>
          <w:b/>
          <w:bCs/>
        </w:rPr>
      </w:pPr>
      <w:r w:rsidRPr="00AC405A">
        <w:rPr>
          <w:rFonts w:ascii="Times New Roman" w:hAnsi="Times New Roman" w:cs="Times New Roman"/>
          <w:b/>
          <w:bCs/>
        </w:rPr>
        <w:t>Treatment Variables</w:t>
      </w:r>
    </w:p>
    <w:p w14:paraId="221D8B2B" w14:textId="77777777" w:rsidR="00027A64" w:rsidRPr="00452ED7" w:rsidRDefault="00027A64" w:rsidP="00027A64">
      <w:pPr>
        <w:jc w:val="both"/>
        <w:rPr>
          <w:rFonts w:ascii="Times New Roman" w:hAnsi="Times New Roman" w:cs="Times New Roman"/>
        </w:rPr>
      </w:pPr>
      <w:r w:rsidRPr="00AC405A">
        <w:rPr>
          <w:rFonts w:ascii="Times New Roman" w:hAnsi="Times New Roman" w:cs="Times New Roman"/>
        </w:rPr>
        <w:t xml:space="preserve">For treatment, </w:t>
      </w:r>
      <w:r w:rsidRPr="00452ED7">
        <w:rPr>
          <w:rFonts w:ascii="Times New Roman" w:hAnsi="Times New Roman" w:cs="Times New Roman"/>
        </w:rPr>
        <w:t>m</w:t>
      </w:r>
      <w:r w:rsidRPr="00AC405A">
        <w:rPr>
          <w:rFonts w:ascii="Times New Roman" w:hAnsi="Times New Roman" w:cs="Times New Roman"/>
        </w:rPr>
        <w:t>edian</w:t>
      </w:r>
      <w:r w:rsidRPr="00452ED7">
        <w:rPr>
          <w:rFonts w:ascii="Times New Roman" w:hAnsi="Times New Roman" w:cs="Times New Roman"/>
        </w:rPr>
        <w:t>, IQR,</w:t>
      </w:r>
      <w:r w:rsidRPr="00AC405A">
        <w:rPr>
          <w:rFonts w:ascii="Times New Roman" w:hAnsi="Times New Roman" w:cs="Times New Roman"/>
        </w:rPr>
        <w:t xml:space="preserve"> and mean waiting times were computed</w:t>
      </w:r>
      <w:r w:rsidRPr="00452ED7">
        <w:rPr>
          <w:rFonts w:ascii="Times New Roman" w:hAnsi="Times New Roman" w:cs="Times New Roman"/>
        </w:rPr>
        <w:t xml:space="preserve"> for patients who had both request and completion dates</w:t>
      </w:r>
      <w:r w:rsidRPr="00AC405A">
        <w:rPr>
          <w:rFonts w:ascii="Times New Roman" w:hAnsi="Times New Roman" w:cs="Times New Roman"/>
        </w:rPr>
        <w:t>.</w:t>
      </w:r>
      <w:r w:rsidRPr="00452ED7">
        <w:rPr>
          <w:rFonts w:ascii="Times New Roman" w:hAnsi="Times New Roman" w:cs="Times New Roman"/>
        </w:rPr>
        <w:t xml:space="preserve"> </w:t>
      </w:r>
    </w:p>
    <w:p w14:paraId="6270BBB3" w14:textId="77777777" w:rsidR="00027A64" w:rsidRPr="00AC405A" w:rsidRDefault="00027A64" w:rsidP="00027A64">
      <w:pPr>
        <w:jc w:val="both"/>
        <w:rPr>
          <w:rFonts w:ascii="Times New Roman" w:hAnsi="Times New Roman" w:cs="Times New Roman"/>
        </w:rPr>
      </w:pPr>
      <w:r w:rsidRPr="00452ED7">
        <w:rPr>
          <w:rFonts w:ascii="Times New Roman" w:hAnsi="Times New Roman" w:cs="Times New Roman"/>
        </w:rPr>
        <w:t>Durations were calculated only for patients with valid data, excluding missing or implausible values. To avoid capturing ongoing or incomplete treatments, we included only patients whose last treatment date occurred at least 60 days before their last recorded visit.</w:t>
      </w:r>
    </w:p>
    <w:p w14:paraId="19DD9C05" w14:textId="77777777" w:rsidR="00027A64" w:rsidRPr="00AC405A" w:rsidRDefault="00027A64" w:rsidP="00027A64">
      <w:pPr>
        <w:jc w:val="both"/>
        <w:rPr>
          <w:rFonts w:ascii="Times New Roman" w:hAnsi="Times New Roman" w:cs="Times New Roman"/>
        </w:rPr>
      </w:pPr>
      <w:r w:rsidRPr="00452ED7">
        <w:rPr>
          <w:rFonts w:ascii="Times New Roman" w:hAnsi="Times New Roman" w:cs="Times New Roman"/>
        </w:rPr>
        <w:t>For hormonal therapy, d</w:t>
      </w:r>
      <w:r w:rsidRPr="00AC405A">
        <w:rPr>
          <w:rFonts w:ascii="Times New Roman" w:hAnsi="Times New Roman" w:cs="Times New Roman"/>
        </w:rPr>
        <w:t>iscontinuation was defined as the difference between the start date and either discontinuation date or (if missing) the last follow-up date.</w:t>
      </w:r>
      <w:r w:rsidRPr="00452ED7">
        <w:rPr>
          <w:rFonts w:ascii="Times New Roman" w:hAnsi="Times New Roman" w:cs="Times New Roman"/>
        </w:rPr>
        <w:t xml:space="preserve"> The duration of hormonal and targeted therapy was estimated for all women who received these treatments, without adjustment for the timing of their last visit. As such, these results reflect current treatment duration rather than compliance</w:t>
      </w:r>
    </w:p>
    <w:p w14:paraId="65B7250F" w14:textId="77777777" w:rsidR="00027A64" w:rsidRPr="00452ED7" w:rsidRDefault="00027A64" w:rsidP="00027A64">
      <w:pPr>
        <w:pStyle w:val="Heading2"/>
        <w:jc w:val="both"/>
        <w:rPr>
          <w:rFonts w:cs="Times New Roman"/>
          <w:szCs w:val="24"/>
        </w:rPr>
      </w:pPr>
      <w:r w:rsidRPr="00452ED7">
        <w:rPr>
          <w:rFonts w:cs="Times New Roman"/>
          <w:szCs w:val="24"/>
        </w:rPr>
        <w:t>Follow-Up Outcomes and Survival</w:t>
      </w:r>
    </w:p>
    <w:p w14:paraId="3E15A7F6" w14:textId="77777777" w:rsidR="00027A64" w:rsidRPr="00AC405A" w:rsidRDefault="00027A64" w:rsidP="00027A64">
      <w:pPr>
        <w:jc w:val="both"/>
        <w:rPr>
          <w:rFonts w:ascii="Times New Roman" w:hAnsi="Times New Roman" w:cs="Times New Roman"/>
        </w:rPr>
      </w:pPr>
      <w:r w:rsidRPr="00AC405A">
        <w:rPr>
          <w:rFonts w:ascii="Times New Roman" w:hAnsi="Times New Roman" w:cs="Times New Roman"/>
        </w:rPr>
        <w:t>The time between the last two recorded follow-up visits was computed for each patient. In cases where the recorded order of dates resulted in negative values, the sequence was reversed to correct likely entry errors. Differences in mean and median follow-up intervals between relapsed and non-relapsed patients were explored descriptively.</w:t>
      </w:r>
    </w:p>
    <w:p w14:paraId="5FD95757" w14:textId="77777777" w:rsidR="00027A64" w:rsidRPr="00452ED7" w:rsidRDefault="00027A64" w:rsidP="00027A64">
      <w:pPr>
        <w:jc w:val="both"/>
        <w:rPr>
          <w:rFonts w:ascii="Times New Roman" w:hAnsi="Times New Roman" w:cs="Times New Roman"/>
        </w:rPr>
      </w:pPr>
      <w:r w:rsidRPr="00452ED7">
        <w:rPr>
          <w:rFonts w:ascii="Times New Roman" w:hAnsi="Times New Roman" w:cs="Times New Roman"/>
        </w:rPr>
        <w:t xml:space="preserve">Overall survival (OS) and progression-free survival (PFS) were estimated using the Kaplan–Meier (KM) method, implemented in R (version X.X.X) with the survival and </w:t>
      </w:r>
      <w:proofErr w:type="spellStart"/>
      <w:r w:rsidRPr="00452ED7">
        <w:rPr>
          <w:rFonts w:ascii="Times New Roman" w:hAnsi="Times New Roman" w:cs="Times New Roman"/>
        </w:rPr>
        <w:t>survminer</w:t>
      </w:r>
      <w:proofErr w:type="spellEnd"/>
      <w:r w:rsidRPr="00452ED7">
        <w:rPr>
          <w:rFonts w:ascii="Times New Roman" w:hAnsi="Times New Roman" w:cs="Times New Roman"/>
        </w:rPr>
        <w:t xml:space="preserve"> packages. For each patient, the date of diagnosis, date of death, and date of last visit were converted to standard date formats (YYYY-MM-DD). Survival time was defined as the number of days from the date of diagnosis to either death (event = 1) or last recorded follow-up (event = 0, censored). The cohort was restricted to patients diagnosed between 2019 and 2022 to ensure consistent follow-up periods. KM survival functions were fitted using the </w:t>
      </w:r>
      <w:proofErr w:type="spellStart"/>
      <w:proofErr w:type="gramStart"/>
      <w:r w:rsidRPr="00452ED7">
        <w:rPr>
          <w:rFonts w:ascii="Times New Roman" w:hAnsi="Times New Roman" w:cs="Times New Roman"/>
        </w:rPr>
        <w:t>survfit</w:t>
      </w:r>
      <w:proofErr w:type="spellEnd"/>
      <w:r w:rsidRPr="00452ED7">
        <w:rPr>
          <w:rFonts w:ascii="Times New Roman" w:hAnsi="Times New Roman" w:cs="Times New Roman"/>
        </w:rPr>
        <w:t>(</w:t>
      </w:r>
      <w:proofErr w:type="gramEnd"/>
      <w:r w:rsidRPr="00452ED7">
        <w:rPr>
          <w:rFonts w:ascii="Times New Roman" w:hAnsi="Times New Roman" w:cs="Times New Roman"/>
        </w:rPr>
        <w:t>) function with no covariates (</w:t>
      </w:r>
      <w:proofErr w:type="spellStart"/>
      <w:proofErr w:type="gramStart"/>
      <w:r w:rsidRPr="00452ED7">
        <w:rPr>
          <w:rFonts w:ascii="Times New Roman" w:hAnsi="Times New Roman" w:cs="Times New Roman"/>
        </w:rPr>
        <w:t>Surv</w:t>
      </w:r>
      <w:proofErr w:type="spellEnd"/>
      <w:r w:rsidRPr="00452ED7">
        <w:rPr>
          <w:rFonts w:ascii="Times New Roman" w:hAnsi="Times New Roman" w:cs="Times New Roman"/>
        </w:rPr>
        <w:t>(</w:t>
      </w:r>
      <w:proofErr w:type="spellStart"/>
      <w:proofErr w:type="gramEnd"/>
      <w:r w:rsidRPr="00452ED7">
        <w:rPr>
          <w:rFonts w:ascii="Times New Roman" w:hAnsi="Times New Roman" w:cs="Times New Roman"/>
        </w:rPr>
        <w:t>Time_days</w:t>
      </w:r>
      <w:proofErr w:type="spellEnd"/>
      <w:r w:rsidRPr="00452ED7">
        <w:rPr>
          <w:rFonts w:ascii="Times New Roman" w:hAnsi="Times New Roman" w:cs="Times New Roman"/>
        </w:rPr>
        <w:t xml:space="preserve">, </w:t>
      </w:r>
      <w:proofErr w:type="spellStart"/>
      <w:r w:rsidRPr="00452ED7">
        <w:rPr>
          <w:rFonts w:ascii="Times New Roman" w:hAnsi="Times New Roman" w:cs="Times New Roman"/>
        </w:rPr>
        <w:t>Status_dead</w:t>
      </w:r>
      <w:proofErr w:type="spellEnd"/>
      <w:r w:rsidRPr="00452ED7">
        <w:rPr>
          <w:rFonts w:ascii="Times New Roman" w:hAnsi="Times New Roman" w:cs="Times New Roman"/>
        </w:rPr>
        <w:t xml:space="preserve">) ~ 1), providing non-parametric estimates of the survivor function. Survival probabilities were summarized at 1, 3, and 5 years (365, 1095, and 1825 days). Confidence intervals for the survival function were calculated using Greenwood’s formula, and curves were visualized with 95% confidence bands and risk tables using </w:t>
      </w:r>
      <w:proofErr w:type="spellStart"/>
      <w:proofErr w:type="gramStart"/>
      <w:r w:rsidRPr="00452ED7">
        <w:rPr>
          <w:rFonts w:ascii="Times New Roman" w:hAnsi="Times New Roman" w:cs="Times New Roman"/>
        </w:rPr>
        <w:t>ggsurvplot</w:t>
      </w:r>
      <w:proofErr w:type="spellEnd"/>
      <w:r w:rsidRPr="00452ED7">
        <w:rPr>
          <w:rFonts w:ascii="Times New Roman" w:hAnsi="Times New Roman" w:cs="Times New Roman"/>
        </w:rPr>
        <w:t>(</w:t>
      </w:r>
      <w:proofErr w:type="gramEnd"/>
      <w:r w:rsidRPr="00452ED7">
        <w:rPr>
          <w:rFonts w:ascii="Times New Roman" w:hAnsi="Times New Roman" w:cs="Times New Roman"/>
        </w:rPr>
        <w:t>).</w:t>
      </w:r>
    </w:p>
    <w:p w14:paraId="2FF88FAE" w14:textId="77777777" w:rsidR="00027A64" w:rsidRPr="00452ED7" w:rsidRDefault="00027A64" w:rsidP="00027A64">
      <w:pPr>
        <w:jc w:val="both"/>
        <w:rPr>
          <w:rFonts w:ascii="Times New Roman" w:hAnsi="Times New Roman" w:cs="Times New Roman"/>
        </w:rPr>
      </w:pPr>
      <w:r w:rsidRPr="00452ED7">
        <w:rPr>
          <w:rFonts w:ascii="Times New Roman" w:hAnsi="Times New Roman" w:cs="Times New Roman"/>
        </w:rPr>
        <w:t xml:space="preserve">For progression-free survival (PFS), the event was defined as either disease progression, relapse, metastatic recurrence, or death from any cause, coded as </w:t>
      </w:r>
      <w:proofErr w:type="spellStart"/>
      <w:r w:rsidRPr="00452ED7">
        <w:rPr>
          <w:rFonts w:ascii="Times New Roman" w:hAnsi="Times New Roman" w:cs="Times New Roman"/>
        </w:rPr>
        <w:t>Event_PFS</w:t>
      </w:r>
      <w:proofErr w:type="spellEnd"/>
      <w:r w:rsidRPr="00452ED7">
        <w:rPr>
          <w:rFonts w:ascii="Times New Roman" w:hAnsi="Times New Roman" w:cs="Times New Roman"/>
        </w:rPr>
        <w:t xml:space="preserve"> = 1. Patients </w:t>
      </w:r>
      <w:r w:rsidRPr="00452ED7">
        <w:rPr>
          <w:rFonts w:ascii="Times New Roman" w:hAnsi="Times New Roman" w:cs="Times New Roman"/>
        </w:rPr>
        <w:lastRenderedPageBreak/>
        <w:t>without such events were censored at the date of their last recorded follow-up. The time-to-event variable (</w:t>
      </w:r>
      <w:proofErr w:type="spellStart"/>
      <w:r w:rsidRPr="00452ED7">
        <w:rPr>
          <w:rFonts w:ascii="Times New Roman" w:hAnsi="Times New Roman" w:cs="Times New Roman"/>
        </w:rPr>
        <w:t>Time_PFS_days</w:t>
      </w:r>
      <w:proofErr w:type="spellEnd"/>
      <w:r w:rsidRPr="00452ED7">
        <w:rPr>
          <w:rFonts w:ascii="Times New Roman" w:hAnsi="Times New Roman" w:cs="Times New Roman"/>
        </w:rPr>
        <w:t xml:space="preserve">) was calculated as the number of days between diagnosis and either event or censoring. </w:t>
      </w:r>
      <w:proofErr w:type="gramStart"/>
      <w:r w:rsidRPr="00452ED7">
        <w:rPr>
          <w:rFonts w:ascii="Times New Roman" w:hAnsi="Times New Roman" w:cs="Times New Roman"/>
        </w:rPr>
        <w:t>Similar to</w:t>
      </w:r>
      <w:proofErr w:type="gramEnd"/>
      <w:r w:rsidRPr="00452ED7">
        <w:rPr>
          <w:rFonts w:ascii="Times New Roman" w:hAnsi="Times New Roman" w:cs="Times New Roman"/>
        </w:rPr>
        <w:t xml:space="preserve"> OS, KM estimates of the PFS function were generated using </w:t>
      </w:r>
      <w:proofErr w:type="spellStart"/>
      <w:proofErr w:type="gramStart"/>
      <w:r w:rsidRPr="00452ED7">
        <w:rPr>
          <w:rFonts w:ascii="Times New Roman" w:hAnsi="Times New Roman" w:cs="Times New Roman"/>
        </w:rPr>
        <w:t>survfit</w:t>
      </w:r>
      <w:proofErr w:type="spellEnd"/>
      <w:r w:rsidRPr="00452ED7">
        <w:rPr>
          <w:rFonts w:ascii="Times New Roman" w:hAnsi="Times New Roman" w:cs="Times New Roman"/>
        </w:rPr>
        <w:t>(</w:t>
      </w:r>
      <w:proofErr w:type="gramEnd"/>
      <w:r w:rsidRPr="00452ED7">
        <w:rPr>
          <w:rFonts w:ascii="Times New Roman" w:hAnsi="Times New Roman" w:cs="Times New Roman"/>
        </w:rPr>
        <w:t>), with summary probabilities at 1, 3, and 5 years. PFS curves were plotted with 95% confidence intervals and accompanying risk tables to display the number of patients at risk at each time point.</w:t>
      </w:r>
    </w:p>
    <w:p w14:paraId="6DACCF57" w14:textId="77777777" w:rsidR="00027A64" w:rsidRPr="00AC405A" w:rsidRDefault="00027A64" w:rsidP="00027A64">
      <w:pPr>
        <w:jc w:val="both"/>
        <w:rPr>
          <w:rFonts w:ascii="Times New Roman" w:hAnsi="Times New Roman" w:cs="Times New Roman"/>
        </w:rPr>
      </w:pPr>
      <w:r w:rsidRPr="00452ED7">
        <w:rPr>
          <w:rFonts w:ascii="Times New Roman" w:hAnsi="Times New Roman" w:cs="Times New Roman"/>
        </w:rPr>
        <w:t xml:space="preserve">The KM estimator was chosen for its suitability in small samples and its non-parametric treatment of censored data, allowing survival probabilities to be estimated without distributional assumptions. Although formal covariate adjustment (e.g., Cox proportional hazards </w:t>
      </w:r>
      <w:proofErr w:type="spellStart"/>
      <w:r w:rsidRPr="00452ED7">
        <w:rPr>
          <w:rFonts w:ascii="Times New Roman" w:hAnsi="Times New Roman" w:cs="Times New Roman"/>
        </w:rPr>
        <w:t>modeling</w:t>
      </w:r>
      <w:proofErr w:type="spellEnd"/>
      <w:r w:rsidRPr="00452ED7">
        <w:rPr>
          <w:rFonts w:ascii="Times New Roman" w:hAnsi="Times New Roman" w:cs="Times New Roman"/>
        </w:rPr>
        <w:t>) was not performed due to limited sample size and missing data, the KM curves provide an empirical description of survival and progression patterns in this cohort.</w:t>
      </w:r>
    </w:p>
    <w:p w14:paraId="199B213D" w14:textId="77777777" w:rsidR="00027A64" w:rsidRPr="00452ED7" w:rsidRDefault="00027A64" w:rsidP="00027A64">
      <w:pPr>
        <w:pStyle w:val="Heading2"/>
        <w:jc w:val="both"/>
        <w:rPr>
          <w:rFonts w:cs="Times New Roman"/>
          <w:szCs w:val="24"/>
        </w:rPr>
      </w:pPr>
      <w:r w:rsidRPr="00452ED7">
        <w:rPr>
          <w:rFonts w:cs="Times New Roman"/>
          <w:szCs w:val="24"/>
        </w:rPr>
        <w:t>Data and Code Availability</w:t>
      </w:r>
    </w:p>
    <w:p w14:paraId="6F56D289" w14:textId="77777777" w:rsidR="00027A64" w:rsidRPr="00452ED7" w:rsidRDefault="00027A64" w:rsidP="00027A64">
      <w:pPr>
        <w:jc w:val="both"/>
        <w:rPr>
          <w:rFonts w:ascii="Times New Roman" w:hAnsi="Times New Roman" w:cs="Times New Roman"/>
        </w:rPr>
      </w:pPr>
      <w:r w:rsidRPr="00AC405A">
        <w:rPr>
          <w:rFonts w:ascii="Times New Roman" w:hAnsi="Times New Roman" w:cs="Times New Roman"/>
        </w:rPr>
        <w:t xml:space="preserve">All data cleaning and analytical scripts were implemented in R and are available </w:t>
      </w:r>
      <w:r w:rsidRPr="00452ED7">
        <w:rPr>
          <w:rFonts w:ascii="Times New Roman" w:hAnsi="Times New Roman" w:cs="Times New Roman"/>
        </w:rPr>
        <w:t xml:space="preserve">in the open access </w:t>
      </w:r>
      <w:proofErr w:type="spellStart"/>
      <w:r w:rsidRPr="00452ED7">
        <w:rPr>
          <w:rFonts w:ascii="Times New Roman" w:hAnsi="Times New Roman" w:cs="Times New Roman"/>
        </w:rPr>
        <w:t>GiT</w:t>
      </w:r>
      <w:proofErr w:type="spellEnd"/>
      <w:r w:rsidRPr="00452ED7">
        <w:rPr>
          <w:rFonts w:ascii="Times New Roman" w:hAnsi="Times New Roman" w:cs="Times New Roman"/>
        </w:rPr>
        <w:t xml:space="preserve"> platform [add access here]</w:t>
      </w:r>
      <w:r w:rsidRPr="00AC405A">
        <w:rPr>
          <w:rFonts w:ascii="Times New Roman" w:hAnsi="Times New Roman" w:cs="Times New Roman"/>
        </w:rPr>
        <w:t xml:space="preserve">. Access to the underlying dataset </w:t>
      </w:r>
      <w:r w:rsidRPr="00452ED7">
        <w:rPr>
          <w:rFonts w:ascii="Times New Roman" w:hAnsi="Times New Roman" w:cs="Times New Roman"/>
        </w:rPr>
        <w:t>may be potentially</w:t>
      </w:r>
      <w:r w:rsidRPr="00AC405A">
        <w:rPr>
          <w:rFonts w:ascii="Times New Roman" w:hAnsi="Times New Roman" w:cs="Times New Roman"/>
        </w:rPr>
        <w:t xml:space="preserve"> provided in deidentified form, subject to institutional and ethical approvals from the University Clinical Center of Sarajevo.</w:t>
      </w:r>
    </w:p>
    <w:p w14:paraId="70D7C681" w14:textId="77777777" w:rsidR="00027A64" w:rsidRDefault="00027A64" w:rsidP="00027A64">
      <w:pPr>
        <w:jc w:val="both"/>
        <w:rPr>
          <w:rFonts w:ascii="Times New Roman" w:eastAsiaTheme="majorEastAsia" w:hAnsi="Times New Roman" w:cs="Times New Roman"/>
          <w:b/>
        </w:rPr>
      </w:pPr>
      <w:r>
        <w:rPr>
          <w:rFonts w:cs="Times New Roman"/>
        </w:rPr>
        <w:br w:type="page"/>
      </w:r>
    </w:p>
    <w:p w14:paraId="20E74311" w14:textId="77777777" w:rsidR="00027A64" w:rsidRPr="00452ED7" w:rsidRDefault="00027A64" w:rsidP="00027A64">
      <w:pPr>
        <w:pStyle w:val="Heading1"/>
        <w:jc w:val="both"/>
        <w:rPr>
          <w:rFonts w:cs="Times New Roman"/>
          <w:szCs w:val="24"/>
        </w:rPr>
      </w:pPr>
      <w:r w:rsidRPr="00452ED7">
        <w:rPr>
          <w:rFonts w:cs="Times New Roman"/>
          <w:szCs w:val="24"/>
        </w:rPr>
        <w:lastRenderedPageBreak/>
        <w:t>Supplementary 2. Description of the missing values</w:t>
      </w:r>
    </w:p>
    <w:p w14:paraId="6304B4EC" w14:textId="77777777" w:rsidR="00027A64" w:rsidRPr="00452ED7" w:rsidRDefault="00027A64" w:rsidP="00027A64">
      <w:pPr>
        <w:jc w:val="both"/>
        <w:rPr>
          <w:rFonts w:ascii="Times New Roman" w:hAnsi="Times New Roman" w:cs="Times New Roman"/>
        </w:rPr>
      </w:pPr>
      <w:r w:rsidRPr="00452ED7">
        <w:rPr>
          <w:rFonts w:ascii="Times New Roman" w:hAnsi="Times New Roman" w:cs="Times New Roman"/>
        </w:rPr>
        <w:t>The proportion of patients with missing data for specific variables is presented in Figures S1–S4. These missing values do not necessarily indicate absent information; rather, they represent a combination of truly missing data and cases in which the patient did not undergo the corresponding procedure.</w:t>
      </w:r>
    </w:p>
    <w:p w14:paraId="469DA218" w14:textId="77777777" w:rsidR="00027A64" w:rsidRPr="00452ED7" w:rsidRDefault="00027A64" w:rsidP="00027A64">
      <w:pPr>
        <w:pStyle w:val="Heading2"/>
        <w:jc w:val="both"/>
        <w:rPr>
          <w:rFonts w:cs="Times New Roman"/>
          <w:szCs w:val="24"/>
        </w:rPr>
      </w:pPr>
      <w:r w:rsidRPr="00452ED7">
        <w:rPr>
          <w:rFonts w:cs="Times New Roman"/>
          <w:noProof/>
          <w:szCs w:val="24"/>
          <w:lang w:val="en-US" w:eastAsia="en-US"/>
        </w:rPr>
        <w:drawing>
          <wp:anchor distT="0" distB="0" distL="114300" distR="114300" simplePos="0" relativeHeight="251659264" behindDoc="0" locked="0" layoutInCell="1" allowOverlap="1" wp14:anchorId="5599F054" wp14:editId="0DA59FD5">
            <wp:simplePos x="0" y="0"/>
            <wp:positionH relativeFrom="column">
              <wp:posOffset>0</wp:posOffset>
            </wp:positionH>
            <wp:positionV relativeFrom="paragraph">
              <wp:posOffset>300990</wp:posOffset>
            </wp:positionV>
            <wp:extent cx="3538220" cy="3147060"/>
            <wp:effectExtent l="0" t="0" r="5080" b="0"/>
            <wp:wrapTopAndBottom/>
            <wp:docPr id="1539831994" name="Picture 1" descr="A graph of a number of missing values  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9831994" name="Picture 1" descr="A graph of a number of missing values  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3538220" cy="3147060"/>
                    </a:xfrm>
                    <a:prstGeom prst="rect">
                      <a:avLst/>
                    </a:prstGeom>
                  </pic:spPr>
                </pic:pic>
              </a:graphicData>
            </a:graphic>
          </wp:anchor>
        </w:drawing>
      </w:r>
      <w:r w:rsidRPr="00452ED7">
        <w:rPr>
          <w:rFonts w:cs="Times New Roman"/>
          <w:szCs w:val="24"/>
        </w:rPr>
        <w:t>Figure S1. Proportion of missing variables in the group 1</w:t>
      </w:r>
    </w:p>
    <w:p w14:paraId="28603CD3" w14:textId="77777777" w:rsidR="00027A64" w:rsidRPr="00452ED7" w:rsidRDefault="00027A64" w:rsidP="00027A64">
      <w:pPr>
        <w:pStyle w:val="Heading2"/>
        <w:jc w:val="both"/>
        <w:rPr>
          <w:rFonts w:cs="Times New Roman"/>
          <w:szCs w:val="24"/>
        </w:rPr>
      </w:pPr>
      <w:r w:rsidRPr="00452ED7">
        <w:rPr>
          <w:rFonts w:cs="Times New Roman"/>
          <w:szCs w:val="24"/>
        </w:rPr>
        <w:t xml:space="preserve"> Figure S2. Proportion of missing variables in the group 2</w:t>
      </w:r>
    </w:p>
    <w:p w14:paraId="0F0A36C8" w14:textId="77777777" w:rsidR="00027A64" w:rsidRPr="00452ED7" w:rsidRDefault="00027A64" w:rsidP="00027A64">
      <w:pPr>
        <w:jc w:val="both"/>
        <w:rPr>
          <w:rFonts w:ascii="Times New Roman" w:hAnsi="Times New Roman" w:cs="Times New Roman"/>
        </w:rPr>
      </w:pPr>
    </w:p>
    <w:p w14:paraId="15E45F1D" w14:textId="77777777" w:rsidR="00027A64" w:rsidRPr="00452ED7" w:rsidRDefault="00027A64" w:rsidP="00027A64">
      <w:pPr>
        <w:jc w:val="both"/>
        <w:rPr>
          <w:rFonts w:ascii="Times New Roman" w:hAnsi="Times New Roman" w:cs="Times New Roman"/>
        </w:rPr>
      </w:pPr>
      <w:r w:rsidRPr="00452ED7">
        <w:rPr>
          <w:rFonts w:ascii="Times New Roman" w:hAnsi="Times New Roman" w:cs="Times New Roman"/>
          <w:noProof/>
          <w:lang w:val="en-US" w:eastAsia="en-US"/>
        </w:rPr>
        <w:drawing>
          <wp:inline distT="0" distB="0" distL="0" distR="0" wp14:anchorId="25F175A3" wp14:editId="3B3ABE17">
            <wp:extent cx="3612383" cy="3116912"/>
            <wp:effectExtent l="0" t="0" r="7620" b="7620"/>
            <wp:docPr id="1584393420" name="Picture 1" descr="A graph of missing values  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4393420" name="Picture 1" descr="A graph of missing values  AI-generated content may be incorrect."/>
                    <pic:cNvPicPr/>
                  </pic:nvPicPr>
                  <pic:blipFill>
                    <a:blip r:embed="rId6" cstate="print"/>
                    <a:stretch>
                      <a:fillRect/>
                    </a:stretch>
                  </pic:blipFill>
                  <pic:spPr>
                    <a:xfrm>
                      <a:off x="0" y="0"/>
                      <a:ext cx="3640750" cy="3141388"/>
                    </a:xfrm>
                    <a:prstGeom prst="rect">
                      <a:avLst/>
                    </a:prstGeom>
                  </pic:spPr>
                </pic:pic>
              </a:graphicData>
            </a:graphic>
          </wp:inline>
        </w:drawing>
      </w:r>
    </w:p>
    <w:p w14:paraId="7521A7CF" w14:textId="77777777" w:rsidR="00027A64" w:rsidRPr="00452ED7" w:rsidRDefault="00027A64" w:rsidP="00027A64">
      <w:pPr>
        <w:jc w:val="both"/>
        <w:rPr>
          <w:rFonts w:ascii="Times New Roman" w:hAnsi="Times New Roman" w:cs="Times New Roman"/>
        </w:rPr>
      </w:pPr>
    </w:p>
    <w:p w14:paraId="272FACF5" w14:textId="77777777" w:rsidR="00027A64" w:rsidRPr="00452ED7" w:rsidRDefault="00027A64" w:rsidP="00027A64">
      <w:pPr>
        <w:pStyle w:val="Heading2"/>
        <w:jc w:val="both"/>
        <w:rPr>
          <w:rFonts w:cs="Times New Roman"/>
          <w:szCs w:val="24"/>
        </w:rPr>
      </w:pPr>
      <w:r w:rsidRPr="00452ED7">
        <w:rPr>
          <w:rFonts w:cs="Times New Roman"/>
          <w:szCs w:val="24"/>
        </w:rPr>
        <w:t>Figure S3. Proportion of missing variables in the group 3</w:t>
      </w:r>
    </w:p>
    <w:p w14:paraId="6B0AF71D" w14:textId="77777777" w:rsidR="00027A64" w:rsidRPr="00452ED7" w:rsidRDefault="00027A64" w:rsidP="00027A64">
      <w:pPr>
        <w:jc w:val="both"/>
        <w:rPr>
          <w:rFonts w:ascii="Times New Roman" w:hAnsi="Times New Roman" w:cs="Times New Roman"/>
        </w:rPr>
      </w:pPr>
      <w:r w:rsidRPr="00452ED7">
        <w:rPr>
          <w:rFonts w:ascii="Times New Roman" w:hAnsi="Times New Roman" w:cs="Times New Roman"/>
          <w:noProof/>
          <w:lang w:val="en-US" w:eastAsia="en-US"/>
        </w:rPr>
        <w:drawing>
          <wp:inline distT="0" distB="0" distL="0" distR="0" wp14:anchorId="579B43F5" wp14:editId="7A8AF268">
            <wp:extent cx="4015409" cy="3490016"/>
            <wp:effectExtent l="0" t="0" r="4445" b="0"/>
            <wp:docPr id="6204915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0491567" name=""/>
                    <pic:cNvPicPr/>
                  </pic:nvPicPr>
                  <pic:blipFill>
                    <a:blip r:embed="rId7" cstate="print"/>
                    <a:stretch>
                      <a:fillRect/>
                    </a:stretch>
                  </pic:blipFill>
                  <pic:spPr>
                    <a:xfrm>
                      <a:off x="0" y="0"/>
                      <a:ext cx="4027151" cy="3500222"/>
                    </a:xfrm>
                    <a:prstGeom prst="rect">
                      <a:avLst/>
                    </a:prstGeom>
                  </pic:spPr>
                </pic:pic>
              </a:graphicData>
            </a:graphic>
          </wp:inline>
        </w:drawing>
      </w:r>
    </w:p>
    <w:p w14:paraId="1EB6F1A6" w14:textId="77777777" w:rsidR="00027A64" w:rsidRPr="00452ED7" w:rsidRDefault="00027A64" w:rsidP="00027A64">
      <w:pPr>
        <w:pStyle w:val="Heading2"/>
        <w:jc w:val="both"/>
        <w:rPr>
          <w:rFonts w:cs="Times New Roman"/>
          <w:szCs w:val="24"/>
        </w:rPr>
      </w:pPr>
      <w:r w:rsidRPr="00452ED7">
        <w:rPr>
          <w:rFonts w:cs="Times New Roman"/>
          <w:szCs w:val="24"/>
        </w:rPr>
        <w:t>Figure S4. Proportion of missing variables in the group 4</w:t>
      </w:r>
    </w:p>
    <w:p w14:paraId="6B61262C" w14:textId="77777777" w:rsidR="00027A64" w:rsidRPr="00452ED7" w:rsidRDefault="00027A64" w:rsidP="00027A64">
      <w:pPr>
        <w:jc w:val="both"/>
        <w:rPr>
          <w:rFonts w:ascii="Times New Roman" w:hAnsi="Times New Roman" w:cs="Times New Roman"/>
        </w:rPr>
      </w:pPr>
    </w:p>
    <w:p w14:paraId="09026105" w14:textId="77777777" w:rsidR="00027A64" w:rsidRPr="00452ED7" w:rsidRDefault="00027A64" w:rsidP="00027A64">
      <w:pPr>
        <w:jc w:val="both"/>
        <w:rPr>
          <w:rFonts w:ascii="Times New Roman" w:hAnsi="Times New Roman" w:cs="Times New Roman"/>
        </w:rPr>
      </w:pPr>
      <w:r w:rsidRPr="00452ED7">
        <w:rPr>
          <w:rFonts w:ascii="Times New Roman" w:hAnsi="Times New Roman" w:cs="Times New Roman"/>
          <w:noProof/>
          <w:lang w:val="en-US" w:eastAsia="en-US"/>
        </w:rPr>
        <w:drawing>
          <wp:inline distT="0" distB="0" distL="0" distR="0" wp14:anchorId="3F8268E8" wp14:editId="08FF6021">
            <wp:extent cx="4015105" cy="3475517"/>
            <wp:effectExtent l="0" t="0" r="4445" b="0"/>
            <wp:docPr id="1921218964" name="Picture 1" descr="A graph of missing values  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1218964" name="Picture 1" descr="A graph of missing values  AI-generated content may be incorrect."/>
                    <pic:cNvPicPr/>
                  </pic:nvPicPr>
                  <pic:blipFill>
                    <a:blip r:embed="rId8" cstate="print"/>
                    <a:stretch>
                      <a:fillRect/>
                    </a:stretch>
                  </pic:blipFill>
                  <pic:spPr>
                    <a:xfrm>
                      <a:off x="0" y="0"/>
                      <a:ext cx="4024813" cy="3483920"/>
                    </a:xfrm>
                    <a:prstGeom prst="rect">
                      <a:avLst/>
                    </a:prstGeom>
                  </pic:spPr>
                </pic:pic>
              </a:graphicData>
            </a:graphic>
          </wp:inline>
        </w:drawing>
      </w:r>
    </w:p>
    <w:p w14:paraId="3B50BA2F" w14:textId="77777777" w:rsidR="00027A64" w:rsidRPr="00452ED7" w:rsidRDefault="00027A64" w:rsidP="00027A64">
      <w:pPr>
        <w:jc w:val="both"/>
        <w:rPr>
          <w:rFonts w:ascii="Times New Roman" w:hAnsi="Times New Roman" w:cs="Times New Roman"/>
        </w:rPr>
      </w:pPr>
    </w:p>
    <w:p w14:paraId="23036DD9" w14:textId="77777777" w:rsidR="00027A64" w:rsidRPr="00475F70" w:rsidRDefault="00027A64" w:rsidP="00027A64">
      <w:pPr>
        <w:jc w:val="both"/>
        <w:rPr>
          <w:rFonts w:ascii="Times New Roman" w:hAnsi="Times New Roman" w:cs="Times New Roman"/>
        </w:rPr>
      </w:pPr>
    </w:p>
    <w:p w14:paraId="1BB18CFE" w14:textId="77777777" w:rsidR="00A91650" w:rsidRDefault="00A91650"/>
    <w:sectPr w:rsidR="00A9165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B7907"/>
    <w:multiLevelType w:val="multilevel"/>
    <w:tmpl w:val="B3764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4F5F78"/>
    <w:multiLevelType w:val="multilevel"/>
    <w:tmpl w:val="7F80C1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F7F73BD"/>
    <w:multiLevelType w:val="multilevel"/>
    <w:tmpl w:val="E6247BF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14A458B"/>
    <w:multiLevelType w:val="multilevel"/>
    <w:tmpl w:val="499409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EBE442E"/>
    <w:multiLevelType w:val="multilevel"/>
    <w:tmpl w:val="D76263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1469425">
    <w:abstractNumId w:val="3"/>
  </w:num>
  <w:num w:numId="2" w16cid:durableId="2081168796">
    <w:abstractNumId w:val="2"/>
  </w:num>
  <w:num w:numId="3" w16cid:durableId="528493276">
    <w:abstractNumId w:val="4"/>
  </w:num>
  <w:num w:numId="4" w16cid:durableId="1666082027">
    <w:abstractNumId w:val="1"/>
  </w:num>
  <w:num w:numId="5" w16cid:durableId="4626209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7A64"/>
    <w:rsid w:val="00027A64"/>
    <w:rsid w:val="000E2EDD"/>
    <w:rsid w:val="00A91650"/>
    <w:rsid w:val="00CC4B13"/>
    <w:rsid w:val="00E559FE"/>
    <w:rsid w:val="00E633F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4829C2"/>
  <w15:chartTrackingRefBased/>
  <w15:docId w15:val="{C1F4CC18-B0B7-4090-B481-98B4279211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7A64"/>
    <w:rPr>
      <w:rFonts w:eastAsiaTheme="minorEastAsia"/>
      <w:lang w:val="en-GB" w:eastAsia="zh-CN"/>
      <w14:ligatures w14:val="none"/>
    </w:rPr>
  </w:style>
  <w:style w:type="paragraph" w:styleId="Heading1">
    <w:name w:val="heading 1"/>
    <w:basedOn w:val="Normal"/>
    <w:next w:val="Normal"/>
    <w:link w:val="Heading1Char"/>
    <w:uiPriority w:val="9"/>
    <w:qFormat/>
    <w:rsid w:val="00027A6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027A6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27A6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27A6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27A6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27A6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27A6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27A6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27A6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7A6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027A6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27A6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27A6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27A6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27A6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27A6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27A6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27A64"/>
    <w:rPr>
      <w:rFonts w:eastAsiaTheme="majorEastAsia" w:cstheme="majorBidi"/>
      <w:color w:val="272727" w:themeColor="text1" w:themeTint="D8"/>
    </w:rPr>
  </w:style>
  <w:style w:type="paragraph" w:styleId="Title">
    <w:name w:val="Title"/>
    <w:basedOn w:val="Normal"/>
    <w:next w:val="Normal"/>
    <w:link w:val="TitleChar"/>
    <w:uiPriority w:val="10"/>
    <w:qFormat/>
    <w:rsid w:val="00027A6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27A6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27A6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27A6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27A64"/>
    <w:pPr>
      <w:spacing w:before="160"/>
      <w:jc w:val="center"/>
    </w:pPr>
    <w:rPr>
      <w:i/>
      <w:iCs/>
      <w:color w:val="404040" w:themeColor="text1" w:themeTint="BF"/>
    </w:rPr>
  </w:style>
  <w:style w:type="character" w:customStyle="1" w:styleId="QuoteChar">
    <w:name w:val="Quote Char"/>
    <w:basedOn w:val="DefaultParagraphFont"/>
    <w:link w:val="Quote"/>
    <w:uiPriority w:val="29"/>
    <w:rsid w:val="00027A64"/>
    <w:rPr>
      <w:i/>
      <w:iCs/>
      <w:color w:val="404040" w:themeColor="text1" w:themeTint="BF"/>
    </w:rPr>
  </w:style>
  <w:style w:type="paragraph" w:styleId="ListParagraph">
    <w:name w:val="List Paragraph"/>
    <w:basedOn w:val="Normal"/>
    <w:uiPriority w:val="34"/>
    <w:qFormat/>
    <w:rsid w:val="00027A64"/>
    <w:pPr>
      <w:ind w:left="720"/>
      <w:contextualSpacing/>
    </w:pPr>
  </w:style>
  <w:style w:type="character" w:styleId="IntenseEmphasis">
    <w:name w:val="Intense Emphasis"/>
    <w:basedOn w:val="DefaultParagraphFont"/>
    <w:uiPriority w:val="21"/>
    <w:qFormat/>
    <w:rsid w:val="00027A64"/>
    <w:rPr>
      <w:i/>
      <w:iCs/>
      <w:color w:val="0F4761" w:themeColor="accent1" w:themeShade="BF"/>
    </w:rPr>
  </w:style>
  <w:style w:type="paragraph" w:styleId="IntenseQuote">
    <w:name w:val="Intense Quote"/>
    <w:basedOn w:val="Normal"/>
    <w:next w:val="Normal"/>
    <w:link w:val="IntenseQuoteChar"/>
    <w:uiPriority w:val="30"/>
    <w:qFormat/>
    <w:rsid w:val="00027A6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27A64"/>
    <w:rPr>
      <w:i/>
      <w:iCs/>
      <w:color w:val="0F4761" w:themeColor="accent1" w:themeShade="BF"/>
    </w:rPr>
  </w:style>
  <w:style w:type="character" w:styleId="IntenseReference">
    <w:name w:val="Intense Reference"/>
    <w:basedOn w:val="DefaultParagraphFont"/>
    <w:uiPriority w:val="32"/>
    <w:qFormat/>
    <w:rsid w:val="00027A6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1362</Words>
  <Characters>8013</Characters>
  <Application>Microsoft Office Word</Application>
  <DocSecurity>0</DocSecurity>
  <Lines>151</Lines>
  <Paragraphs>58</Paragraphs>
  <ScaleCrop>false</ScaleCrop>
  <Company/>
  <LinksUpToDate>false</LinksUpToDate>
  <CharactersWithSpaces>9317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2026-03-12T19:33:00Z</dcterms:created>
  <dcterms:modified xsi:type="dcterms:W3CDTF">2026-03-12T19:33:00Z</dcterms:modified>
</cp:coreProperties>
</file>