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1069B" w14:textId="690682D1" w:rsidR="00001398" w:rsidRDefault="00001398" w:rsidP="008A2A13">
      <w:pPr>
        <w:widowControl w:val="0"/>
        <w:adjustRightInd/>
        <w:snapToGrid/>
        <w:spacing w:after="0" w:line="276" w:lineRule="auto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24"/>
          <w:szCs w:val="24"/>
          <w:lang w:val="en"/>
        </w:rPr>
      </w:pPr>
      <w:bookmarkStart w:id="0" w:name="_Hlk76320340"/>
      <w:bookmarkStart w:id="1" w:name="OLE_LINK2"/>
      <w:bookmarkStart w:id="2" w:name="OLE_LINK1"/>
      <w:bookmarkStart w:id="3" w:name="_Hlk81719099"/>
      <w:r w:rsidRPr="00001398"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24"/>
          <w:szCs w:val="24"/>
          <w:lang w:val="en"/>
        </w:rPr>
        <w:t>Exosome-mediated miR-7-5p delivery enhances the anticancer effect of Everolimus via blocking MNK/eIF4E axis in</w:t>
      </w:r>
      <w:r w:rsidRPr="00001398"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24"/>
          <w:szCs w:val="24"/>
        </w:rPr>
        <w:t xml:space="preserve"> non-small cell lung cancer</w:t>
      </w:r>
      <w:r w:rsidRPr="00001398"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24"/>
          <w:szCs w:val="24"/>
          <w:lang w:val="en"/>
        </w:rPr>
        <w:t xml:space="preserve"> </w:t>
      </w:r>
    </w:p>
    <w:p w14:paraId="39D57174" w14:textId="77777777" w:rsidR="00200377" w:rsidRPr="00001398" w:rsidRDefault="00200377" w:rsidP="00200377">
      <w:pPr>
        <w:widowControl w:val="0"/>
        <w:adjustRightInd/>
        <w:snapToGrid/>
        <w:spacing w:after="0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24"/>
          <w:szCs w:val="24"/>
          <w:lang w:val="en"/>
        </w:rPr>
      </w:pPr>
    </w:p>
    <w:bookmarkEnd w:id="3"/>
    <w:p w14:paraId="3D7EE1F4" w14:textId="31203B93" w:rsidR="00757B44" w:rsidRDefault="00757B44" w:rsidP="0000139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27B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bookmarkEnd w:id="0"/>
      <w:r>
        <w:rPr>
          <w:rFonts w:ascii="Times New Roman" w:hAnsi="Times New Roman" w:cs="Times New Roman"/>
          <w:b/>
          <w:sz w:val="24"/>
          <w:szCs w:val="24"/>
        </w:rPr>
        <w:t>Supporting Information</w:t>
      </w:r>
    </w:p>
    <w:p w14:paraId="47AF2049" w14:textId="77777777" w:rsidR="00757B44" w:rsidRDefault="00757B44" w:rsidP="00757B44">
      <w:pPr>
        <w:spacing w:after="16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Supplemental M</w:t>
      </w:r>
      <w:r>
        <w:rPr>
          <w:rFonts w:ascii="Times New Roman" w:hAnsi="Times New Roman" w:cs="Times New Roman" w:hint="eastAsia"/>
          <w:b/>
          <w:sz w:val="24"/>
          <w:szCs w:val="24"/>
        </w:rPr>
        <w:t>ethods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247677C6" w14:textId="77777777" w:rsidR="00757B44" w:rsidRDefault="00757B44" w:rsidP="00757B44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Reagents: </w:t>
      </w:r>
      <w:r>
        <w:rPr>
          <w:rFonts w:ascii="Times New Roman" w:hAnsi="Times New Roman" w:cs="Times New Roman"/>
          <w:sz w:val="24"/>
          <w:szCs w:val="24"/>
        </w:rPr>
        <w:t>The inhibitors and antibodies were purchased from commercial sources: mTOR inhibitor Everolimus (RAD001), Mnk1 inhibitor CGP57380, exosomes inhibitor GW4869. The synthetic miRNA probe miR-7-5p (#YD00610687) (QIAGEN, Germany), was resuspended in RNase-free water at 25 µM, probe sequence 5'-ACAACAAAATCACTAGTCTTCC-3’.</w:t>
      </w:r>
    </w:p>
    <w:p w14:paraId="2534058A" w14:textId="77777777" w:rsidR="00757B44" w:rsidRDefault="00757B44" w:rsidP="00757B44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Antibodies:</w:t>
      </w:r>
      <w:r>
        <w:rPr>
          <w:rFonts w:ascii="Times New Roman" w:hAnsi="Times New Roman" w:cs="Times New Roman"/>
          <w:sz w:val="24"/>
          <w:szCs w:val="24"/>
        </w:rPr>
        <w:t xml:space="preserve"> Anti-Mnk1 (C4C1)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anti-p-Mnk1 (Thr197/202) antibody, anti-S6 (54D2)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anti-p-S6 (S235/236)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anti-eIF4E antibody, anti-4EBP1 (53H11)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anti-p-4EBP1 (T37/46)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anti-cleaved-PARP (Asp214) antibody, anti-DR4 (D9S1R)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anti-caspase-3 (D3R6Y)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>,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Bcl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xL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(54H6)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>,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Bak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(D4E4)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>,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Bax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(D2E11)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anti-Bad (D24A9)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anti-CD9 (D3H4P)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Hamartin/TSC1 (1B2)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(Cell Signaling Technology, MA, USA); anti-TSC2 antibody (BBI, CHINA); anti-p-eIF4E (S209)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anti-CD63 antibody (Abcam, </w:t>
      </w:r>
      <w:proofErr w:type="spellStart"/>
      <w:r>
        <w:rPr>
          <w:rFonts w:ascii="Times New Roman" w:hAnsi="Times New Roman" w:cs="Times New Roman"/>
          <w:sz w:val="24"/>
          <w:szCs w:val="24"/>
        </w:rPr>
        <w:t>cambridge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UK); anti-GAPDH </w:t>
      </w:r>
      <w:proofErr w:type="spellStart"/>
      <w:r>
        <w:rPr>
          <w:rFonts w:ascii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hAnsi="Times New Roman" w:cs="Times New Roman"/>
          <w:sz w:val="24"/>
          <w:szCs w:val="24"/>
        </w:rPr>
        <w:t>, anti-α-tubulin antibody, anti-Histone-H3 antibody, anti-mTOR antibody (66888-1-IG), anti-Rab27A antibody (17817-1-AP), anti-Rab27B antibody (13412-1-AP) (</w:t>
      </w:r>
      <w:proofErr w:type="spellStart"/>
      <w:r>
        <w:rPr>
          <w:rFonts w:ascii="Times New Roman" w:hAnsi="Times New Roman" w:cs="Times New Roman"/>
          <w:sz w:val="24"/>
          <w:szCs w:val="24"/>
        </w:rPr>
        <w:t>Proteintech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Group, CHI, USA). HRP-conjugated secondary antibody (Santa Cruz) w</w:t>
      </w:r>
      <w:r>
        <w:rPr>
          <w:rFonts w:ascii="Times New Roman" w:hAnsi="Times New Roman" w:cs="Times New Roman" w:hint="eastAsia"/>
          <w:sz w:val="24"/>
          <w:szCs w:val="24"/>
        </w:rPr>
        <w:t>as</w:t>
      </w:r>
      <w:r>
        <w:rPr>
          <w:rFonts w:ascii="Times New Roman" w:hAnsi="Times New Roman" w:cs="Times New Roman"/>
          <w:sz w:val="24"/>
          <w:szCs w:val="24"/>
        </w:rPr>
        <w:t xml:space="preserve"> used as the secondary antibody.</w:t>
      </w:r>
    </w:p>
    <w:p w14:paraId="57C543B1" w14:textId="77777777" w:rsidR="00757B44" w:rsidRDefault="00757B44" w:rsidP="00757B44">
      <w:pPr>
        <w:widowControl w:val="0"/>
        <w:autoSpaceDE w:val="0"/>
        <w:autoSpaceDN w:val="0"/>
        <w:snapToGrid/>
        <w:spacing w:after="16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</w:rPr>
        <w:t xml:space="preserve">Cell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</w:rPr>
        <w:t xml:space="preserve">ine and </w:t>
      </w:r>
      <w:r>
        <w:rPr>
          <w:rFonts w:ascii="Times New Roman" w:eastAsia="Times New Roman" w:hAnsi="Times New Roman" w:cs="Times New Roman" w:hint="eastAsia"/>
          <w:b/>
          <w:bCs/>
          <w:color w:val="000000"/>
          <w:kern w:val="2"/>
          <w:sz w:val="24"/>
          <w:szCs w:val="24"/>
        </w:rPr>
        <w:t>cell culture</w:t>
      </w:r>
      <w:bookmarkStart w:id="4" w:name="OLE_LINK343"/>
      <w:bookmarkStart w:id="5" w:name="OLE_LINK344"/>
      <w:bookmarkStart w:id="6" w:name="OLE_LINK248"/>
      <w:bookmarkStart w:id="7" w:name="OLE_LINK247"/>
      <w:r>
        <w:rPr>
          <w:rFonts w:ascii="Times New Roman" w:eastAsiaTheme="minorEastAsia" w:hAnsi="Times New Roman" w:cs="Times New Roman" w:hint="eastAsia"/>
          <w:b/>
          <w:bCs/>
          <w:color w:val="000000"/>
          <w:kern w:val="2"/>
          <w:sz w:val="24"/>
          <w:szCs w:val="24"/>
        </w:rPr>
        <w:t>:</w:t>
      </w:r>
      <w:r>
        <w:rPr>
          <w:rFonts w:ascii="Times New Roman" w:eastAsiaTheme="minorEastAsia" w:hAnsi="Times New Roman" w:cs="Times New Roman"/>
          <w:b/>
          <w:bCs/>
          <w:color w:val="000000"/>
          <w:ker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human NSCLC cell lines, including A549, H157, H358, H460, H520 and SPC-A1, and immortalization of human bronchial epithelial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hBE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cells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 xml:space="preserve">were maintained in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RPMI-1640 (BI)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 xml:space="preserve">medium supplemented with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10% fetal bovine (FBS) (BI) at 37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 xml:space="preserve">℃ with </w:t>
      </w:r>
      <w:r>
        <w:rPr>
          <w:rFonts w:ascii="Times New Roman" w:eastAsia="Times New Roman" w:hAnsi="Times New Roman" w:cs="Times New Roman"/>
          <w:sz w:val="24"/>
          <w:szCs w:val="24"/>
        </w:rPr>
        <w:t>5% CO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4"/>
      <w:bookmarkEnd w:id="5"/>
    </w:p>
    <w:p w14:paraId="45C2BEDB" w14:textId="77777777" w:rsidR="00757B44" w:rsidRDefault="00757B44" w:rsidP="00757B44">
      <w:pPr>
        <w:widowControl w:val="0"/>
        <w:autoSpaceDE w:val="0"/>
        <w:autoSpaceDN w:val="0"/>
        <w:snapToGrid/>
        <w:spacing w:after="160" w:line="360" w:lineRule="auto"/>
        <w:jc w:val="both"/>
        <w:rPr>
          <w:rFonts w:ascii="Times New Roman" w:eastAsiaTheme="minorEastAsia" w:hAnsi="Times New Roman" w:cs="Times New Roman"/>
          <w:color w:val="000000"/>
          <w:kern w:val="2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bCs/>
          <w:color w:val="000000"/>
          <w:kern w:val="2"/>
          <w:sz w:val="24"/>
          <w:szCs w:val="24"/>
        </w:rPr>
        <w:t>Data Mining and Analysis</w:t>
      </w:r>
      <w:r>
        <w:rPr>
          <w:rFonts w:ascii="Times New Roman" w:eastAsiaTheme="minorEastAsia" w:hAnsi="Times New Roman" w:cs="Times New Roman" w:hint="eastAsia"/>
          <w:b/>
          <w:bCs/>
          <w:color w:val="000000"/>
          <w:kern w:val="2"/>
          <w:sz w:val="24"/>
          <w:szCs w:val="24"/>
        </w:rPr>
        <w:t>：</w:t>
      </w:r>
      <w:r>
        <w:rPr>
          <w:rFonts w:ascii="Times New Roman" w:eastAsiaTheme="minorEastAsia" w:hAnsi="Times New Roman" w:cs="Times New Roman"/>
          <w:color w:val="000000"/>
          <w:kern w:val="2"/>
          <w:sz w:val="24"/>
          <w:szCs w:val="24"/>
        </w:rPr>
        <w:t xml:space="preserve">LUSC data were obtained from the TCGA database (http://cancergenome.nih.gov/). A total of 496 LUSC tissues with gene expression profiles were </w:t>
      </w:r>
      <w:r>
        <w:rPr>
          <w:rFonts w:ascii="Times New Roman" w:eastAsia="等线" w:hAnsi="Times New Roman" w:cs="Times New Roman"/>
          <w:kern w:val="2"/>
          <w:sz w:val="24"/>
          <w:szCs w:val="24"/>
          <w:lang w:val="en"/>
        </w:rPr>
        <w:t xml:space="preserve">divided into two groups named </w:t>
      </w:r>
      <w:proofErr w:type="spellStart"/>
      <w:r>
        <w:rPr>
          <w:rFonts w:ascii="Times New Roman" w:eastAsia="等线" w:hAnsi="Times New Roman" w:cs="Times New Roman"/>
          <w:kern w:val="2"/>
          <w:sz w:val="24"/>
          <w:szCs w:val="24"/>
          <w:lang w:val="en"/>
        </w:rPr>
        <w:t>mTOR</w:t>
      </w:r>
      <w:r>
        <w:rPr>
          <w:rFonts w:ascii="Times New Roman" w:eastAsia="等线" w:hAnsi="Times New Roman" w:cs="Times New Roman"/>
          <w:kern w:val="2"/>
          <w:sz w:val="24"/>
          <w:szCs w:val="24"/>
          <w:vertAlign w:val="superscript"/>
          <w:lang w:val="en"/>
        </w:rPr>
        <w:t>low</w:t>
      </w:r>
      <w:proofErr w:type="spellEnd"/>
      <w:r>
        <w:rPr>
          <w:rFonts w:ascii="Times New Roman" w:eastAsia="等线" w:hAnsi="Times New Roman" w:cs="Times New Roman"/>
          <w:kern w:val="2"/>
          <w:sz w:val="24"/>
          <w:szCs w:val="24"/>
          <w:lang w:val="en"/>
        </w:rPr>
        <w:t xml:space="preserve"> group and </w:t>
      </w:r>
      <w:proofErr w:type="spellStart"/>
      <w:r>
        <w:rPr>
          <w:rFonts w:ascii="Times New Roman" w:eastAsia="等线" w:hAnsi="Times New Roman" w:cs="Times New Roman"/>
          <w:kern w:val="2"/>
          <w:sz w:val="24"/>
          <w:szCs w:val="24"/>
          <w:lang w:val="en"/>
        </w:rPr>
        <w:t>mTOR</w:t>
      </w:r>
      <w:r>
        <w:rPr>
          <w:rFonts w:ascii="Times New Roman" w:eastAsia="等线" w:hAnsi="Times New Roman" w:cs="Times New Roman"/>
          <w:kern w:val="2"/>
          <w:sz w:val="24"/>
          <w:szCs w:val="24"/>
          <w:vertAlign w:val="superscript"/>
          <w:lang w:val="en"/>
        </w:rPr>
        <w:t>high</w:t>
      </w:r>
      <w:proofErr w:type="spellEnd"/>
      <w:r>
        <w:rPr>
          <w:rFonts w:ascii="Times New Roman" w:eastAsia="等线" w:hAnsi="Times New Roman" w:cs="Times New Roman"/>
          <w:kern w:val="2"/>
          <w:sz w:val="24"/>
          <w:szCs w:val="24"/>
          <w:lang w:val="en"/>
        </w:rPr>
        <w:t xml:space="preserve"> group according to the mean value of mTOR level in the samples, and</w:t>
      </w:r>
      <w:r>
        <w:rPr>
          <w:rFonts w:ascii="Times New Roman" w:eastAsiaTheme="minorEastAsia" w:hAnsi="Times New Roman" w:cs="Times New Roman"/>
          <w:color w:val="000000"/>
          <w:kern w:val="2"/>
          <w:sz w:val="24"/>
          <w:szCs w:val="24"/>
        </w:rPr>
        <w:t xml:space="preserve"> analyzed the indicated genes enrichment between </w:t>
      </w:r>
      <w:bookmarkStart w:id="8" w:name="_Hlk69769154"/>
      <w:proofErr w:type="spellStart"/>
      <w:r>
        <w:rPr>
          <w:rFonts w:ascii="Times New Roman" w:eastAsiaTheme="minorEastAsia" w:hAnsi="Times New Roman" w:cs="Times New Roman"/>
          <w:color w:val="000000"/>
          <w:kern w:val="2"/>
          <w:sz w:val="24"/>
          <w:szCs w:val="24"/>
        </w:rPr>
        <w:t>m</w:t>
      </w:r>
      <w:r>
        <w:rPr>
          <w:rFonts w:ascii="Times New Roman" w:eastAsiaTheme="minorEastAsia" w:hAnsi="Times New Roman" w:cs="Times New Roman" w:hint="eastAsia"/>
          <w:color w:val="000000"/>
          <w:kern w:val="2"/>
          <w:sz w:val="24"/>
          <w:szCs w:val="24"/>
        </w:rPr>
        <w:t>TOR</w:t>
      </w:r>
      <w:r>
        <w:rPr>
          <w:rFonts w:ascii="Times New Roman" w:eastAsiaTheme="minorEastAsia" w:hAnsi="Times New Roman" w:cs="Times New Roman"/>
          <w:color w:val="000000"/>
          <w:kern w:val="2"/>
          <w:sz w:val="24"/>
          <w:szCs w:val="24"/>
          <w:vertAlign w:val="superscript"/>
        </w:rPr>
        <w:t>low</w:t>
      </w:r>
      <w:bookmarkEnd w:id="8"/>
      <w:proofErr w:type="spellEnd"/>
      <w:r>
        <w:rPr>
          <w:rFonts w:ascii="Times New Roman" w:eastAsiaTheme="minorEastAsia" w:hAnsi="Times New Roman" w:cs="Times New Roman"/>
          <w:color w:val="000000"/>
          <w:kern w:val="2"/>
          <w:sz w:val="24"/>
          <w:szCs w:val="24"/>
        </w:rPr>
        <w:t xml:space="preserve"> and </w:t>
      </w:r>
      <w:proofErr w:type="spellStart"/>
      <w:r>
        <w:rPr>
          <w:rFonts w:ascii="Times New Roman" w:eastAsiaTheme="minorEastAsia" w:hAnsi="Times New Roman" w:cs="Times New Roman"/>
          <w:color w:val="000000"/>
          <w:kern w:val="2"/>
          <w:sz w:val="24"/>
          <w:szCs w:val="24"/>
        </w:rPr>
        <w:t>mTOR</w:t>
      </w:r>
      <w:r>
        <w:rPr>
          <w:rFonts w:ascii="Times New Roman" w:eastAsiaTheme="minorEastAsia" w:hAnsi="Times New Roman" w:cs="Times New Roman"/>
          <w:color w:val="000000"/>
          <w:kern w:val="2"/>
          <w:sz w:val="24"/>
          <w:szCs w:val="24"/>
          <w:vertAlign w:val="superscript"/>
        </w:rPr>
        <w:t>high</w:t>
      </w:r>
      <w:proofErr w:type="spellEnd"/>
      <w:r>
        <w:rPr>
          <w:rFonts w:ascii="Times New Roman" w:eastAsiaTheme="minorEastAsia" w:hAnsi="Times New Roman" w:cs="Times New Roman"/>
          <w:color w:val="000000"/>
          <w:kern w:val="2"/>
          <w:sz w:val="24"/>
          <w:szCs w:val="24"/>
        </w:rPr>
        <w:t xml:space="preserve"> tissues</w:t>
      </w:r>
      <w:r>
        <w:rPr>
          <w:rFonts w:ascii="Times New Roman" w:eastAsiaTheme="minorEastAsia" w:hAnsi="Times New Roman" w:cs="Times New Roman" w:hint="eastAsia"/>
          <w:color w:val="000000"/>
          <w:kern w:val="2"/>
          <w:sz w:val="24"/>
          <w:szCs w:val="24"/>
        </w:rPr>
        <w:t>.</w:t>
      </w:r>
      <w:bookmarkEnd w:id="6"/>
      <w:bookmarkEnd w:id="7"/>
    </w:p>
    <w:p w14:paraId="5B20C46E" w14:textId="77777777" w:rsidR="00757B44" w:rsidRDefault="00757B44" w:rsidP="00757B4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S1. Primers and sequences used in this study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60"/>
        <w:gridCol w:w="6536"/>
      </w:tblGrid>
      <w:tr w:rsidR="00757B44" w14:paraId="6D31F618" w14:textId="77777777" w:rsidTr="00202416">
        <w:tc>
          <w:tcPr>
            <w:tcW w:w="1809" w:type="dxa"/>
          </w:tcPr>
          <w:p w14:paraId="131C86E1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Gene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symnol</w:t>
            </w:r>
            <w:proofErr w:type="spellEnd"/>
          </w:p>
        </w:tc>
        <w:tc>
          <w:tcPr>
            <w:tcW w:w="6713" w:type="dxa"/>
          </w:tcPr>
          <w:p w14:paraId="486F3430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Primer sequence</w:t>
            </w:r>
          </w:p>
        </w:tc>
      </w:tr>
      <w:tr w:rsidR="00757B44" w14:paraId="32BEC24F" w14:textId="77777777" w:rsidTr="00202416">
        <w:tc>
          <w:tcPr>
            <w:tcW w:w="1809" w:type="dxa"/>
          </w:tcPr>
          <w:p w14:paraId="30BADCB3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miR-7-5p</w:t>
            </w:r>
          </w:p>
        </w:tc>
        <w:tc>
          <w:tcPr>
            <w:tcW w:w="6713" w:type="dxa"/>
          </w:tcPr>
          <w:p w14:paraId="0BB17AC0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Forward: TGGAAGACTAGTGATTTTGTTGTT</w:t>
            </w:r>
          </w:p>
        </w:tc>
      </w:tr>
      <w:tr w:rsidR="00757B44" w14:paraId="13013B9B" w14:textId="77777777" w:rsidTr="00202416">
        <w:tc>
          <w:tcPr>
            <w:tcW w:w="1809" w:type="dxa"/>
          </w:tcPr>
          <w:p w14:paraId="5B313121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cel-miR-39-3p</w:t>
            </w:r>
          </w:p>
        </w:tc>
        <w:tc>
          <w:tcPr>
            <w:tcW w:w="6713" w:type="dxa"/>
          </w:tcPr>
          <w:p w14:paraId="0936B66D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Forward: TCACCGGGTGTAAATCAGCTTG</w:t>
            </w:r>
          </w:p>
        </w:tc>
      </w:tr>
      <w:tr w:rsidR="00757B44" w14:paraId="3C10AE88" w14:textId="77777777" w:rsidTr="00202416">
        <w:trPr>
          <w:trHeight w:val="143"/>
        </w:trPr>
        <w:tc>
          <w:tcPr>
            <w:tcW w:w="1809" w:type="dxa"/>
            <w:vMerge w:val="restart"/>
          </w:tcPr>
          <w:p w14:paraId="31587224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eIF4E</w:t>
            </w:r>
          </w:p>
        </w:tc>
        <w:tc>
          <w:tcPr>
            <w:tcW w:w="6713" w:type="dxa"/>
          </w:tcPr>
          <w:p w14:paraId="291F97D6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Forward: ATGTGGCGCTGTTGTTAATGT</w:t>
            </w:r>
          </w:p>
        </w:tc>
      </w:tr>
      <w:tr w:rsidR="00757B44" w14:paraId="23C3F36D" w14:textId="77777777" w:rsidTr="00202416">
        <w:trPr>
          <w:trHeight w:val="142"/>
        </w:trPr>
        <w:tc>
          <w:tcPr>
            <w:tcW w:w="1809" w:type="dxa"/>
            <w:vMerge/>
          </w:tcPr>
          <w:p w14:paraId="67045D50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13" w:type="dxa"/>
          </w:tcPr>
          <w:p w14:paraId="2D7CB1F6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Reverse: CTGCGTGGGACTGATAACCAA</w:t>
            </w:r>
          </w:p>
        </w:tc>
      </w:tr>
      <w:tr w:rsidR="00757B44" w14:paraId="3D338B37" w14:textId="77777777" w:rsidTr="00202416">
        <w:trPr>
          <w:trHeight w:val="143"/>
        </w:trPr>
        <w:tc>
          <w:tcPr>
            <w:tcW w:w="1809" w:type="dxa"/>
            <w:vMerge w:val="restart"/>
          </w:tcPr>
          <w:p w14:paraId="2F5E53E5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MKNK1</w:t>
            </w:r>
          </w:p>
        </w:tc>
        <w:tc>
          <w:tcPr>
            <w:tcW w:w="6713" w:type="dxa"/>
          </w:tcPr>
          <w:p w14:paraId="50C553FA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Forward: AGATGGGCAGTAGCGAACC</w:t>
            </w:r>
          </w:p>
        </w:tc>
      </w:tr>
      <w:tr w:rsidR="00757B44" w14:paraId="26C35EFA" w14:textId="77777777" w:rsidTr="00202416">
        <w:trPr>
          <w:trHeight w:val="142"/>
        </w:trPr>
        <w:tc>
          <w:tcPr>
            <w:tcW w:w="1809" w:type="dxa"/>
            <w:vMerge/>
          </w:tcPr>
          <w:p w14:paraId="7D709E4F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13" w:type="dxa"/>
          </w:tcPr>
          <w:p w14:paraId="64763B07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Reverse: AGCAATTCAGAGGTCAGCTTG</w:t>
            </w:r>
          </w:p>
        </w:tc>
      </w:tr>
      <w:tr w:rsidR="00757B44" w14:paraId="50A09078" w14:textId="77777777" w:rsidTr="00202416">
        <w:trPr>
          <w:trHeight w:val="143"/>
        </w:trPr>
        <w:tc>
          <w:tcPr>
            <w:tcW w:w="1809" w:type="dxa"/>
            <w:vMerge w:val="restart"/>
          </w:tcPr>
          <w:p w14:paraId="301F51B9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Actin</w:t>
            </w:r>
          </w:p>
        </w:tc>
        <w:tc>
          <w:tcPr>
            <w:tcW w:w="6713" w:type="dxa"/>
          </w:tcPr>
          <w:p w14:paraId="3C8EE2D3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Forward: GAGCTACGAGCTGCCTGACG</w:t>
            </w:r>
          </w:p>
        </w:tc>
      </w:tr>
      <w:tr w:rsidR="00757B44" w14:paraId="28901297" w14:textId="77777777" w:rsidTr="00202416">
        <w:trPr>
          <w:trHeight w:val="142"/>
        </w:trPr>
        <w:tc>
          <w:tcPr>
            <w:tcW w:w="1809" w:type="dxa"/>
            <w:vMerge/>
          </w:tcPr>
          <w:p w14:paraId="3AD320F0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13" w:type="dxa"/>
          </w:tcPr>
          <w:p w14:paraId="50A36CC1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Reverse: GTAGTTTCGTGGATGCCACAG</w:t>
            </w:r>
          </w:p>
        </w:tc>
      </w:tr>
    </w:tbl>
    <w:p w14:paraId="3A25E29A" w14:textId="77777777" w:rsidR="00757B44" w:rsidRDefault="00757B44" w:rsidP="00757B44">
      <w:pPr>
        <w:spacing w:after="16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universal primer against the stem-loop region and U6 primers Provided by Mir-X miRNA First-Strand synthesis kit (Takara).</w:t>
      </w:r>
    </w:p>
    <w:p w14:paraId="0ACD7262" w14:textId="77777777" w:rsidR="00757B44" w:rsidRDefault="00757B44" w:rsidP="00757B4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S2. siRNA sequences used in this study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94"/>
        <w:gridCol w:w="6402"/>
      </w:tblGrid>
      <w:tr w:rsidR="00757B44" w14:paraId="533C1B5D" w14:textId="77777777" w:rsidTr="00202416">
        <w:tc>
          <w:tcPr>
            <w:tcW w:w="1951" w:type="dxa"/>
          </w:tcPr>
          <w:p w14:paraId="06A9D6D2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1" w:type="dxa"/>
          </w:tcPr>
          <w:p w14:paraId="3CA2F920" w14:textId="7FD3ABE9" w:rsidR="00757B44" w:rsidRDefault="008A2A13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="00757B44">
              <w:rPr>
                <w:rFonts w:ascii="Times New Roman" w:hAnsi="Times New Roman" w:cs="Times New Roman"/>
                <w:b/>
                <w:sz w:val="24"/>
                <w:szCs w:val="24"/>
              </w:rPr>
              <w:t>equence</w:t>
            </w:r>
          </w:p>
        </w:tc>
      </w:tr>
      <w:tr w:rsidR="00757B44" w14:paraId="76AF7A5B" w14:textId="77777777" w:rsidTr="00202416">
        <w:trPr>
          <w:trHeight w:val="120"/>
        </w:trPr>
        <w:tc>
          <w:tcPr>
            <w:tcW w:w="1951" w:type="dxa"/>
            <w:vMerge w:val="restart"/>
          </w:tcPr>
          <w:p w14:paraId="43F2975A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TSC1</w:t>
            </w:r>
          </w:p>
        </w:tc>
        <w:tc>
          <w:tcPr>
            <w:tcW w:w="6571" w:type="dxa"/>
          </w:tcPr>
          <w:p w14:paraId="4CA525FF" w14:textId="7EB26E2F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sense: GCACUCUUUCAUCGCCUUUTT</w:t>
            </w:r>
          </w:p>
        </w:tc>
      </w:tr>
      <w:tr w:rsidR="00757B44" w14:paraId="7B012F96" w14:textId="77777777" w:rsidTr="00202416">
        <w:trPr>
          <w:trHeight w:val="120"/>
        </w:trPr>
        <w:tc>
          <w:tcPr>
            <w:tcW w:w="1951" w:type="dxa"/>
            <w:vMerge/>
          </w:tcPr>
          <w:p w14:paraId="44F5E347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1" w:type="dxa"/>
          </w:tcPr>
          <w:p w14:paraId="281CFC20" w14:textId="31FD191E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antisense: AAAGGCGAUGAAAGAGUGCTT</w:t>
            </w:r>
          </w:p>
        </w:tc>
      </w:tr>
      <w:tr w:rsidR="00757B44" w14:paraId="327C35CD" w14:textId="77777777" w:rsidTr="00202416">
        <w:trPr>
          <w:trHeight w:val="120"/>
        </w:trPr>
        <w:tc>
          <w:tcPr>
            <w:tcW w:w="1951" w:type="dxa"/>
            <w:vMerge w:val="restart"/>
          </w:tcPr>
          <w:p w14:paraId="778B9722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TSC2</w:t>
            </w:r>
          </w:p>
        </w:tc>
        <w:tc>
          <w:tcPr>
            <w:tcW w:w="6571" w:type="dxa"/>
          </w:tcPr>
          <w:p w14:paraId="4131E71E" w14:textId="27423522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GCAUGGAAUGUGGCCUCAATT</w:t>
            </w:r>
          </w:p>
        </w:tc>
      </w:tr>
      <w:tr w:rsidR="00757B44" w14:paraId="32DAF094" w14:textId="77777777" w:rsidTr="00202416">
        <w:trPr>
          <w:trHeight w:val="120"/>
        </w:trPr>
        <w:tc>
          <w:tcPr>
            <w:tcW w:w="1951" w:type="dxa"/>
            <w:vMerge/>
          </w:tcPr>
          <w:p w14:paraId="6228D363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1" w:type="dxa"/>
          </w:tcPr>
          <w:p w14:paraId="5342559B" w14:textId="7E034956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antisense: UUGAGGCCACAUUCCAUGCTT</w:t>
            </w:r>
          </w:p>
        </w:tc>
      </w:tr>
      <w:tr w:rsidR="00757B44" w14:paraId="711C98F9" w14:textId="77777777" w:rsidTr="00202416">
        <w:trPr>
          <w:trHeight w:val="120"/>
        </w:trPr>
        <w:tc>
          <w:tcPr>
            <w:tcW w:w="1951" w:type="dxa"/>
            <w:vMerge w:val="restart"/>
          </w:tcPr>
          <w:p w14:paraId="144C2C5E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Rab27A</w:t>
            </w:r>
          </w:p>
        </w:tc>
        <w:tc>
          <w:tcPr>
            <w:tcW w:w="6571" w:type="dxa"/>
          </w:tcPr>
          <w:p w14:paraId="494EDA61" w14:textId="09B094BE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GTGGGCATTGATTTCAGGGAA</w:t>
            </w:r>
          </w:p>
        </w:tc>
      </w:tr>
      <w:tr w:rsidR="00757B44" w14:paraId="5B35CF59" w14:textId="77777777" w:rsidTr="00202416">
        <w:trPr>
          <w:trHeight w:val="120"/>
        </w:trPr>
        <w:tc>
          <w:tcPr>
            <w:tcW w:w="1951" w:type="dxa"/>
            <w:vMerge/>
          </w:tcPr>
          <w:p w14:paraId="71256B36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1" w:type="dxa"/>
          </w:tcPr>
          <w:p w14:paraId="438EE00B" w14:textId="046A531E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antisense: TTCCCTGAAATCAATGCCCAC</w:t>
            </w:r>
          </w:p>
        </w:tc>
      </w:tr>
      <w:tr w:rsidR="00757B44" w14:paraId="64E6DE2B" w14:textId="77777777" w:rsidTr="00202416">
        <w:trPr>
          <w:trHeight w:val="120"/>
        </w:trPr>
        <w:tc>
          <w:tcPr>
            <w:tcW w:w="1951" w:type="dxa"/>
            <w:vMerge w:val="restart"/>
          </w:tcPr>
          <w:p w14:paraId="3A6082DE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Rab27B</w:t>
            </w:r>
          </w:p>
        </w:tc>
        <w:tc>
          <w:tcPr>
            <w:tcW w:w="6571" w:type="dxa"/>
          </w:tcPr>
          <w:p w14:paraId="238949F4" w14:textId="05CB5496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TAGGAATAGACTTTCGGGAAA</w:t>
            </w:r>
          </w:p>
        </w:tc>
      </w:tr>
      <w:tr w:rsidR="00757B44" w14:paraId="664CA229" w14:textId="77777777" w:rsidTr="00202416">
        <w:trPr>
          <w:trHeight w:val="120"/>
        </w:trPr>
        <w:tc>
          <w:tcPr>
            <w:tcW w:w="1951" w:type="dxa"/>
            <w:vMerge/>
          </w:tcPr>
          <w:p w14:paraId="07E6113C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1" w:type="dxa"/>
          </w:tcPr>
          <w:p w14:paraId="202FD6B5" w14:textId="6478ABF9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antisense: TTTCCCGAAAGTCTATTCCTA</w:t>
            </w:r>
          </w:p>
        </w:tc>
      </w:tr>
    </w:tbl>
    <w:p w14:paraId="24F5F8E1" w14:textId="77777777" w:rsidR="00757B44" w:rsidRDefault="00757B44" w:rsidP="00757B44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9" w:name="OLE_LINK3"/>
      <w:bookmarkStart w:id="10" w:name="OLE_LINK4"/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B599E7E" w14:textId="77777777" w:rsidR="00757B44" w:rsidRDefault="00757B44" w:rsidP="00757B44">
      <w:pPr>
        <w:widowControl w:val="0"/>
        <w:autoSpaceDE w:val="0"/>
        <w:autoSpaceDN w:val="0"/>
        <w:snapToGrid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S3. mimics and inhibitors sequences used in this study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49"/>
        <w:gridCol w:w="6147"/>
      </w:tblGrid>
      <w:tr w:rsidR="00757B44" w14:paraId="6846CD7B" w14:textId="77777777" w:rsidTr="00202416">
        <w:tc>
          <w:tcPr>
            <w:tcW w:w="2235" w:type="dxa"/>
          </w:tcPr>
          <w:p w14:paraId="0821F795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87" w:type="dxa"/>
          </w:tcPr>
          <w:p w14:paraId="1A23BE43" w14:textId="1470F089" w:rsidR="00757B44" w:rsidRDefault="008A2A13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="00757B44">
              <w:rPr>
                <w:rFonts w:ascii="Times New Roman" w:hAnsi="Times New Roman" w:cs="Times New Roman"/>
                <w:b/>
                <w:sz w:val="24"/>
                <w:szCs w:val="24"/>
              </w:rPr>
              <w:t>equence</w:t>
            </w:r>
          </w:p>
        </w:tc>
      </w:tr>
      <w:tr w:rsidR="00757B44" w14:paraId="0341C0FE" w14:textId="77777777" w:rsidTr="00202416">
        <w:trPr>
          <w:trHeight w:val="120"/>
        </w:trPr>
        <w:tc>
          <w:tcPr>
            <w:tcW w:w="2235" w:type="dxa"/>
            <w:vMerge w:val="restart"/>
          </w:tcPr>
          <w:p w14:paraId="7F45C9E9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miR-7-5p mimics</w:t>
            </w:r>
          </w:p>
        </w:tc>
        <w:tc>
          <w:tcPr>
            <w:tcW w:w="6287" w:type="dxa"/>
          </w:tcPr>
          <w:p w14:paraId="335FF4DE" w14:textId="6122F6D0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sense: UGGAAGACUAGUGAUUU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GUUGUU</w:t>
            </w:r>
          </w:p>
        </w:tc>
      </w:tr>
      <w:tr w:rsidR="00757B44" w14:paraId="2D7882FB" w14:textId="77777777" w:rsidTr="00202416">
        <w:trPr>
          <w:trHeight w:val="120"/>
        </w:trPr>
        <w:tc>
          <w:tcPr>
            <w:tcW w:w="2235" w:type="dxa"/>
            <w:vMerge/>
          </w:tcPr>
          <w:p w14:paraId="0C9589AC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7" w:type="dxa"/>
          </w:tcPr>
          <w:p w14:paraId="5FCF4435" w14:textId="15637709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antisense: CAACAAAAUCACUAGUCUUCCAUU</w:t>
            </w:r>
          </w:p>
        </w:tc>
      </w:tr>
      <w:tr w:rsidR="00757B44" w14:paraId="6F56CFE1" w14:textId="77777777" w:rsidTr="00202416">
        <w:trPr>
          <w:trHeight w:val="120"/>
        </w:trPr>
        <w:tc>
          <w:tcPr>
            <w:tcW w:w="2235" w:type="dxa"/>
            <w:vMerge w:val="restart"/>
          </w:tcPr>
          <w:p w14:paraId="0345AAA8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NC mimics</w:t>
            </w:r>
          </w:p>
        </w:tc>
        <w:tc>
          <w:tcPr>
            <w:tcW w:w="6287" w:type="dxa"/>
          </w:tcPr>
          <w:p w14:paraId="22B0AFD9" w14:textId="4B4F17C8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UUCUCCGAACGUGUCACGUTT</w:t>
            </w:r>
          </w:p>
        </w:tc>
      </w:tr>
      <w:tr w:rsidR="00757B44" w14:paraId="1F77C4C4" w14:textId="77777777" w:rsidTr="00202416">
        <w:trPr>
          <w:trHeight w:val="120"/>
        </w:trPr>
        <w:tc>
          <w:tcPr>
            <w:tcW w:w="2235" w:type="dxa"/>
            <w:vMerge/>
          </w:tcPr>
          <w:p w14:paraId="7071D67C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7" w:type="dxa"/>
          </w:tcPr>
          <w:p w14:paraId="5A3E34AD" w14:textId="34503F1B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antisense: ACGUGACACGUUCGGAGAATT</w:t>
            </w:r>
          </w:p>
        </w:tc>
      </w:tr>
      <w:tr w:rsidR="00757B44" w14:paraId="5BAA1799" w14:textId="77777777" w:rsidTr="00202416">
        <w:trPr>
          <w:trHeight w:val="120"/>
        </w:trPr>
        <w:tc>
          <w:tcPr>
            <w:tcW w:w="2235" w:type="dxa"/>
          </w:tcPr>
          <w:p w14:paraId="50C4469A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miR-7-5p inhibitor</w:t>
            </w:r>
          </w:p>
        </w:tc>
        <w:tc>
          <w:tcPr>
            <w:tcW w:w="6287" w:type="dxa"/>
          </w:tcPr>
          <w:p w14:paraId="14D57304" w14:textId="3FABCDB0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ATGTGGCGCTGTTGTTAATGT</w:t>
            </w:r>
          </w:p>
        </w:tc>
      </w:tr>
      <w:tr w:rsidR="00757B44" w14:paraId="36D6E92F" w14:textId="77777777" w:rsidTr="00202416">
        <w:trPr>
          <w:trHeight w:val="120"/>
        </w:trPr>
        <w:tc>
          <w:tcPr>
            <w:tcW w:w="2235" w:type="dxa"/>
          </w:tcPr>
          <w:p w14:paraId="27583CCC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Inhibitor NC</w:t>
            </w:r>
          </w:p>
        </w:tc>
        <w:tc>
          <w:tcPr>
            <w:tcW w:w="6287" w:type="dxa"/>
          </w:tcPr>
          <w:p w14:paraId="7F212D61" w14:textId="4EC2DB8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CAGUACUUUUGUGUAGUACAA</w:t>
            </w:r>
          </w:p>
        </w:tc>
      </w:tr>
      <w:bookmarkEnd w:id="1"/>
      <w:bookmarkEnd w:id="2"/>
      <w:bookmarkEnd w:id="9"/>
      <w:bookmarkEnd w:id="10"/>
    </w:tbl>
    <w:p w14:paraId="6DBC8F28" w14:textId="77777777" w:rsidR="00757B44" w:rsidRDefault="00757B44" w:rsidP="00757B44">
      <w:pPr>
        <w:spacing w:after="16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CCDEA0" w14:textId="77777777" w:rsidR="00757B44" w:rsidRDefault="00757B44" w:rsidP="00757B4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Lentivirus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sequences used in this study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0"/>
        <w:gridCol w:w="5616"/>
      </w:tblGrid>
      <w:tr w:rsidR="00757B44" w14:paraId="04FBD071" w14:textId="77777777" w:rsidTr="00202416">
        <w:tc>
          <w:tcPr>
            <w:tcW w:w="2802" w:type="dxa"/>
          </w:tcPr>
          <w:p w14:paraId="4F858BF2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20" w:type="dxa"/>
          </w:tcPr>
          <w:p w14:paraId="5156AB70" w14:textId="6176D0B0" w:rsidR="00757B44" w:rsidRDefault="008A2A13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="00757B44">
              <w:rPr>
                <w:rFonts w:ascii="Times New Roman" w:hAnsi="Times New Roman" w:cs="Times New Roman"/>
                <w:b/>
                <w:sz w:val="24"/>
                <w:szCs w:val="24"/>
              </w:rPr>
              <w:t>equence</w:t>
            </w:r>
          </w:p>
        </w:tc>
      </w:tr>
      <w:tr w:rsidR="00757B44" w14:paraId="04E0D397" w14:textId="77777777" w:rsidTr="00202416">
        <w:trPr>
          <w:trHeight w:val="120"/>
        </w:trPr>
        <w:tc>
          <w:tcPr>
            <w:tcW w:w="2802" w:type="dxa"/>
          </w:tcPr>
          <w:p w14:paraId="4B782FFB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LV-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</w:t>
            </w:r>
          </w:p>
        </w:tc>
        <w:tc>
          <w:tcPr>
            <w:tcW w:w="5720" w:type="dxa"/>
          </w:tcPr>
          <w:p w14:paraId="5CD57B1C" w14:textId="2A7099FD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OLE_LINK15"/>
            <w:bookmarkStart w:id="12" w:name="OLE_LINK16"/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bookmarkEnd w:id="11"/>
            <w:bookmarkEnd w:id="12"/>
            <w:r>
              <w:rPr>
                <w:rFonts w:ascii="Times New Roman" w:hAnsi="Times New Roman" w:cs="Times New Roman"/>
                <w:sz w:val="24"/>
                <w:szCs w:val="24"/>
              </w:rPr>
              <w:t>TTCTCCGAACGTGTCACGT</w:t>
            </w:r>
          </w:p>
        </w:tc>
      </w:tr>
      <w:tr w:rsidR="00757B44" w14:paraId="01EAFD2C" w14:textId="77777777" w:rsidTr="00202416">
        <w:trPr>
          <w:trHeight w:val="120"/>
        </w:trPr>
        <w:tc>
          <w:tcPr>
            <w:tcW w:w="2802" w:type="dxa"/>
          </w:tcPr>
          <w:p w14:paraId="40220958" w14:textId="77777777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1"/>
              </w:rPr>
              <w:t>LV-</w:t>
            </w:r>
            <w:r>
              <w:rPr>
                <w:rFonts w:ascii="Times New Roman" w:hAnsi="Times New Roman" w:cs="Times New Roman"/>
                <w:szCs w:val="21"/>
              </w:rPr>
              <w:t>hsa-miR-7-5p mimics</w:t>
            </w:r>
          </w:p>
        </w:tc>
        <w:tc>
          <w:tcPr>
            <w:tcW w:w="5720" w:type="dxa"/>
          </w:tcPr>
          <w:p w14:paraId="74CD455D" w14:textId="4DDF9066" w:rsidR="00757B44" w:rsidRDefault="00757B44" w:rsidP="00202416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TGGAAGACTAGTGATTTTGTTGTT</w:t>
            </w:r>
          </w:p>
        </w:tc>
      </w:tr>
    </w:tbl>
    <w:p w14:paraId="2EFF222E" w14:textId="11868865" w:rsidR="00757B44" w:rsidRDefault="00757B44" w:rsidP="00757B44">
      <w:pPr>
        <w:rPr>
          <w:rFonts w:ascii="Times New Roman" w:eastAsia="等线" w:hAnsi="Times New Roman" w:cs="Times New Roman"/>
          <w:b/>
          <w:bCs/>
          <w:kern w:val="2"/>
          <w:sz w:val="28"/>
          <w:szCs w:val="28"/>
        </w:rPr>
      </w:pPr>
    </w:p>
    <w:sectPr w:rsidR="00757B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905BE" w14:textId="77777777" w:rsidR="00181AD7" w:rsidRDefault="00181AD7" w:rsidP="00AF3639">
      <w:pPr>
        <w:spacing w:after="0"/>
      </w:pPr>
      <w:r>
        <w:separator/>
      </w:r>
    </w:p>
  </w:endnote>
  <w:endnote w:type="continuationSeparator" w:id="0">
    <w:p w14:paraId="17352B8F" w14:textId="77777777" w:rsidR="00181AD7" w:rsidRDefault="00181AD7" w:rsidP="00AF363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C2C0AD" w14:textId="77777777" w:rsidR="00181AD7" w:rsidRDefault="00181AD7" w:rsidP="00AF3639">
      <w:pPr>
        <w:spacing w:after="0"/>
      </w:pPr>
      <w:r>
        <w:separator/>
      </w:r>
    </w:p>
  </w:footnote>
  <w:footnote w:type="continuationSeparator" w:id="0">
    <w:p w14:paraId="76151CE0" w14:textId="77777777" w:rsidR="00181AD7" w:rsidRDefault="00181AD7" w:rsidP="00AF363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44"/>
    <w:rsid w:val="00001398"/>
    <w:rsid w:val="00181AD7"/>
    <w:rsid w:val="00200377"/>
    <w:rsid w:val="00402725"/>
    <w:rsid w:val="00464EB7"/>
    <w:rsid w:val="00504F35"/>
    <w:rsid w:val="00757B44"/>
    <w:rsid w:val="008A2A13"/>
    <w:rsid w:val="00AF3639"/>
    <w:rsid w:val="00BB033B"/>
    <w:rsid w:val="00DA7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2CD0BC"/>
  <w15:chartTrackingRefBased/>
  <w15:docId w15:val="{5BBDA664-69A7-4939-AC99-CDF6143ED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7B44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757B44"/>
    <w:rPr>
      <w:rFonts w:eastAsia="微软雅黑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F363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F3639"/>
    <w:rPr>
      <w:rFonts w:ascii="Tahoma" w:eastAsia="微软雅黑" w:hAnsi="Tahoma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F363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F3639"/>
    <w:rPr>
      <w:rFonts w:ascii="Tahoma" w:eastAsia="微软雅黑" w:hAnsi="Tahoma"/>
      <w:kern w:val="0"/>
      <w:sz w:val="18"/>
      <w:szCs w:val="18"/>
    </w:rPr>
  </w:style>
  <w:style w:type="paragraph" w:styleId="a8">
    <w:name w:val="List Paragraph"/>
    <w:basedOn w:val="a"/>
    <w:uiPriority w:val="34"/>
    <w:qFormat/>
    <w:rsid w:val="00AF363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496</Words>
  <Characters>2833</Characters>
  <Application>Microsoft Office Word</Application>
  <DocSecurity>0</DocSecurity>
  <Lines>23</Lines>
  <Paragraphs>6</Paragraphs>
  <ScaleCrop>false</ScaleCrop>
  <Company/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 松青</dc:creator>
  <cp:keywords/>
  <dc:description/>
  <cp:lastModifiedBy>范 松青</cp:lastModifiedBy>
  <cp:revision>2</cp:revision>
  <dcterms:created xsi:type="dcterms:W3CDTF">2021-09-05T02:19:00Z</dcterms:created>
  <dcterms:modified xsi:type="dcterms:W3CDTF">2021-09-05T02:19:00Z</dcterms:modified>
</cp:coreProperties>
</file>